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word/stylesWithEffects.xml" ContentType="application/vnd.ms-word.stylesWithEffect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6.xml" ContentType="application/vnd.openxmlformats-officedocument.customXmlProperties+xml"/>
  <Override PartName="/word/fontTable.xml" ContentType="application/vnd.openxmlformats-officedocument.wordprocessingml.fontTable+xml"/>
  <Override PartName="/customXml/itemProps8.xml" ContentType="application/vnd.openxmlformats-officedocument.customXmlProperties+xml"/>
  <Override PartName="/customXml/itemProps7.xml" ContentType="application/vnd.openxmlformats-officedocument.customXmlProperties+xml"/>
  <Override PartName="/customXml/itemProps9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A5C" w:rsidRDefault="00361A5C" w:rsidP="00361A5C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>Supplementary Materials</w:t>
      </w:r>
    </w:p>
    <w:p w:rsidR="00361A5C" w:rsidRDefault="00361A5C" w:rsidP="00361A5C">
      <w:pPr>
        <w:pStyle w:val="NormalWeb"/>
        <w:spacing w:before="0" w:beforeAutospacing="0" w:after="0" w:afterAutospacing="0" w:line="480" w:lineRule="auto"/>
        <w:rPr>
          <w:b/>
          <w:bCs/>
          <w:sz w:val="20"/>
          <w:szCs w:val="20"/>
        </w:rPr>
      </w:pPr>
    </w:p>
    <w:p w:rsidR="00361A5C" w:rsidRPr="00CB77B1" w:rsidRDefault="00361A5C" w:rsidP="00361A5C">
      <w:pPr>
        <w:pStyle w:val="NormalWeb"/>
        <w:spacing w:before="0" w:beforeAutospacing="0" w:after="0" w:afterAutospacing="0" w:line="480" w:lineRule="auto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 xml:space="preserve">Article title: </w:t>
      </w:r>
      <w:r w:rsidRPr="00134E3E">
        <w:rPr>
          <w:bCs/>
          <w:sz w:val="20"/>
          <w:szCs w:val="20"/>
        </w:rPr>
        <w:t>Population Pharmacokinetics of Inotuzumab Ozogamicin in Relapsed/Refractory Acute Lymphoblastic Leukemia and Non-Hodgkin Lymphoma</w:t>
      </w:r>
    </w:p>
    <w:p w:rsidR="00361A5C" w:rsidRPr="00187E7D" w:rsidRDefault="00361A5C" w:rsidP="00361A5C">
      <w:pPr>
        <w:pStyle w:val="NormalWeb"/>
        <w:spacing w:before="0" w:beforeAutospacing="0" w:after="0" w:afterAutospacing="0" w:line="480" w:lineRule="auto"/>
        <w:rPr>
          <w:b/>
          <w:sz w:val="20"/>
          <w:szCs w:val="20"/>
        </w:rPr>
      </w:pPr>
    </w:p>
    <w:p w:rsidR="00361A5C" w:rsidRPr="00134E3E" w:rsidRDefault="00361A5C" w:rsidP="00361A5C">
      <w:pPr>
        <w:pStyle w:val="NormalWeb"/>
        <w:spacing w:before="0" w:beforeAutospacing="0" w:after="0" w:afterAutospacing="0" w:line="480" w:lineRule="auto"/>
        <w:rPr>
          <w:sz w:val="20"/>
          <w:szCs w:val="20"/>
        </w:rPr>
      </w:pPr>
      <w:r w:rsidRPr="00187E7D">
        <w:rPr>
          <w:b/>
          <w:sz w:val="20"/>
          <w:szCs w:val="20"/>
        </w:rPr>
        <w:t>Journal name:</w:t>
      </w:r>
      <w:r w:rsidRPr="00187E7D">
        <w:rPr>
          <w:sz w:val="20"/>
          <w:szCs w:val="20"/>
        </w:rPr>
        <w:t xml:space="preserve"> </w:t>
      </w:r>
      <w:r w:rsidRPr="00134E3E">
        <w:rPr>
          <w:bCs/>
          <w:i/>
          <w:sz w:val="20"/>
          <w:szCs w:val="20"/>
        </w:rPr>
        <w:t>Journal of Pharmacokinetics and Pharmacodynamics</w:t>
      </w:r>
    </w:p>
    <w:p w:rsidR="00361A5C" w:rsidRDefault="00361A5C" w:rsidP="00361A5C">
      <w:pPr>
        <w:pStyle w:val="NormalWeb"/>
        <w:spacing w:before="0" w:beforeAutospacing="0" w:after="0" w:afterAutospacing="0" w:line="480" w:lineRule="auto"/>
        <w:rPr>
          <w:b/>
          <w:sz w:val="20"/>
          <w:szCs w:val="20"/>
        </w:rPr>
      </w:pPr>
    </w:p>
    <w:p w:rsidR="00361A5C" w:rsidRPr="00CB77B1" w:rsidRDefault="00361A5C" w:rsidP="00361A5C">
      <w:pPr>
        <w:pStyle w:val="NormalWeb"/>
        <w:spacing w:before="0" w:beforeAutospacing="0" w:after="0" w:afterAutospacing="0" w:line="480" w:lineRule="auto"/>
        <w:rPr>
          <w:sz w:val="20"/>
          <w:szCs w:val="20"/>
          <w:vertAlign w:val="superscript"/>
        </w:rPr>
      </w:pPr>
      <w:r>
        <w:rPr>
          <w:b/>
          <w:sz w:val="20"/>
          <w:szCs w:val="20"/>
        </w:rPr>
        <w:t xml:space="preserve">Authors: </w:t>
      </w:r>
      <w:r w:rsidRPr="00CB77B1">
        <w:rPr>
          <w:sz w:val="20"/>
          <w:szCs w:val="20"/>
        </w:rPr>
        <w:t>May Garrett,</w:t>
      </w:r>
      <w:r w:rsidRPr="00CB77B1">
        <w:rPr>
          <w:sz w:val="20"/>
          <w:szCs w:val="20"/>
          <w:vertAlign w:val="superscript"/>
        </w:rPr>
        <w:t>1</w:t>
      </w:r>
      <w:r w:rsidRPr="00CB77B1">
        <w:rPr>
          <w:sz w:val="20"/>
          <w:szCs w:val="20"/>
        </w:rPr>
        <w:t xml:space="preserve"> Ana Ruiz-Garcia,</w:t>
      </w:r>
      <w:r w:rsidRPr="00CB77B1">
        <w:rPr>
          <w:sz w:val="20"/>
          <w:szCs w:val="20"/>
          <w:vertAlign w:val="superscript"/>
        </w:rPr>
        <w:t>1</w:t>
      </w:r>
      <w:r w:rsidRPr="00CB77B1">
        <w:rPr>
          <w:sz w:val="20"/>
          <w:szCs w:val="20"/>
        </w:rPr>
        <w:t xml:space="preserve"> Kourosh Parivar,</w:t>
      </w:r>
      <w:r w:rsidRPr="00CB77B1">
        <w:rPr>
          <w:sz w:val="20"/>
          <w:szCs w:val="20"/>
          <w:vertAlign w:val="superscript"/>
        </w:rPr>
        <w:t>1</w:t>
      </w:r>
      <w:r w:rsidRPr="00CB77B1">
        <w:rPr>
          <w:sz w:val="20"/>
          <w:szCs w:val="20"/>
        </w:rPr>
        <w:t xml:space="preserve"> Brian Hee,</w:t>
      </w:r>
      <w:r w:rsidRPr="00CB77B1">
        <w:rPr>
          <w:sz w:val="20"/>
          <w:szCs w:val="20"/>
          <w:vertAlign w:val="superscript"/>
        </w:rPr>
        <w:t>1</w:t>
      </w:r>
      <w:r w:rsidRPr="00CB77B1">
        <w:rPr>
          <w:sz w:val="20"/>
          <w:szCs w:val="20"/>
        </w:rPr>
        <w:t xml:space="preserve"> Joseph Boni</w:t>
      </w:r>
      <w:r w:rsidRPr="00CB77B1">
        <w:rPr>
          <w:sz w:val="20"/>
          <w:szCs w:val="20"/>
          <w:vertAlign w:val="superscript"/>
        </w:rPr>
        <w:t>2</w:t>
      </w:r>
    </w:p>
    <w:p w:rsidR="00361A5C" w:rsidRDefault="00361A5C" w:rsidP="00361A5C">
      <w:pPr>
        <w:pStyle w:val="NormalWeb"/>
        <w:spacing w:before="0" w:beforeAutospacing="0" w:after="0" w:afterAutospacing="0" w:line="480" w:lineRule="auto"/>
        <w:rPr>
          <w:b/>
          <w:sz w:val="20"/>
          <w:szCs w:val="20"/>
        </w:rPr>
      </w:pPr>
    </w:p>
    <w:p w:rsidR="00361A5C" w:rsidRPr="00CB77B1" w:rsidRDefault="00361A5C" w:rsidP="00361A5C">
      <w:pPr>
        <w:pStyle w:val="NormalWeb"/>
        <w:spacing w:before="0" w:beforeAutospacing="0" w:after="0" w:afterAutospacing="0" w:line="480" w:lineRule="auto"/>
        <w:rPr>
          <w:sz w:val="20"/>
          <w:szCs w:val="20"/>
        </w:rPr>
      </w:pPr>
      <w:r>
        <w:rPr>
          <w:b/>
          <w:sz w:val="20"/>
          <w:szCs w:val="20"/>
        </w:rPr>
        <w:t>Affiliations:</w:t>
      </w:r>
      <w:r>
        <w:rPr>
          <w:sz w:val="20"/>
          <w:szCs w:val="20"/>
          <w:vertAlign w:val="superscript"/>
        </w:rPr>
        <w:t xml:space="preserve"> </w:t>
      </w:r>
      <w:r w:rsidRPr="00CB77B1">
        <w:rPr>
          <w:sz w:val="20"/>
          <w:szCs w:val="20"/>
          <w:vertAlign w:val="superscript"/>
        </w:rPr>
        <w:t>1</w:t>
      </w:r>
      <w:r w:rsidRPr="00CB77B1">
        <w:rPr>
          <w:sz w:val="20"/>
          <w:szCs w:val="20"/>
        </w:rPr>
        <w:t xml:space="preserve">Pfizer Oncology, San Diego, CA, USA: </w:t>
      </w:r>
      <w:r w:rsidRPr="00CB77B1">
        <w:rPr>
          <w:sz w:val="20"/>
          <w:szCs w:val="20"/>
          <w:vertAlign w:val="superscript"/>
        </w:rPr>
        <w:t>2</w:t>
      </w:r>
      <w:r w:rsidRPr="00CB77B1">
        <w:rPr>
          <w:sz w:val="20"/>
          <w:szCs w:val="20"/>
        </w:rPr>
        <w:t>Pfizer Oncology, Collegeville, PA, USA</w:t>
      </w:r>
    </w:p>
    <w:p w:rsidR="00361A5C" w:rsidRPr="00CB77B1" w:rsidRDefault="00361A5C" w:rsidP="00361A5C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</w:p>
    <w:p w:rsidR="00361A5C" w:rsidRPr="00CB77B1" w:rsidRDefault="00361A5C" w:rsidP="00361A5C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Email of corresponding author</w:t>
      </w:r>
      <w:r w:rsidRPr="00CB77B1">
        <w:rPr>
          <w:rFonts w:ascii="Times New Roman" w:hAnsi="Times New Roman" w:cs="Times New Roman"/>
          <w:b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B77B1">
        <w:rPr>
          <w:rFonts w:ascii="Times New Roman" w:hAnsi="Times New Roman" w:cs="Times New Roman"/>
          <w:sz w:val="20"/>
          <w:szCs w:val="20"/>
        </w:rPr>
        <w:t>May.Garrett@pfizer.com</w:t>
      </w:r>
    </w:p>
    <w:p w:rsidR="00361A5C" w:rsidRDefault="00361A5C" w:rsidP="00361A5C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361A5C" w:rsidRDefault="00361A5C" w:rsidP="00361A5C">
      <w:pPr>
        <w:rPr>
          <w:rFonts w:ascii="Times New Roman" w:hAnsi="Times New Roman" w:cs="Times New Roman"/>
          <w:b/>
          <w:sz w:val="20"/>
          <w:szCs w:val="20"/>
        </w:rPr>
        <w:sectPr w:rsidR="00361A5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61A5C" w:rsidRPr="00F54E97" w:rsidRDefault="00361A5C" w:rsidP="00361A5C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Online Resource</w:t>
      </w:r>
      <w:r w:rsidRPr="00F54E97">
        <w:rPr>
          <w:rFonts w:ascii="Times New Roman" w:hAnsi="Times New Roman" w:cs="Times New Roman"/>
          <w:b/>
          <w:sz w:val="20"/>
          <w:szCs w:val="20"/>
        </w:rPr>
        <w:t xml:space="preserve"> 1. Clinical Studies Included in Population PK Analysis</w:t>
      </w:r>
      <w:r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2549"/>
        <w:gridCol w:w="2100"/>
        <w:gridCol w:w="4938"/>
        <w:gridCol w:w="1958"/>
        <w:gridCol w:w="1631"/>
      </w:tblGrid>
      <w:tr w:rsidR="00361A5C" w:rsidRPr="00F54E97" w:rsidTr="007E1D11">
        <w:trPr>
          <w:cantSplit/>
          <w:tblHeader/>
        </w:trPr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61A5C" w:rsidRPr="00F54E97" w:rsidRDefault="00361A5C" w:rsidP="007E1D11">
            <w:pPr>
              <w:pStyle w:val="TableTextColHeadSpace"/>
              <w:jc w:val="left"/>
              <w:rPr>
                <w:rStyle w:val="TableText9"/>
                <w:rFonts w:eastAsiaTheme="minorHAnsi" w:cstheme="minorBidi"/>
                <w:b w:val="0"/>
                <w:bCs/>
                <w:sz w:val="20"/>
              </w:rPr>
            </w:pPr>
            <w:r w:rsidRPr="00F54E97">
              <w:rPr>
                <w:rStyle w:val="TableText9"/>
                <w:sz w:val="20"/>
              </w:rPr>
              <w:t>Study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61A5C" w:rsidRPr="00F54E97" w:rsidRDefault="00361A5C" w:rsidP="007E1D11">
            <w:pPr>
              <w:pStyle w:val="TableTextColHeadSpace"/>
              <w:rPr>
                <w:rStyle w:val="TableText9"/>
                <w:bCs/>
                <w:sz w:val="20"/>
              </w:rPr>
            </w:pPr>
            <w:r w:rsidRPr="00F54E97">
              <w:rPr>
                <w:rStyle w:val="TableText9"/>
                <w:sz w:val="20"/>
              </w:rPr>
              <w:t>Design</w:t>
            </w:r>
          </w:p>
        </w:tc>
        <w:tc>
          <w:tcPr>
            <w:tcW w:w="18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61A5C" w:rsidRPr="00F54E97" w:rsidRDefault="00361A5C" w:rsidP="007E1D11">
            <w:pPr>
              <w:pStyle w:val="TableTextColHeadSpace"/>
              <w:rPr>
                <w:rStyle w:val="TableText9"/>
                <w:bCs/>
                <w:sz w:val="20"/>
              </w:rPr>
            </w:pPr>
            <w:r w:rsidRPr="00F54E97">
              <w:rPr>
                <w:rStyle w:val="TableText9"/>
                <w:sz w:val="20"/>
              </w:rPr>
              <w:t>InO Dosing</w:t>
            </w:r>
          </w:p>
        </w:tc>
        <w:tc>
          <w:tcPr>
            <w:tcW w:w="743" w:type="pct"/>
            <w:tcBorders>
              <w:top w:val="single" w:sz="4" w:space="0" w:color="auto"/>
              <w:bottom w:val="single" w:sz="4" w:space="0" w:color="auto"/>
            </w:tcBorders>
          </w:tcPr>
          <w:p w:rsidR="00361A5C" w:rsidRPr="00F54E97" w:rsidRDefault="00361A5C" w:rsidP="007E1D11">
            <w:pPr>
              <w:pStyle w:val="TableTextColHeadSpace"/>
              <w:rPr>
                <w:rStyle w:val="TableText9"/>
                <w:bCs/>
                <w:sz w:val="20"/>
              </w:rPr>
            </w:pPr>
            <w:r w:rsidRPr="00F54E97">
              <w:rPr>
                <w:rStyle w:val="TableText9"/>
                <w:sz w:val="20"/>
              </w:rPr>
              <w:t>Total Number of Patients Included in PK Analysis</w:t>
            </w:r>
          </w:p>
        </w:tc>
        <w:tc>
          <w:tcPr>
            <w:tcW w:w="6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61A5C" w:rsidRPr="00F54E97" w:rsidRDefault="00361A5C" w:rsidP="007E1D11">
            <w:pPr>
              <w:pStyle w:val="TableTextColHeadSpace"/>
              <w:spacing w:before="0" w:after="0"/>
              <w:rPr>
                <w:rStyle w:val="TableText9"/>
                <w:bCs/>
                <w:sz w:val="20"/>
              </w:rPr>
            </w:pPr>
            <w:r w:rsidRPr="00F54E97">
              <w:rPr>
                <w:rStyle w:val="TableText9"/>
                <w:sz w:val="20"/>
              </w:rPr>
              <w:t>PK</w:t>
            </w:r>
          </w:p>
          <w:p w:rsidR="00361A5C" w:rsidRPr="00F54E97" w:rsidRDefault="00361A5C" w:rsidP="007E1D11">
            <w:pPr>
              <w:pStyle w:val="TableTextColHeadSpace"/>
              <w:spacing w:before="0" w:after="0"/>
              <w:rPr>
                <w:rStyle w:val="TableText9"/>
                <w:bCs/>
                <w:sz w:val="20"/>
              </w:rPr>
            </w:pPr>
            <w:r w:rsidRPr="00F54E97">
              <w:rPr>
                <w:rStyle w:val="TableText9"/>
                <w:sz w:val="20"/>
              </w:rPr>
              <w:t>Sampling</w:t>
            </w:r>
            <w:r w:rsidRPr="00F54E97">
              <w:rPr>
                <w:rStyle w:val="TableText9"/>
                <w:sz w:val="20"/>
                <w:vertAlign w:val="superscript"/>
              </w:rPr>
              <w:t>a</w:t>
            </w:r>
          </w:p>
        </w:tc>
      </w:tr>
      <w:tr w:rsidR="00361A5C" w:rsidRPr="00F54E97" w:rsidTr="007E1D11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Space"/>
              <w:overflowPunct w:val="0"/>
              <w:autoSpaceDE w:val="0"/>
              <w:autoSpaceDN w:val="0"/>
              <w:adjustRightInd w:val="0"/>
              <w:textAlignment w:val="baseline"/>
              <w:rPr>
                <w:rStyle w:val="TableText9"/>
                <w:rFonts w:eastAsia="TimesNewRoman"/>
                <w:b/>
                <w:sz w:val="20"/>
              </w:rPr>
            </w:pPr>
            <w:r w:rsidRPr="00F54E97">
              <w:rPr>
                <w:rStyle w:val="TableText9"/>
                <w:rFonts w:eastAsia="TimesNewRoman"/>
                <w:b/>
                <w:sz w:val="20"/>
              </w:rPr>
              <w:t>Patients With B-Cell ALL Who Received Single-Agent InO</w:t>
            </w:r>
          </w:p>
        </w:tc>
      </w:tr>
      <w:tr w:rsidR="00361A5C" w:rsidRPr="00F54E97" w:rsidTr="007E1D11">
        <w:trPr>
          <w:cantSplit/>
        </w:trPr>
        <w:tc>
          <w:tcPr>
            <w:tcW w:w="96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Study 1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(Study 1022; clinicaltrials.gov: NCT01564784)</w:t>
            </w:r>
          </w:p>
        </w:tc>
        <w:tc>
          <w:tcPr>
            <w:tcW w:w="79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Phase 3,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global,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multicenter,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2</w:t>
            </w:r>
            <w:r w:rsidRPr="00F54E97">
              <w:rPr>
                <w:rStyle w:val="TableText9"/>
                <w:rFonts w:eastAsia="TimesNewRoman" w:cs="Times New Roman"/>
                <w:sz w:val="20"/>
              </w:rPr>
              <w:noBreakHyphen/>
              <w:t>arm,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 xml:space="preserve">randomized </w:t>
            </w:r>
          </w:p>
        </w:tc>
        <w:tc>
          <w:tcPr>
            <w:tcW w:w="187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Arm A (n=164 randomized [164 treated]):</w:t>
            </w:r>
          </w:p>
          <w:p w:rsidR="00361A5C" w:rsidRPr="00F54E97" w:rsidRDefault="00361A5C" w:rsidP="007E1D11">
            <w:pPr>
              <w:pStyle w:val="TableText"/>
              <w:ind w:left="131"/>
              <w:rPr>
                <w:rStyle w:val="TableText9"/>
                <w:rFonts w:eastAsiaTheme="minorHAnsi"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InO 1.8 mg/m</w:t>
            </w:r>
            <w:r w:rsidRPr="00F54E97">
              <w:rPr>
                <w:rStyle w:val="TableText9"/>
                <w:rFonts w:cs="Times New Roman"/>
                <w:sz w:val="20"/>
                <w:vertAlign w:val="superscript"/>
              </w:rPr>
              <w:t>2</w:t>
            </w:r>
            <w:r w:rsidRPr="00F54E97">
              <w:rPr>
                <w:rStyle w:val="TableText9"/>
                <w:rFonts w:cs="Times New Roman"/>
                <w:sz w:val="20"/>
              </w:rPr>
              <w:t>/21- to 28-day cycle (0.8, 0.5, and 0.5 mg/m</w:t>
            </w:r>
            <w:r w:rsidRPr="00F54E97">
              <w:rPr>
                <w:rStyle w:val="TableText9"/>
                <w:rFonts w:cs="Times New Roman"/>
                <w:sz w:val="20"/>
                <w:vertAlign w:val="superscript"/>
              </w:rPr>
              <w:t>2</w:t>
            </w:r>
            <w:r w:rsidRPr="00F54E97">
              <w:rPr>
                <w:rStyle w:val="TableText9"/>
                <w:rFonts w:cs="Times New Roman"/>
                <w:sz w:val="20"/>
              </w:rPr>
              <w:t xml:space="preserve"> on days 1, 8, and 15)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Arm B (n=162 randomized [143 treated])</w:t>
            </w:r>
            <w:r w:rsidRPr="00F54E97">
              <w:rPr>
                <w:rFonts w:cs="Times New Roman"/>
              </w:rPr>
              <w:t>: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 xml:space="preserve">  FLAG, cytarabine plus mitoxantrone, or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 xml:space="preserve">  HIDAC (21- to 28-day cycle)</w:t>
            </w:r>
          </w:p>
        </w:tc>
        <w:tc>
          <w:tcPr>
            <w:tcW w:w="743" w:type="pct"/>
            <w:tcBorders>
              <w:top w:val="single" w:sz="4" w:space="0" w:color="auto"/>
              <w:bottom w:val="nil"/>
            </w:tcBorders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 xml:space="preserve">162 </w:t>
            </w:r>
          </w:p>
        </w:tc>
        <w:tc>
          <w:tcPr>
            <w:tcW w:w="61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 xml:space="preserve">Sparse PK; 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 xml:space="preserve">cycles 1, 2, 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and 4</w:t>
            </w:r>
          </w:p>
        </w:tc>
      </w:tr>
      <w:tr w:rsidR="00361A5C" w:rsidRPr="00F54E97" w:rsidTr="007E1D11">
        <w:trPr>
          <w:cantSplit/>
        </w:trPr>
        <w:tc>
          <w:tcPr>
            <w:tcW w:w="96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 xml:space="preserve">Study 2 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(Study 1010; clinicaltrials.gov: NCT01363297)</w:t>
            </w:r>
          </w:p>
        </w:tc>
        <w:tc>
          <w:tcPr>
            <w:tcW w:w="79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Phase 1/2,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open</w:t>
            </w:r>
            <w:r w:rsidRPr="00F54E97">
              <w:rPr>
                <w:rStyle w:val="TableText9"/>
                <w:rFonts w:eastAsia="TimesNewRoman" w:cs="Times New Roman"/>
                <w:sz w:val="20"/>
              </w:rPr>
              <w:noBreakHyphen/>
              <w:t xml:space="preserve">label, 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single-arm,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dose</w:t>
            </w:r>
            <w:r w:rsidRPr="00F54E97">
              <w:rPr>
                <w:rStyle w:val="TableText9"/>
                <w:rFonts w:eastAsia="TimesNewRoman" w:cs="Times New Roman"/>
                <w:sz w:val="20"/>
              </w:rPr>
              <w:noBreakHyphen/>
              <w:t>escalation</w:t>
            </w:r>
          </w:p>
        </w:tc>
        <w:tc>
          <w:tcPr>
            <w:tcW w:w="187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Fonts w:cs="Times New Roman"/>
              </w:rPr>
            </w:pPr>
            <w:r w:rsidRPr="00F54E97">
              <w:rPr>
                <w:rFonts w:cs="Times New Roman"/>
              </w:rPr>
              <w:t>Phase 1 dose finding:</w:t>
            </w:r>
          </w:p>
          <w:p w:rsidR="00361A5C" w:rsidRPr="00F54E97" w:rsidRDefault="00361A5C" w:rsidP="007E1D11">
            <w:pPr>
              <w:pStyle w:val="TableText"/>
              <w:rPr>
                <w:rFonts w:cs="Times New Roman"/>
              </w:rPr>
            </w:pPr>
            <w:r w:rsidRPr="00F54E97">
              <w:rPr>
                <w:rFonts w:cs="Times New Roman"/>
              </w:rPr>
              <w:t xml:space="preserve">  1.2 mg/m</w:t>
            </w:r>
            <w:r w:rsidRPr="00F54E97">
              <w:rPr>
                <w:rFonts w:cs="Times New Roman"/>
                <w:vertAlign w:val="superscript"/>
              </w:rPr>
              <w:t>2</w:t>
            </w:r>
            <w:r w:rsidRPr="00F54E97">
              <w:rPr>
                <w:rFonts w:cs="Times New Roman"/>
              </w:rPr>
              <w:t>/28-day cycle (0.8 and 0.4 mg/m</w:t>
            </w:r>
            <w:r w:rsidRPr="00F54E97">
              <w:rPr>
                <w:rFonts w:cs="Times New Roman"/>
                <w:vertAlign w:val="superscript"/>
              </w:rPr>
              <w:t>2</w:t>
            </w:r>
          </w:p>
          <w:p w:rsidR="00361A5C" w:rsidRPr="00F54E97" w:rsidRDefault="00361A5C" w:rsidP="007E1D11">
            <w:pPr>
              <w:pStyle w:val="TableText"/>
              <w:rPr>
                <w:rFonts w:cs="Times New Roman"/>
              </w:rPr>
            </w:pPr>
            <w:r w:rsidRPr="00F54E97">
              <w:rPr>
                <w:rFonts w:cs="Times New Roman"/>
              </w:rPr>
              <w:t xml:space="preserve">  on days 1 and 15, n=3)</w:t>
            </w:r>
          </w:p>
          <w:p w:rsidR="00361A5C" w:rsidRPr="00F54E97" w:rsidRDefault="00361A5C" w:rsidP="007E1D11">
            <w:pPr>
              <w:pStyle w:val="TableText"/>
              <w:rPr>
                <w:rFonts w:cs="Times New Roman"/>
              </w:rPr>
            </w:pPr>
            <w:r w:rsidRPr="00F54E97">
              <w:rPr>
                <w:rFonts w:cs="Times New Roman"/>
              </w:rPr>
              <w:t xml:space="preserve">  1.6 mg/m</w:t>
            </w:r>
            <w:r w:rsidRPr="00F54E97">
              <w:rPr>
                <w:rFonts w:cs="Times New Roman"/>
                <w:vertAlign w:val="superscript"/>
              </w:rPr>
              <w:t>2</w:t>
            </w:r>
            <w:r w:rsidRPr="00F54E97">
              <w:rPr>
                <w:rFonts w:cs="Times New Roman"/>
              </w:rPr>
              <w:t>/28-day cycle (0.8, 0.4, and</w:t>
            </w:r>
          </w:p>
          <w:p w:rsidR="00361A5C" w:rsidRPr="00F54E97" w:rsidRDefault="00361A5C" w:rsidP="007E1D11">
            <w:pPr>
              <w:pStyle w:val="TableText"/>
              <w:rPr>
                <w:rFonts w:cs="Times New Roman"/>
              </w:rPr>
            </w:pPr>
            <w:r w:rsidRPr="00F54E97">
              <w:rPr>
                <w:rFonts w:cs="Times New Roman"/>
              </w:rPr>
              <w:t xml:space="preserve">  0.4 mg/m</w:t>
            </w:r>
            <w:r w:rsidRPr="00F54E97">
              <w:rPr>
                <w:rFonts w:cs="Times New Roman"/>
                <w:vertAlign w:val="superscript"/>
              </w:rPr>
              <w:t>2</w:t>
            </w:r>
            <w:r w:rsidRPr="00F54E97">
              <w:rPr>
                <w:rFonts w:cs="Times New Roman"/>
              </w:rPr>
              <w:t xml:space="preserve"> on days 1, 8, and 15, n=12)</w:t>
            </w:r>
          </w:p>
          <w:p w:rsidR="00361A5C" w:rsidRPr="00F54E97" w:rsidRDefault="00361A5C" w:rsidP="007E1D11">
            <w:pPr>
              <w:pStyle w:val="TableText"/>
              <w:rPr>
                <w:rFonts w:cs="Times New Roman"/>
              </w:rPr>
            </w:pPr>
            <w:r w:rsidRPr="00F54E97">
              <w:rPr>
                <w:rFonts w:cs="Times New Roman"/>
              </w:rPr>
              <w:t xml:space="preserve">  1.8 mg/m</w:t>
            </w:r>
            <w:r w:rsidRPr="00F54E97">
              <w:rPr>
                <w:rFonts w:cs="Times New Roman"/>
                <w:vertAlign w:val="superscript"/>
              </w:rPr>
              <w:t>2</w:t>
            </w:r>
            <w:r w:rsidRPr="00F54E97">
              <w:rPr>
                <w:rFonts w:cs="Times New Roman"/>
              </w:rPr>
              <w:t>/28-day cycle (0.8, 0.5, and</w:t>
            </w:r>
          </w:p>
          <w:p w:rsidR="00361A5C" w:rsidRPr="00F54E97" w:rsidRDefault="00361A5C" w:rsidP="007E1D11">
            <w:pPr>
              <w:pStyle w:val="TableText"/>
              <w:rPr>
                <w:rFonts w:cs="Times New Roman"/>
              </w:rPr>
            </w:pPr>
            <w:r w:rsidRPr="00F54E97">
              <w:rPr>
                <w:rFonts w:cs="Times New Roman"/>
              </w:rPr>
              <w:t xml:space="preserve">  0.5 mg/m</w:t>
            </w:r>
            <w:r w:rsidRPr="00F54E97">
              <w:rPr>
                <w:rFonts w:cs="Times New Roman"/>
                <w:vertAlign w:val="superscript"/>
              </w:rPr>
              <w:t>2</w:t>
            </w:r>
            <w:r w:rsidRPr="00F54E97">
              <w:rPr>
                <w:rFonts w:cs="Times New Roman"/>
              </w:rPr>
              <w:t xml:space="preserve"> on days 1, 8, and 15, n=9)</w:t>
            </w:r>
          </w:p>
          <w:p w:rsidR="00361A5C" w:rsidRPr="00F54E97" w:rsidRDefault="00361A5C" w:rsidP="007E1D11">
            <w:pPr>
              <w:pStyle w:val="TableText"/>
              <w:rPr>
                <w:rFonts w:cs="Times New Roman"/>
              </w:rPr>
            </w:pPr>
            <w:r w:rsidRPr="00F54E97">
              <w:rPr>
                <w:rFonts w:cs="Times New Roman"/>
              </w:rPr>
              <w:t>Phase 1 dose expansion:</w:t>
            </w:r>
          </w:p>
          <w:p w:rsidR="00361A5C" w:rsidRPr="00F54E97" w:rsidRDefault="00361A5C" w:rsidP="007E1D11">
            <w:pPr>
              <w:pStyle w:val="TableText"/>
              <w:rPr>
                <w:rFonts w:cs="Times New Roman"/>
              </w:rPr>
            </w:pPr>
            <w:r w:rsidRPr="00F54E97">
              <w:rPr>
                <w:rFonts w:cs="Times New Roman"/>
              </w:rPr>
              <w:t xml:space="preserve">  1.8 mg/m</w:t>
            </w:r>
            <w:r w:rsidRPr="00F54E97">
              <w:rPr>
                <w:rFonts w:cs="Times New Roman"/>
                <w:vertAlign w:val="superscript"/>
              </w:rPr>
              <w:t>2</w:t>
            </w:r>
            <w:r w:rsidRPr="00F54E97">
              <w:rPr>
                <w:rFonts w:cs="Times New Roman"/>
              </w:rPr>
              <w:t>/28-day cycle (0.8, 0.5, and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Fonts w:cs="Times New Roman"/>
              </w:rPr>
              <w:t xml:space="preserve">  0.5 mg/m</w:t>
            </w:r>
            <w:r w:rsidRPr="00F54E97">
              <w:rPr>
                <w:rFonts w:cs="Times New Roman"/>
                <w:vertAlign w:val="superscript"/>
              </w:rPr>
              <w:t>2</w:t>
            </w:r>
            <w:r w:rsidRPr="00F54E97">
              <w:rPr>
                <w:rFonts w:cs="Times New Roman"/>
              </w:rPr>
              <w:t xml:space="preserve"> on days 1, 8, and 15, n=13)</w:t>
            </w:r>
          </w:p>
        </w:tc>
        <w:tc>
          <w:tcPr>
            <w:tcW w:w="743" w:type="pct"/>
            <w:tcBorders>
              <w:top w:val="nil"/>
              <w:bottom w:val="single" w:sz="4" w:space="0" w:color="auto"/>
            </w:tcBorders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72</w:t>
            </w:r>
          </w:p>
        </w:tc>
        <w:tc>
          <w:tcPr>
            <w:tcW w:w="61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 xml:space="preserve">Sparse PK; 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 xml:space="preserve">cycles 1, 2, 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and 4</w:t>
            </w:r>
          </w:p>
        </w:tc>
      </w:tr>
      <w:tr w:rsidR="00361A5C" w:rsidRPr="00F54E97" w:rsidTr="007E1D11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Space"/>
              <w:rPr>
                <w:rStyle w:val="TableText9"/>
                <w:rFonts w:eastAsia="TimesNewRoman"/>
                <w:b/>
                <w:sz w:val="20"/>
              </w:rPr>
            </w:pPr>
            <w:r w:rsidRPr="00F54E97">
              <w:rPr>
                <w:rStyle w:val="TableText9"/>
                <w:b/>
                <w:sz w:val="20"/>
              </w:rPr>
              <w:t>Patients With B-Cell NHL Who Received Single-Agent InO</w:t>
            </w:r>
          </w:p>
        </w:tc>
      </w:tr>
      <w:tr w:rsidR="00361A5C" w:rsidRPr="00F54E97" w:rsidTr="007E1D11">
        <w:trPr>
          <w:cantSplit/>
        </w:trPr>
        <w:tc>
          <w:tcPr>
            <w:tcW w:w="96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Study 3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(Study 1002; clinicaltrials.gov: NCT00073749)</w:t>
            </w:r>
          </w:p>
        </w:tc>
        <w:tc>
          <w:tcPr>
            <w:tcW w:w="79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Phase 1,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FIH,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open</w:t>
            </w:r>
            <w:r w:rsidRPr="00F54E97">
              <w:rPr>
                <w:rStyle w:val="TableText9"/>
                <w:rFonts w:eastAsia="TimesNewRoman" w:cs="Times New Roman"/>
                <w:sz w:val="20"/>
              </w:rPr>
              <w:noBreakHyphen/>
              <w:t xml:space="preserve">label, 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multicenter,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dose</w:t>
            </w:r>
            <w:r w:rsidRPr="00F54E97">
              <w:rPr>
                <w:rStyle w:val="TableText9"/>
                <w:rFonts w:eastAsia="TimesNewRoman" w:cs="Times New Roman"/>
                <w:sz w:val="20"/>
              </w:rPr>
              <w:noBreakHyphen/>
              <w:t>escalation</w:t>
            </w:r>
          </w:p>
        </w:tc>
        <w:tc>
          <w:tcPr>
            <w:tcW w:w="187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Phase 1: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 xml:space="preserve">  0.4 mg/m</w:t>
            </w:r>
            <w:r w:rsidRPr="00F54E97">
              <w:rPr>
                <w:rStyle w:val="TableText9"/>
                <w:rFonts w:cs="Times New Roman"/>
                <w:sz w:val="20"/>
                <w:vertAlign w:val="superscript"/>
              </w:rPr>
              <w:t>2</w:t>
            </w:r>
            <w:r w:rsidRPr="00F54E97">
              <w:rPr>
                <w:rStyle w:val="TableText9"/>
                <w:rFonts w:cs="Times New Roman"/>
                <w:sz w:val="20"/>
              </w:rPr>
              <w:t xml:space="preserve"> q3w (n=2)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 xml:space="preserve">  0.8 mg/m</w:t>
            </w:r>
            <w:r w:rsidRPr="00F54E97">
              <w:rPr>
                <w:rStyle w:val="TableText9"/>
                <w:rFonts w:cs="Times New Roman"/>
                <w:sz w:val="20"/>
                <w:vertAlign w:val="superscript"/>
              </w:rPr>
              <w:t>2</w:t>
            </w:r>
            <w:r w:rsidRPr="00F54E97">
              <w:rPr>
                <w:rStyle w:val="TableText9"/>
                <w:rFonts w:cs="Times New Roman"/>
                <w:sz w:val="20"/>
              </w:rPr>
              <w:t xml:space="preserve"> q3w (n=5)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 xml:space="preserve">  1.34 mg/m</w:t>
            </w:r>
            <w:r w:rsidRPr="00F54E97">
              <w:rPr>
                <w:rStyle w:val="TableText9"/>
                <w:rFonts w:cs="Times New Roman"/>
                <w:sz w:val="20"/>
                <w:vertAlign w:val="superscript"/>
              </w:rPr>
              <w:t>2</w:t>
            </w:r>
            <w:r w:rsidRPr="00F54E97">
              <w:rPr>
                <w:rStyle w:val="TableText9"/>
                <w:rFonts w:cs="Times New Roman"/>
                <w:sz w:val="20"/>
              </w:rPr>
              <w:t xml:space="preserve"> q3w (n=11)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 xml:space="preserve">  1.8 mg/m</w:t>
            </w:r>
            <w:r w:rsidRPr="00F54E97">
              <w:rPr>
                <w:rStyle w:val="TableText9"/>
                <w:rFonts w:cs="Times New Roman"/>
                <w:sz w:val="20"/>
                <w:vertAlign w:val="superscript"/>
              </w:rPr>
              <w:t>2</w:t>
            </w:r>
            <w:r w:rsidRPr="00F54E97">
              <w:rPr>
                <w:rStyle w:val="TableText9"/>
                <w:rFonts w:cs="Times New Roman"/>
                <w:sz w:val="20"/>
              </w:rPr>
              <w:t xml:space="preserve"> q3w (n=6)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 xml:space="preserve">  2.4 mg/m</w:t>
            </w:r>
            <w:r w:rsidRPr="00F54E97">
              <w:rPr>
                <w:rStyle w:val="TableText9"/>
                <w:rFonts w:cs="Times New Roman"/>
                <w:sz w:val="20"/>
                <w:vertAlign w:val="superscript"/>
              </w:rPr>
              <w:t>2</w:t>
            </w:r>
            <w:r w:rsidRPr="00F54E97">
              <w:rPr>
                <w:rStyle w:val="TableText9"/>
                <w:rFonts w:cs="Times New Roman"/>
                <w:sz w:val="20"/>
              </w:rPr>
              <w:t xml:space="preserve"> q3w (n=6)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Phase 2: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 xml:space="preserve">  1.8 mg/m</w:t>
            </w:r>
            <w:r w:rsidRPr="00F54E97">
              <w:rPr>
                <w:rStyle w:val="TableText9"/>
                <w:rFonts w:cs="Times New Roman"/>
                <w:sz w:val="20"/>
                <w:vertAlign w:val="superscript"/>
              </w:rPr>
              <w:t>2</w:t>
            </w:r>
            <w:r w:rsidRPr="00F54E97">
              <w:rPr>
                <w:rStyle w:val="TableText9"/>
                <w:rFonts w:cs="Times New Roman"/>
                <w:sz w:val="20"/>
              </w:rPr>
              <w:t xml:space="preserve"> q4w (n=49)</w:t>
            </w:r>
          </w:p>
        </w:tc>
        <w:tc>
          <w:tcPr>
            <w:tcW w:w="743" w:type="pct"/>
            <w:tcBorders>
              <w:top w:val="single" w:sz="4" w:space="0" w:color="auto"/>
              <w:bottom w:val="nil"/>
            </w:tcBorders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59</w:t>
            </w:r>
          </w:p>
        </w:tc>
        <w:tc>
          <w:tcPr>
            <w:tcW w:w="61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Full PK;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cycles 1, 2, 3, 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and 4</w:t>
            </w:r>
          </w:p>
        </w:tc>
      </w:tr>
      <w:tr w:rsidR="00361A5C" w:rsidRPr="00F54E97" w:rsidTr="007E1D11">
        <w:trPr>
          <w:cantSplit/>
        </w:trPr>
        <w:tc>
          <w:tcPr>
            <w:tcW w:w="967" w:type="pct"/>
            <w:tcBorders>
              <w:top w:val="nil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Study 4 (Study 1016)</w:t>
            </w:r>
          </w:p>
        </w:tc>
        <w:tc>
          <w:tcPr>
            <w:tcW w:w="797" w:type="pct"/>
            <w:tcBorders>
              <w:top w:val="nil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Fonts w:eastAsia="TimesNewRoman" w:cs="Times New Roman"/>
              </w:rPr>
            </w:pPr>
            <w:r w:rsidRPr="00F54E97">
              <w:rPr>
                <w:rFonts w:eastAsia="TimesNewRoman" w:cs="Times New Roman"/>
              </w:rPr>
              <w:t>Phase 1,</w:t>
            </w:r>
          </w:p>
          <w:p w:rsidR="00361A5C" w:rsidRPr="00F54E97" w:rsidRDefault="00361A5C" w:rsidP="007E1D11">
            <w:pPr>
              <w:pStyle w:val="TableText"/>
              <w:rPr>
                <w:rFonts w:cs="Times New Roman"/>
              </w:rPr>
            </w:pPr>
            <w:r w:rsidRPr="00F54E97">
              <w:rPr>
                <w:rFonts w:eastAsia="TimesNewRoman" w:cs="Times New Roman"/>
              </w:rPr>
              <w:t>dose</w:t>
            </w:r>
            <w:r w:rsidRPr="00F54E97">
              <w:rPr>
                <w:rFonts w:eastAsia="TimesNewRoman" w:cs="Times New Roman"/>
              </w:rPr>
              <w:noBreakHyphen/>
              <w:t>escalation</w:t>
            </w:r>
          </w:p>
        </w:tc>
        <w:tc>
          <w:tcPr>
            <w:tcW w:w="1874" w:type="pct"/>
            <w:tcBorders>
              <w:top w:val="nil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ind w:left="51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1.3 mg/m</w:t>
            </w:r>
            <w:r w:rsidRPr="00F54E97">
              <w:rPr>
                <w:rStyle w:val="TableText9"/>
                <w:rFonts w:cs="Times New Roman"/>
                <w:sz w:val="20"/>
                <w:vertAlign w:val="superscript"/>
              </w:rPr>
              <w:t>2</w:t>
            </w:r>
            <w:r w:rsidRPr="00F54E97">
              <w:rPr>
                <w:rStyle w:val="TableText9"/>
                <w:rFonts w:cs="Times New Roman"/>
                <w:sz w:val="20"/>
              </w:rPr>
              <w:t xml:space="preserve"> q4w (n=3)</w:t>
            </w:r>
          </w:p>
          <w:p w:rsidR="00361A5C" w:rsidRPr="00F54E97" w:rsidRDefault="00361A5C" w:rsidP="007E1D11">
            <w:pPr>
              <w:pStyle w:val="TableText"/>
              <w:ind w:left="51"/>
              <w:rPr>
                <w:rFonts w:eastAsia="TimesNewRoman" w:cs="Times New Roman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1.8 mg/m</w:t>
            </w:r>
            <w:r w:rsidRPr="00F54E97">
              <w:rPr>
                <w:rStyle w:val="TableText9"/>
                <w:rFonts w:cs="Times New Roman"/>
                <w:sz w:val="20"/>
                <w:vertAlign w:val="superscript"/>
              </w:rPr>
              <w:t>2</w:t>
            </w:r>
            <w:r w:rsidRPr="00F54E97">
              <w:rPr>
                <w:rStyle w:val="TableText9"/>
                <w:rFonts w:cs="Times New Roman"/>
                <w:sz w:val="20"/>
              </w:rPr>
              <w:t xml:space="preserve"> q4w (n=10)</w:t>
            </w:r>
          </w:p>
        </w:tc>
        <w:tc>
          <w:tcPr>
            <w:tcW w:w="743" w:type="pct"/>
            <w:tcBorders>
              <w:top w:val="nil"/>
              <w:bottom w:val="nil"/>
            </w:tcBorders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13</w:t>
            </w:r>
          </w:p>
        </w:tc>
        <w:tc>
          <w:tcPr>
            <w:tcW w:w="619" w:type="pct"/>
            <w:tcBorders>
              <w:top w:val="nil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Full PK;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 xml:space="preserve">cycles 1, 2, 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and 3;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Sparse PK;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cycle 4</w:t>
            </w:r>
          </w:p>
        </w:tc>
      </w:tr>
      <w:tr w:rsidR="00361A5C" w:rsidRPr="00F54E97" w:rsidTr="007E1D11">
        <w:trPr>
          <w:cantSplit/>
        </w:trPr>
        <w:tc>
          <w:tcPr>
            <w:tcW w:w="96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Study 5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(Study 1007; clinicaltrials.gov: NCT00868608)</w:t>
            </w:r>
          </w:p>
        </w:tc>
        <w:tc>
          <w:tcPr>
            <w:tcW w:w="79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Fonts w:eastAsia="TimesNewRoman" w:cs="Times New Roman"/>
              </w:rPr>
            </w:pPr>
            <w:r w:rsidRPr="00F54E97">
              <w:rPr>
                <w:rFonts w:eastAsia="TimesNewRoman" w:cs="Times New Roman"/>
              </w:rPr>
              <w:t>Phase 2,</w:t>
            </w:r>
          </w:p>
          <w:p w:rsidR="00361A5C" w:rsidRPr="00F54E97" w:rsidRDefault="00361A5C" w:rsidP="007E1D11">
            <w:pPr>
              <w:pStyle w:val="TableText"/>
              <w:rPr>
                <w:rFonts w:eastAsia="TimesNewRoman" w:cs="Times New Roman"/>
              </w:rPr>
            </w:pPr>
            <w:r w:rsidRPr="00F54E97">
              <w:rPr>
                <w:rFonts w:eastAsia="TimesNewRoman" w:cs="Times New Roman"/>
              </w:rPr>
              <w:t>single-arm</w:t>
            </w:r>
          </w:p>
        </w:tc>
        <w:tc>
          <w:tcPr>
            <w:tcW w:w="187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Space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NewRoman"/>
              </w:rPr>
            </w:pPr>
            <w:r w:rsidRPr="00F54E97">
              <w:t>1.8 mg/m</w:t>
            </w:r>
            <w:r w:rsidRPr="00F54E97">
              <w:rPr>
                <w:vertAlign w:val="superscript"/>
              </w:rPr>
              <w:t>2</w:t>
            </w:r>
            <w:r w:rsidRPr="00F54E97">
              <w:t xml:space="preserve"> q4w</w:t>
            </w:r>
          </w:p>
        </w:tc>
        <w:tc>
          <w:tcPr>
            <w:tcW w:w="743" w:type="pct"/>
            <w:tcBorders>
              <w:top w:val="nil"/>
              <w:bottom w:val="single" w:sz="4" w:space="0" w:color="auto"/>
            </w:tcBorders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75</w:t>
            </w:r>
          </w:p>
        </w:tc>
        <w:tc>
          <w:tcPr>
            <w:tcW w:w="61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 xml:space="preserve">Sparse PK; 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 xml:space="preserve">cycles 1, 3, 4, 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and 6</w:t>
            </w:r>
          </w:p>
        </w:tc>
      </w:tr>
      <w:tr w:rsidR="00361A5C" w:rsidRPr="00F54E97" w:rsidTr="007E1D11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Space"/>
              <w:overflowPunct w:val="0"/>
              <w:autoSpaceDE w:val="0"/>
              <w:autoSpaceDN w:val="0"/>
              <w:adjustRightInd w:val="0"/>
              <w:textAlignment w:val="baseline"/>
              <w:rPr>
                <w:rStyle w:val="TableText9"/>
                <w:rFonts w:eastAsia="TimesNewRoman"/>
                <w:b/>
                <w:sz w:val="20"/>
              </w:rPr>
            </w:pPr>
            <w:r w:rsidRPr="00F54E97">
              <w:rPr>
                <w:rStyle w:val="TableText9"/>
                <w:b/>
                <w:sz w:val="20"/>
              </w:rPr>
              <w:t>Patients With B-Cell NHL Who Received InO in Combination With Rituximab</w:t>
            </w:r>
          </w:p>
        </w:tc>
      </w:tr>
      <w:tr w:rsidR="00361A5C" w:rsidRPr="00F54E97" w:rsidTr="007E1D11">
        <w:trPr>
          <w:cantSplit/>
        </w:trPr>
        <w:tc>
          <w:tcPr>
            <w:tcW w:w="96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Study 6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(Study 1005; clinicaltrials.gov: NCT00724971)</w:t>
            </w:r>
          </w:p>
        </w:tc>
        <w:tc>
          <w:tcPr>
            <w:tcW w:w="79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Fonts w:eastAsia="TimesNewRoman" w:cs="Times New Roman"/>
              </w:rPr>
            </w:pPr>
            <w:r w:rsidRPr="00F54E97">
              <w:rPr>
                <w:rFonts w:eastAsia="TimesNewRoman" w:cs="Times New Roman"/>
              </w:rPr>
              <w:t>Phase 1,</w:t>
            </w:r>
          </w:p>
          <w:p w:rsidR="00361A5C" w:rsidRPr="00F54E97" w:rsidRDefault="00361A5C" w:rsidP="007E1D11">
            <w:pPr>
              <w:pStyle w:val="TableText"/>
              <w:rPr>
                <w:rFonts w:eastAsia="TimesNewRoman" w:cs="Times New Roman"/>
              </w:rPr>
            </w:pPr>
            <w:r w:rsidRPr="00F54E97">
              <w:rPr>
                <w:rFonts w:eastAsia="TimesNewRoman" w:cs="Times New Roman"/>
              </w:rPr>
              <w:t xml:space="preserve">open-label, </w:t>
            </w:r>
          </w:p>
          <w:p w:rsidR="00361A5C" w:rsidRPr="00F54E97" w:rsidRDefault="00361A5C" w:rsidP="007E1D11">
            <w:pPr>
              <w:pStyle w:val="TableText"/>
              <w:rPr>
                <w:rFonts w:eastAsia="TimesNewRoman" w:cs="Times New Roman"/>
              </w:rPr>
            </w:pPr>
            <w:r w:rsidRPr="00F54E97">
              <w:rPr>
                <w:rFonts w:eastAsia="TimesNewRoman" w:cs="Times New Roman"/>
              </w:rPr>
              <w:t>multicenter</w:t>
            </w:r>
          </w:p>
        </w:tc>
        <w:tc>
          <w:tcPr>
            <w:tcW w:w="187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Fonts w:cs="Times New Roman"/>
              </w:rPr>
            </w:pPr>
            <w:r w:rsidRPr="00F54E97">
              <w:rPr>
                <w:rFonts w:cs="Times New Roman"/>
              </w:rPr>
              <w:t>InO</w:t>
            </w:r>
          </w:p>
          <w:p w:rsidR="00361A5C" w:rsidRPr="00F54E97" w:rsidRDefault="00361A5C" w:rsidP="007E1D11">
            <w:pPr>
              <w:pStyle w:val="TableText"/>
              <w:rPr>
                <w:rFonts w:cs="Times New Roman"/>
              </w:rPr>
            </w:pPr>
            <w:r w:rsidRPr="00F54E97">
              <w:rPr>
                <w:rFonts w:cs="Times New Roman"/>
              </w:rPr>
              <w:t xml:space="preserve">  1.8 mg/m</w:t>
            </w:r>
            <w:r w:rsidRPr="00F54E97">
              <w:rPr>
                <w:rFonts w:cs="Times New Roman"/>
                <w:vertAlign w:val="superscript"/>
              </w:rPr>
              <w:t>2</w:t>
            </w:r>
            <w:r w:rsidRPr="00F54E97">
              <w:rPr>
                <w:rFonts w:cs="Times New Roman"/>
              </w:rPr>
              <w:t xml:space="preserve"> q4w</w:t>
            </w:r>
          </w:p>
          <w:p w:rsidR="00361A5C" w:rsidRPr="00F54E97" w:rsidRDefault="00361A5C" w:rsidP="007E1D11">
            <w:pPr>
              <w:pStyle w:val="TableText"/>
              <w:rPr>
                <w:rFonts w:cs="Times New Roman"/>
              </w:rPr>
            </w:pPr>
            <w:r w:rsidRPr="00F54E97">
              <w:rPr>
                <w:rFonts w:cs="Times New Roman"/>
              </w:rPr>
              <w:t>Rituximab</w:t>
            </w:r>
          </w:p>
          <w:p w:rsidR="00361A5C" w:rsidRPr="00F54E97" w:rsidRDefault="00361A5C" w:rsidP="007E1D11">
            <w:pPr>
              <w:pStyle w:val="TableText"/>
              <w:rPr>
                <w:rFonts w:eastAsia="TimesNewRoman" w:cs="Times New Roman"/>
              </w:rPr>
            </w:pPr>
            <w:r w:rsidRPr="00F54E97">
              <w:rPr>
                <w:rFonts w:cs="Times New Roman"/>
              </w:rPr>
              <w:t xml:space="preserve">  375 mg/m</w:t>
            </w:r>
            <w:r w:rsidRPr="00F54E97">
              <w:rPr>
                <w:rFonts w:cs="Times New Roman"/>
                <w:vertAlign w:val="superscript"/>
              </w:rPr>
              <w:t>2</w:t>
            </w:r>
            <w:r w:rsidRPr="00F54E97">
              <w:rPr>
                <w:rFonts w:cs="Times New Roman"/>
              </w:rPr>
              <w:t xml:space="preserve"> q4w</w:t>
            </w:r>
          </w:p>
        </w:tc>
        <w:tc>
          <w:tcPr>
            <w:tcW w:w="743" w:type="pct"/>
            <w:tcBorders>
              <w:top w:val="single" w:sz="4" w:space="0" w:color="auto"/>
              <w:bottom w:val="nil"/>
            </w:tcBorders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10</w:t>
            </w:r>
          </w:p>
        </w:tc>
        <w:tc>
          <w:tcPr>
            <w:tcW w:w="61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Full PK;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 xml:space="preserve">cycles 1, 2, 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and 3</w:t>
            </w:r>
          </w:p>
        </w:tc>
      </w:tr>
      <w:tr w:rsidR="00361A5C" w:rsidRPr="00F54E97" w:rsidTr="007E1D11">
        <w:trPr>
          <w:cantSplit/>
        </w:trPr>
        <w:tc>
          <w:tcPr>
            <w:tcW w:w="967" w:type="pct"/>
            <w:tcBorders>
              <w:top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Study 7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(Study 1004; clinicaltrials.gov: NCT00299494)</w:t>
            </w:r>
          </w:p>
        </w:tc>
        <w:tc>
          <w:tcPr>
            <w:tcW w:w="797" w:type="pct"/>
            <w:tcBorders>
              <w:top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Fonts w:eastAsia="TimesNewRoman" w:cs="Times New Roman"/>
              </w:rPr>
            </w:pPr>
            <w:r w:rsidRPr="00F54E97">
              <w:rPr>
                <w:rFonts w:eastAsia="TimesNewRoman" w:cs="Times New Roman"/>
              </w:rPr>
              <w:t>Phase 1/2,</w:t>
            </w:r>
          </w:p>
          <w:p w:rsidR="00361A5C" w:rsidRPr="00F54E97" w:rsidRDefault="00361A5C" w:rsidP="007E1D11">
            <w:pPr>
              <w:pStyle w:val="TableText"/>
              <w:rPr>
                <w:rFonts w:eastAsia="TimesNewRoman" w:cs="Times New Roman"/>
              </w:rPr>
            </w:pPr>
            <w:r w:rsidRPr="00F54E97">
              <w:rPr>
                <w:rFonts w:eastAsia="TimesNewRoman" w:cs="Times New Roman"/>
              </w:rPr>
              <w:t xml:space="preserve">open-label, 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Fonts w:eastAsia="TimesNewRoman" w:cs="Times New Roman"/>
              </w:rPr>
              <w:t>dose</w:t>
            </w:r>
            <w:r w:rsidRPr="00F54E97">
              <w:rPr>
                <w:rFonts w:eastAsia="TimesNewRoman" w:cs="Times New Roman"/>
              </w:rPr>
              <w:noBreakHyphen/>
              <w:t>escalation</w:t>
            </w:r>
          </w:p>
        </w:tc>
        <w:tc>
          <w:tcPr>
            <w:tcW w:w="1874" w:type="pct"/>
            <w:tcBorders>
              <w:top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  <w:lang w:val="fr-FR"/>
              </w:rPr>
            </w:pPr>
            <w:r w:rsidRPr="00F54E97">
              <w:rPr>
                <w:rStyle w:val="TableText9"/>
                <w:rFonts w:cs="Times New Roman"/>
                <w:sz w:val="20"/>
                <w:lang w:val="fr-FR"/>
              </w:rPr>
              <w:t>Part 1: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  <w:lang w:val="fr-FR"/>
              </w:rPr>
            </w:pPr>
            <w:r w:rsidRPr="00F54E97">
              <w:rPr>
                <w:rStyle w:val="TableText9"/>
                <w:rFonts w:cs="Times New Roman"/>
                <w:sz w:val="20"/>
                <w:lang w:val="fr-FR"/>
              </w:rPr>
              <w:t>InO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  <w:lang w:val="fr-FR"/>
              </w:rPr>
            </w:pPr>
            <w:r w:rsidRPr="00F54E97">
              <w:rPr>
                <w:rStyle w:val="TableText9"/>
                <w:rFonts w:cs="Times New Roman"/>
                <w:sz w:val="20"/>
                <w:lang w:val="fr-FR"/>
              </w:rPr>
              <w:t xml:space="preserve">  0.8 mg/m</w:t>
            </w:r>
            <w:r w:rsidRPr="00F54E97">
              <w:rPr>
                <w:rStyle w:val="TableText9"/>
                <w:rFonts w:cs="Times New Roman"/>
                <w:sz w:val="20"/>
                <w:vertAlign w:val="superscript"/>
                <w:lang w:val="fr-FR"/>
              </w:rPr>
              <w:t>2</w:t>
            </w:r>
            <w:r w:rsidRPr="00F54E97">
              <w:rPr>
                <w:rStyle w:val="TableText9"/>
                <w:rFonts w:cs="Times New Roman"/>
                <w:sz w:val="20"/>
                <w:lang w:val="fr-FR"/>
              </w:rPr>
              <w:t xml:space="preserve"> (n=5)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  <w:lang w:val="fr-FR"/>
              </w:rPr>
            </w:pPr>
            <w:r w:rsidRPr="00F54E97">
              <w:rPr>
                <w:rStyle w:val="TableText9"/>
                <w:rFonts w:cs="Times New Roman"/>
                <w:sz w:val="20"/>
                <w:lang w:val="fr-FR"/>
              </w:rPr>
              <w:t xml:space="preserve">  1.3 mg/m</w:t>
            </w:r>
            <w:r w:rsidRPr="00F54E97">
              <w:rPr>
                <w:rStyle w:val="TableText9"/>
                <w:rFonts w:cs="Times New Roman"/>
                <w:sz w:val="20"/>
                <w:vertAlign w:val="superscript"/>
                <w:lang w:val="fr-FR"/>
              </w:rPr>
              <w:t>2</w:t>
            </w:r>
            <w:r w:rsidRPr="00F54E97">
              <w:rPr>
                <w:rStyle w:val="TableText9"/>
                <w:rFonts w:cs="Times New Roman"/>
                <w:sz w:val="20"/>
                <w:lang w:val="fr-FR"/>
              </w:rPr>
              <w:t xml:space="preserve"> (n=3)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  <w:lang w:val="fr-FR"/>
              </w:rPr>
            </w:pPr>
            <w:r w:rsidRPr="00F54E97">
              <w:rPr>
                <w:rStyle w:val="TableText9"/>
                <w:rFonts w:cs="Times New Roman"/>
                <w:sz w:val="20"/>
                <w:lang w:val="fr-FR"/>
              </w:rPr>
              <w:t xml:space="preserve">  1.8 mg/m</w:t>
            </w:r>
            <w:r w:rsidRPr="00F54E97">
              <w:rPr>
                <w:rStyle w:val="TableText9"/>
                <w:rFonts w:cs="Times New Roman"/>
                <w:sz w:val="20"/>
                <w:vertAlign w:val="superscript"/>
                <w:lang w:val="fr-FR"/>
              </w:rPr>
              <w:t>2</w:t>
            </w:r>
            <w:r w:rsidRPr="00F54E97">
              <w:rPr>
                <w:rStyle w:val="TableText9"/>
                <w:rFonts w:cs="Times New Roman"/>
                <w:sz w:val="20"/>
                <w:lang w:val="fr-FR"/>
              </w:rPr>
              <w:t xml:space="preserve"> (n=7) 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  <w:lang w:val="fr-FR"/>
              </w:rPr>
            </w:pPr>
            <w:r w:rsidRPr="00F54E97">
              <w:rPr>
                <w:rStyle w:val="TableText9"/>
                <w:rFonts w:cs="Times New Roman"/>
                <w:sz w:val="20"/>
                <w:lang w:val="fr-FR"/>
              </w:rPr>
              <w:t xml:space="preserve">  plus rituximab 375 mg/m</w:t>
            </w:r>
            <w:r w:rsidRPr="00F54E97">
              <w:rPr>
                <w:rStyle w:val="TableText9"/>
                <w:rFonts w:cs="Times New Roman"/>
                <w:sz w:val="20"/>
                <w:vertAlign w:val="superscript"/>
                <w:lang w:val="fr-FR"/>
              </w:rPr>
              <w:t>2</w:t>
            </w:r>
            <w:r w:rsidRPr="00F54E97">
              <w:rPr>
                <w:rStyle w:val="TableText9"/>
                <w:rFonts w:cs="Times New Roman"/>
                <w:sz w:val="20"/>
                <w:lang w:val="fr-FR"/>
              </w:rPr>
              <w:t xml:space="preserve"> q4w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  <w:lang w:val="fr-FR"/>
              </w:rPr>
            </w:pPr>
            <w:r w:rsidRPr="00F54E97">
              <w:rPr>
                <w:rStyle w:val="TableText9"/>
                <w:rFonts w:cs="Times New Roman"/>
                <w:sz w:val="20"/>
                <w:lang w:val="fr-FR"/>
              </w:rPr>
              <w:t>Part 2: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  <w:lang w:val="fr-FR"/>
              </w:rPr>
            </w:pPr>
            <w:r w:rsidRPr="00F54E97">
              <w:rPr>
                <w:rStyle w:val="TableText9"/>
                <w:rFonts w:cs="Times New Roman"/>
                <w:sz w:val="20"/>
                <w:lang w:val="fr-FR"/>
              </w:rPr>
              <w:t xml:space="preserve">  InO 0.8 mg/m</w:t>
            </w:r>
            <w:r w:rsidRPr="00F54E97">
              <w:rPr>
                <w:rStyle w:val="TableText9"/>
                <w:rFonts w:cs="Times New Roman"/>
                <w:sz w:val="20"/>
                <w:vertAlign w:val="superscript"/>
                <w:lang w:val="fr-FR"/>
              </w:rPr>
              <w:t>2</w:t>
            </w:r>
            <w:r w:rsidRPr="00F54E97">
              <w:rPr>
                <w:rStyle w:val="TableText9"/>
                <w:rFonts w:cs="Times New Roman"/>
                <w:sz w:val="20"/>
                <w:lang w:val="fr-FR"/>
              </w:rPr>
              <w:t xml:space="preserve"> plus 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  <w:lang w:val="fr-FR"/>
              </w:rPr>
            </w:pPr>
            <w:r w:rsidRPr="00F54E97">
              <w:rPr>
                <w:rStyle w:val="TableText9"/>
                <w:rFonts w:cs="Times New Roman"/>
                <w:sz w:val="20"/>
                <w:lang w:val="fr-FR"/>
              </w:rPr>
              <w:t xml:space="preserve">  rituximab 375 mg/m</w:t>
            </w:r>
            <w:r w:rsidRPr="00F54E97">
              <w:rPr>
                <w:rStyle w:val="TableText9"/>
                <w:rFonts w:cs="Times New Roman"/>
                <w:sz w:val="20"/>
                <w:vertAlign w:val="superscript"/>
                <w:lang w:val="fr-FR"/>
              </w:rPr>
              <w:t>2</w:t>
            </w:r>
            <w:r w:rsidRPr="00F54E97">
              <w:rPr>
                <w:rStyle w:val="TableText9"/>
                <w:rFonts w:cs="Times New Roman"/>
                <w:sz w:val="20"/>
                <w:lang w:val="fr-FR"/>
              </w:rPr>
              <w:t xml:space="preserve"> q4w (n=104)</w:t>
            </w:r>
          </w:p>
        </w:tc>
        <w:tc>
          <w:tcPr>
            <w:tcW w:w="743" w:type="pct"/>
            <w:tcBorders>
              <w:top w:val="nil"/>
            </w:tcBorders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Fonts w:cs="Times New Roman"/>
              </w:rPr>
              <w:t>118</w:t>
            </w:r>
          </w:p>
        </w:tc>
        <w:tc>
          <w:tcPr>
            <w:tcW w:w="619" w:type="pct"/>
            <w:tcBorders>
              <w:top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Full PK;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 xml:space="preserve">cycles 1, 2, 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and 3</w:t>
            </w:r>
          </w:p>
        </w:tc>
      </w:tr>
      <w:tr w:rsidR="00361A5C" w:rsidRPr="00F54E97" w:rsidTr="007E1D11">
        <w:trPr>
          <w:cantSplit/>
        </w:trPr>
        <w:tc>
          <w:tcPr>
            <w:tcW w:w="967" w:type="pct"/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Study 8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(Study 1001; clinicaltrials.gov: NCT00867087)</w:t>
            </w:r>
          </w:p>
        </w:tc>
        <w:tc>
          <w:tcPr>
            <w:tcW w:w="797" w:type="pct"/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Phase 2,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 xml:space="preserve">open-label, 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multicenter</w:t>
            </w:r>
          </w:p>
        </w:tc>
        <w:tc>
          <w:tcPr>
            <w:tcW w:w="1874" w:type="pct"/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InO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 xml:space="preserve">  1.8 mg/</w:t>
            </w:r>
            <w:r w:rsidRPr="00F54E97">
              <w:rPr>
                <w:rFonts w:cs="Times New Roman"/>
              </w:rPr>
              <w:t>m</w:t>
            </w:r>
            <w:r w:rsidRPr="00F54E97">
              <w:rPr>
                <w:rFonts w:cs="Times New Roman"/>
                <w:vertAlign w:val="superscript"/>
              </w:rPr>
              <w:t>2</w:t>
            </w:r>
            <w:r w:rsidRPr="00F54E97">
              <w:rPr>
                <w:rStyle w:val="TableText9"/>
                <w:rFonts w:cs="Times New Roman"/>
                <w:sz w:val="20"/>
              </w:rPr>
              <w:t xml:space="preserve"> q3w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Rituximab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 xml:space="preserve">  375 mg/</w:t>
            </w:r>
            <w:r w:rsidRPr="00F54E97">
              <w:rPr>
                <w:rFonts w:cs="Times New Roman"/>
              </w:rPr>
              <w:t>m</w:t>
            </w:r>
            <w:r w:rsidRPr="00F54E97">
              <w:rPr>
                <w:rFonts w:cs="Times New Roman"/>
                <w:vertAlign w:val="superscript"/>
              </w:rPr>
              <w:t>2</w:t>
            </w:r>
            <w:r w:rsidRPr="00F54E97">
              <w:rPr>
                <w:rStyle w:val="TableText9"/>
                <w:rFonts w:cs="Times New Roman"/>
                <w:sz w:val="20"/>
              </w:rPr>
              <w:t xml:space="preserve"> q3w</w:t>
            </w:r>
          </w:p>
        </w:tc>
        <w:tc>
          <w:tcPr>
            <w:tcW w:w="743" w:type="pct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53</w:t>
            </w:r>
          </w:p>
        </w:tc>
        <w:tc>
          <w:tcPr>
            <w:tcW w:w="619" w:type="pct"/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 xml:space="preserve">Sparse PK; 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 xml:space="preserve">cycles 1, 2, 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and 4</w:t>
            </w:r>
          </w:p>
        </w:tc>
      </w:tr>
      <w:tr w:rsidR="00361A5C" w:rsidRPr="00F54E97" w:rsidTr="007E1D11">
        <w:trPr>
          <w:cantSplit/>
        </w:trPr>
        <w:tc>
          <w:tcPr>
            <w:tcW w:w="967" w:type="pct"/>
            <w:tcBorders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Study 9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(Study 1006; clinicaltrials.gov: NCT00562965)</w:t>
            </w:r>
          </w:p>
        </w:tc>
        <w:tc>
          <w:tcPr>
            <w:tcW w:w="797" w:type="pct"/>
            <w:tcBorders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Phase 3,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 xml:space="preserve">open-label, 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randomized 1:1,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active</w:t>
            </w:r>
            <w:r w:rsidRPr="00F54E97">
              <w:rPr>
                <w:rStyle w:val="TableText9"/>
                <w:rFonts w:eastAsia="TimesNewRoman" w:cs="Times New Roman"/>
                <w:sz w:val="20"/>
              </w:rPr>
              <w:noBreakHyphen/>
              <w:t>comparator</w:t>
            </w:r>
          </w:p>
        </w:tc>
        <w:tc>
          <w:tcPr>
            <w:tcW w:w="1874" w:type="pct"/>
            <w:tcBorders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Arm 1 (n=15):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 xml:space="preserve">  InO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 xml:space="preserve">  1.8 mg/</w:t>
            </w:r>
            <w:r w:rsidRPr="00F54E97">
              <w:rPr>
                <w:rFonts w:cs="Times New Roman"/>
              </w:rPr>
              <w:t>m</w:t>
            </w:r>
            <w:r w:rsidRPr="00F54E97">
              <w:rPr>
                <w:rFonts w:cs="Times New Roman"/>
                <w:vertAlign w:val="superscript"/>
              </w:rPr>
              <w:t>2</w:t>
            </w:r>
            <w:r w:rsidRPr="00F54E97">
              <w:rPr>
                <w:rStyle w:val="TableText9"/>
                <w:rFonts w:cs="Times New Roman"/>
                <w:sz w:val="20"/>
              </w:rPr>
              <w:t xml:space="preserve"> q4w 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 xml:space="preserve">  Plus rituximab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 xml:space="preserve">  375 mg/</w:t>
            </w:r>
            <w:r w:rsidRPr="00F54E97">
              <w:rPr>
                <w:rFonts w:cs="Times New Roman"/>
              </w:rPr>
              <w:t>m</w:t>
            </w:r>
            <w:r w:rsidRPr="00F54E97">
              <w:rPr>
                <w:rFonts w:cs="Times New Roman"/>
                <w:vertAlign w:val="superscript"/>
              </w:rPr>
              <w:t>2</w:t>
            </w:r>
            <w:r w:rsidRPr="00F54E97">
              <w:rPr>
                <w:rStyle w:val="TableText9"/>
                <w:rFonts w:cs="Times New Roman"/>
                <w:sz w:val="20"/>
              </w:rPr>
              <w:t xml:space="preserve"> q4w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Arm 2 (n=14):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 xml:space="preserve">  R-CVP or R-FND</w:t>
            </w:r>
          </w:p>
        </w:tc>
        <w:tc>
          <w:tcPr>
            <w:tcW w:w="743" w:type="pct"/>
            <w:tcBorders>
              <w:bottom w:val="nil"/>
            </w:tcBorders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14</w:t>
            </w:r>
          </w:p>
        </w:tc>
        <w:tc>
          <w:tcPr>
            <w:tcW w:w="619" w:type="pct"/>
            <w:tcBorders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 xml:space="preserve">Sparse PK; 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cycles 1, 2, 3,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and 4</w:t>
            </w:r>
          </w:p>
        </w:tc>
      </w:tr>
      <w:tr w:rsidR="00361A5C" w:rsidRPr="00F54E97" w:rsidTr="007E1D11">
        <w:trPr>
          <w:cantSplit/>
        </w:trPr>
        <w:tc>
          <w:tcPr>
            <w:tcW w:w="96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Study 10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(Study 1008; clinicaltrials.gov: NCT01232556)</w:t>
            </w:r>
          </w:p>
        </w:tc>
        <w:tc>
          <w:tcPr>
            <w:tcW w:w="79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Phase 3,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multicenter,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randomized 1:1,</w:t>
            </w:r>
          </w:p>
          <w:p w:rsidR="00361A5C" w:rsidRPr="00F54E97" w:rsidRDefault="00361A5C" w:rsidP="007E1D11">
            <w:pPr>
              <w:pStyle w:val="TableText"/>
              <w:rPr>
                <w:rFonts w:eastAsia="TimesNewRoman" w:cs="Times New Roman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active</w:t>
            </w:r>
            <w:r w:rsidRPr="00F54E97">
              <w:rPr>
                <w:rStyle w:val="TableText9"/>
                <w:rFonts w:eastAsia="TimesNewRoman" w:cs="Times New Roman"/>
                <w:sz w:val="20"/>
              </w:rPr>
              <w:noBreakHyphen/>
              <w:t>comparator</w:t>
            </w:r>
          </w:p>
        </w:tc>
        <w:tc>
          <w:tcPr>
            <w:tcW w:w="187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Arm 1 (n=166 randomized [164 treated]):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 xml:space="preserve">  InO (1.8 mg/</w:t>
            </w:r>
            <w:r w:rsidRPr="00F54E97">
              <w:rPr>
                <w:rFonts w:cs="Times New Roman"/>
              </w:rPr>
              <w:t>m</w:t>
            </w:r>
            <w:r w:rsidRPr="00F54E97">
              <w:rPr>
                <w:rFonts w:cs="Times New Roman"/>
                <w:vertAlign w:val="superscript"/>
              </w:rPr>
              <w:t>2</w:t>
            </w:r>
            <w:r w:rsidRPr="00F54E97">
              <w:rPr>
                <w:rStyle w:val="TableText9"/>
                <w:rFonts w:cs="Times New Roman"/>
                <w:sz w:val="20"/>
              </w:rPr>
              <w:t xml:space="preserve">) on day 2 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 xml:space="preserve">  of a 4-week cycle, plus rituximab 375 mg/</w:t>
            </w:r>
            <w:r w:rsidRPr="00F54E97">
              <w:rPr>
                <w:rFonts w:cs="Times New Roman"/>
              </w:rPr>
              <w:t>m</w:t>
            </w:r>
            <w:r w:rsidRPr="00F54E97">
              <w:rPr>
                <w:rFonts w:cs="Times New Roman"/>
                <w:vertAlign w:val="superscript"/>
              </w:rPr>
              <w:t>2</w:t>
            </w:r>
            <w:r w:rsidRPr="00F54E97">
              <w:rPr>
                <w:rStyle w:val="TableText9"/>
                <w:rFonts w:cs="Times New Roman"/>
                <w:sz w:val="20"/>
              </w:rPr>
              <w:t xml:space="preserve">  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 xml:space="preserve">  on day 1 of a 4-week cycle.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 xml:space="preserve">Arm 2 (n=172 randomized [167 treated]): 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 xml:space="preserve">  Rituximab 375 mg/</w:t>
            </w:r>
            <w:r w:rsidRPr="00F54E97">
              <w:rPr>
                <w:rFonts w:cs="Times New Roman"/>
              </w:rPr>
              <w:t>m</w:t>
            </w:r>
            <w:r w:rsidRPr="00F54E97">
              <w:rPr>
                <w:rFonts w:cs="Times New Roman"/>
                <w:vertAlign w:val="superscript"/>
              </w:rPr>
              <w:t>2</w:t>
            </w:r>
            <w:r w:rsidRPr="00F54E97">
              <w:rPr>
                <w:rStyle w:val="TableText9"/>
                <w:rFonts w:cs="Times New Roman"/>
                <w:sz w:val="20"/>
              </w:rPr>
              <w:t xml:space="preserve"> on day 1 +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 xml:space="preserve">  bendamustine 120 mg/</w:t>
            </w:r>
            <w:r w:rsidRPr="00F54E97">
              <w:rPr>
                <w:rFonts w:cs="Times New Roman"/>
              </w:rPr>
              <w:t>m</w:t>
            </w:r>
            <w:r w:rsidRPr="00F54E97">
              <w:rPr>
                <w:rFonts w:cs="Times New Roman"/>
                <w:vertAlign w:val="superscript"/>
              </w:rPr>
              <w:t>2</w:t>
            </w:r>
            <w:r w:rsidRPr="00F54E97">
              <w:rPr>
                <w:rStyle w:val="TableText9"/>
                <w:rFonts w:cs="Times New Roman"/>
                <w:sz w:val="20"/>
              </w:rPr>
              <w:t xml:space="preserve"> on days 1 and 2 of</w:t>
            </w:r>
          </w:p>
          <w:p w:rsidR="00361A5C" w:rsidRPr="00F54E97" w:rsidRDefault="00361A5C" w:rsidP="007E1D11">
            <w:pPr>
              <w:pStyle w:val="TableText"/>
              <w:ind w:left="131" w:hanging="131"/>
              <w:rPr>
                <w:rFonts w:cs="Times New Roman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 xml:space="preserve">  a 4-week cycle or rituximab 375 mg</w:t>
            </w:r>
            <w:r w:rsidRPr="00F54E97">
              <w:rPr>
                <w:rFonts w:cs="Times New Roman"/>
              </w:rPr>
              <w:t>/m</w:t>
            </w:r>
            <w:r w:rsidRPr="00F54E97">
              <w:rPr>
                <w:rFonts w:cs="Times New Roman"/>
                <w:vertAlign w:val="superscript"/>
              </w:rPr>
              <w:t>2</w:t>
            </w:r>
            <w:r w:rsidRPr="00F54E97">
              <w:rPr>
                <w:rStyle w:val="TableText9"/>
                <w:rFonts w:cs="Times New Roman"/>
                <w:sz w:val="20"/>
              </w:rPr>
              <w:t xml:space="preserve"> on days 1, 8, 15, and 22 of cycle 1 and on day 1 for all other cycles,  + gemcitabine 1000 mg/</w:t>
            </w:r>
            <w:r w:rsidRPr="00F54E97">
              <w:rPr>
                <w:rFonts w:cs="Times New Roman"/>
              </w:rPr>
              <w:t>m</w:t>
            </w:r>
            <w:r w:rsidRPr="00F54E97">
              <w:rPr>
                <w:rFonts w:cs="Times New Roman"/>
                <w:vertAlign w:val="superscript"/>
              </w:rPr>
              <w:t>2</w:t>
            </w:r>
            <w:r w:rsidRPr="00F54E97">
              <w:rPr>
                <w:rStyle w:val="TableText9"/>
                <w:rFonts w:cs="Times New Roman"/>
                <w:sz w:val="20"/>
              </w:rPr>
              <w:t xml:space="preserve"> on days 1, 8, and 15 of a 4-week cycle.</w:t>
            </w:r>
          </w:p>
        </w:tc>
        <w:tc>
          <w:tcPr>
            <w:tcW w:w="743" w:type="pct"/>
            <w:tcBorders>
              <w:top w:val="nil"/>
              <w:bottom w:val="single" w:sz="4" w:space="0" w:color="auto"/>
            </w:tcBorders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145</w:t>
            </w:r>
          </w:p>
        </w:tc>
        <w:tc>
          <w:tcPr>
            <w:tcW w:w="61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 xml:space="preserve">Sparse PK; 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 xml:space="preserve">cycles 1, 3, 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and 4</w:t>
            </w:r>
          </w:p>
        </w:tc>
      </w:tr>
      <w:tr w:rsidR="00361A5C" w:rsidRPr="00F54E97" w:rsidTr="007E1D11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Space"/>
              <w:overflowPunct w:val="0"/>
              <w:autoSpaceDE w:val="0"/>
              <w:autoSpaceDN w:val="0"/>
              <w:adjustRightInd w:val="0"/>
              <w:textAlignment w:val="baseline"/>
              <w:rPr>
                <w:rStyle w:val="TableText9"/>
                <w:rFonts w:eastAsia="TimesNewRoman"/>
                <w:b/>
                <w:sz w:val="20"/>
              </w:rPr>
            </w:pPr>
            <w:r w:rsidRPr="00F54E97">
              <w:rPr>
                <w:rStyle w:val="TableText9"/>
                <w:b/>
                <w:sz w:val="20"/>
              </w:rPr>
              <w:t>Patients With NHL Who Received InO in Combination With Rituximab Plus Chemotherapy</w:t>
            </w:r>
          </w:p>
        </w:tc>
      </w:tr>
      <w:tr w:rsidR="00361A5C" w:rsidRPr="00F54E97" w:rsidTr="007E1D11">
        <w:trPr>
          <w:cantSplit/>
        </w:trPr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Study 11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(Study 1003; clinicaltrials.gov: NCT01055496)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Phase 1,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open-label,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multicenter,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1-arm,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dose</w:t>
            </w:r>
            <w:r w:rsidRPr="00F54E97">
              <w:rPr>
                <w:rStyle w:val="TableText9"/>
                <w:rFonts w:eastAsia="TimesNewRoman" w:cs="Times New Roman"/>
                <w:sz w:val="20"/>
              </w:rPr>
              <w:noBreakHyphen/>
              <w:t>finding</w:t>
            </w:r>
          </w:p>
        </w:tc>
        <w:tc>
          <w:tcPr>
            <w:tcW w:w="18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Arm 1 (n=48):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 xml:space="preserve">  InO (0.4, 0.8, 1.3 mg/m</w:t>
            </w:r>
            <w:r w:rsidRPr="00F54E97">
              <w:rPr>
                <w:rStyle w:val="TableText9"/>
                <w:rFonts w:cs="Times New Roman"/>
                <w:sz w:val="20"/>
                <w:vertAlign w:val="superscript"/>
              </w:rPr>
              <w:t>2</w:t>
            </w:r>
            <w:r w:rsidRPr="00F54E97">
              <w:rPr>
                <w:rStyle w:val="TableText9"/>
                <w:rFonts w:cs="Times New Roman"/>
                <w:sz w:val="20"/>
              </w:rPr>
              <w:t>)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 xml:space="preserve">  + R</w:t>
            </w:r>
            <w:r w:rsidRPr="00F54E97">
              <w:rPr>
                <w:rStyle w:val="TableText9"/>
                <w:rFonts w:cs="Times New Roman"/>
                <w:sz w:val="20"/>
              </w:rPr>
              <w:noBreakHyphen/>
              <w:t>CVP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Arm 2 (n=55):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 xml:space="preserve">  InO (0.8 mg/m</w:t>
            </w:r>
            <w:r w:rsidRPr="00F54E97">
              <w:rPr>
                <w:rStyle w:val="TableText9"/>
                <w:rFonts w:cs="Times New Roman"/>
                <w:sz w:val="20"/>
                <w:vertAlign w:val="superscript"/>
              </w:rPr>
              <w:t>2</w:t>
            </w:r>
            <w:r w:rsidRPr="00F54E97">
              <w:rPr>
                <w:rStyle w:val="TableText9"/>
                <w:rFonts w:cs="Times New Roman"/>
                <w:sz w:val="20"/>
              </w:rPr>
              <w:t>) +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 xml:space="preserve">  R</w:t>
            </w:r>
            <w:r w:rsidRPr="00F54E97">
              <w:rPr>
                <w:rStyle w:val="TableText9"/>
                <w:rFonts w:cs="Times New Roman"/>
                <w:sz w:val="20"/>
              </w:rPr>
              <w:noBreakHyphen/>
              <w:t>GDP</w:t>
            </w:r>
          </w:p>
        </w:tc>
        <w:tc>
          <w:tcPr>
            <w:tcW w:w="743" w:type="pct"/>
            <w:tcBorders>
              <w:top w:val="single" w:sz="4" w:space="0" w:color="auto"/>
              <w:bottom w:val="single" w:sz="4" w:space="0" w:color="auto"/>
            </w:tcBorders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44</w:t>
            </w:r>
          </w:p>
        </w:tc>
        <w:tc>
          <w:tcPr>
            <w:tcW w:w="6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 xml:space="preserve">Sparse PK; 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 xml:space="preserve">cycles 1, 3, 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eastAsia="TimesNewRoman" w:cs="Times New Roman"/>
                <w:sz w:val="20"/>
              </w:rPr>
            </w:pPr>
            <w:r w:rsidRPr="00F54E97">
              <w:rPr>
                <w:rStyle w:val="TableText9"/>
                <w:rFonts w:eastAsia="TimesNewRoman" w:cs="Times New Roman"/>
                <w:sz w:val="20"/>
              </w:rPr>
              <w:t>and 4</w:t>
            </w:r>
          </w:p>
        </w:tc>
      </w:tr>
    </w:tbl>
    <w:p w:rsidR="00361A5C" w:rsidRPr="00F54E97" w:rsidRDefault="00361A5C" w:rsidP="00361A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4E97">
        <w:rPr>
          <w:rFonts w:ascii="Times New Roman" w:hAnsi="Times New Roman" w:cs="Times New Roman"/>
          <w:sz w:val="20"/>
          <w:szCs w:val="20"/>
        </w:rPr>
        <w:t>FIH=first-in-human; FLAG=cytarabine+fludarabine+GCSF; FND=rituximab, fludarabine, mitoxantrone, and dexamethasone; HIDAC=high-dose cytarabine; R-CVP=rituximab, cyclophosphamide, vincristine, and prednisone; R-FND=rituximab, fludarabine, mitoxantrone, and dexamethasone; R-GDP=rituximab, gemcitabine, dexamethasone, and cisplatin.</w:t>
      </w:r>
    </w:p>
    <w:p w:rsidR="00361A5C" w:rsidRPr="00F54E97" w:rsidRDefault="00361A5C" w:rsidP="00361A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4E97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F54E97">
        <w:rPr>
          <w:rFonts w:ascii="Times New Roman" w:hAnsi="Times New Roman" w:cs="Times New Roman"/>
          <w:sz w:val="20"/>
          <w:szCs w:val="20"/>
        </w:rPr>
        <w:t>Sparse PK means that only a few blood samples were collected at each visit (eg, 1‒3 samples) and Full PK means that multiple blood samples were collected at each visit (eg, every hour over a 24-hour period).</w:t>
      </w:r>
    </w:p>
    <w:p w:rsidR="00361A5C" w:rsidRDefault="00361A5C" w:rsidP="00361A5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  <w:sectPr w:rsidR="00361A5C" w:rsidSect="007E1D1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361A5C" w:rsidRPr="00F54E97" w:rsidRDefault="00361A5C" w:rsidP="00361A5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Online Resource</w:t>
      </w:r>
      <w:r w:rsidRPr="00F54E97">
        <w:rPr>
          <w:rFonts w:ascii="Times New Roman" w:hAnsi="Times New Roman" w:cs="Times New Roman"/>
          <w:b/>
          <w:sz w:val="20"/>
          <w:szCs w:val="20"/>
        </w:rPr>
        <w:t xml:space="preserve"> 2. Specifications for Bioanalytical Assay of Inotuzumab Ozogamicin Concentrations</w:t>
      </w:r>
      <w:r>
        <w:rPr>
          <w:rFonts w:ascii="Times New Roman" w:hAnsi="Times New Roman" w:cs="Times New Roman"/>
          <w:b/>
          <w:sz w:val="20"/>
          <w:szCs w:val="20"/>
        </w:rPr>
        <w:t>.</w:t>
      </w:r>
    </w:p>
    <w:p w:rsidR="00361A5C" w:rsidRPr="00F54E97" w:rsidRDefault="00361A5C" w:rsidP="00361A5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0"/>
        <w:gridCol w:w="1657"/>
        <w:gridCol w:w="2527"/>
        <w:gridCol w:w="1350"/>
        <w:gridCol w:w="2172"/>
      </w:tblGrid>
      <w:tr w:rsidR="00361A5C" w:rsidRPr="00F54E97" w:rsidTr="007E1D11"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A5C" w:rsidRPr="00F54E97" w:rsidRDefault="00361A5C" w:rsidP="007E1D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b/>
                <w:sz w:val="20"/>
                <w:szCs w:val="20"/>
              </w:rPr>
              <w:t>Study</w:t>
            </w: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A5C" w:rsidRPr="00F54E97" w:rsidRDefault="00361A5C" w:rsidP="007E1D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b/>
                <w:sz w:val="20"/>
                <w:szCs w:val="20"/>
              </w:rPr>
              <w:t>Assay Method</w:t>
            </w:r>
          </w:p>
        </w:tc>
        <w:tc>
          <w:tcPr>
            <w:tcW w:w="252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A5C" w:rsidRPr="00F54E97" w:rsidRDefault="00361A5C" w:rsidP="007E1D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b/>
                <w:sz w:val="20"/>
                <w:szCs w:val="20"/>
              </w:rPr>
              <w:t>Linear Range, ng/mL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A5C" w:rsidRPr="00F54E97" w:rsidRDefault="00361A5C" w:rsidP="007E1D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b/>
                <w:sz w:val="20"/>
                <w:szCs w:val="20"/>
              </w:rPr>
              <w:t>Precision,</w:t>
            </w:r>
          </w:p>
          <w:p w:rsidR="00361A5C" w:rsidRPr="00F54E97" w:rsidRDefault="00361A5C" w:rsidP="007E1D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b/>
                <w:sz w:val="20"/>
                <w:szCs w:val="20"/>
              </w:rPr>
              <w:t>%CV</w:t>
            </w:r>
            <w:r w:rsidRPr="00F54E9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1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A5C" w:rsidRPr="00F54E97" w:rsidRDefault="00361A5C" w:rsidP="007E1D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b/>
                <w:sz w:val="20"/>
                <w:szCs w:val="20"/>
              </w:rPr>
              <w:t>Bias, %RE</w:t>
            </w:r>
            <w:r w:rsidRPr="00F54E9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a</w:t>
            </w:r>
          </w:p>
        </w:tc>
      </w:tr>
      <w:tr w:rsidR="00361A5C" w:rsidRPr="00F54E97" w:rsidTr="007E1D11">
        <w:tc>
          <w:tcPr>
            <w:tcW w:w="187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361A5C" w:rsidRPr="00F54E97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ALL study</w:t>
            </w:r>
          </w:p>
        </w:tc>
        <w:tc>
          <w:tcPr>
            <w:tcW w:w="1657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361A5C" w:rsidRPr="00F54E97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7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361A5C" w:rsidRPr="00F54E97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361A5C" w:rsidRPr="00F54E97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2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361A5C" w:rsidRPr="00F54E97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A5C" w:rsidRPr="00F54E97" w:rsidTr="007E1D11">
        <w:tc>
          <w:tcPr>
            <w:tcW w:w="1870" w:type="dxa"/>
            <w:tcBorders>
              <w:top w:val="nil"/>
              <w:bottom w:val="nil"/>
            </w:tcBorders>
          </w:tcPr>
          <w:p w:rsidR="00361A5C" w:rsidRPr="00F54E97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57" w:type="dxa"/>
            <w:tcBorders>
              <w:top w:val="nil"/>
              <w:bottom w:val="nil"/>
            </w:tcBorders>
          </w:tcPr>
          <w:p w:rsidR="00361A5C" w:rsidRPr="00F54E97" w:rsidDel="001F587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HPLC/MS/MS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361A5C" w:rsidRPr="00F54E97" w:rsidDel="001F587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1.00‒500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361A5C" w:rsidRPr="00F54E97" w:rsidDel="001F587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≤11.3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361A5C" w:rsidRPr="00F54E97" w:rsidDel="001F587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‒15.3 to 5.58</w:t>
            </w:r>
          </w:p>
        </w:tc>
      </w:tr>
      <w:tr w:rsidR="00361A5C" w:rsidRPr="00F54E97" w:rsidTr="007E1D11">
        <w:tc>
          <w:tcPr>
            <w:tcW w:w="1870" w:type="dxa"/>
            <w:tcBorders>
              <w:top w:val="nil"/>
              <w:bottom w:val="nil"/>
            </w:tcBorders>
          </w:tcPr>
          <w:p w:rsidR="00361A5C" w:rsidRPr="00F54E97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57" w:type="dxa"/>
            <w:tcBorders>
              <w:top w:val="nil"/>
              <w:bottom w:val="nil"/>
            </w:tcBorders>
          </w:tcPr>
          <w:p w:rsidR="00361A5C" w:rsidRPr="00F54E97" w:rsidDel="001F587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HPLC/MS/MS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361A5C" w:rsidRPr="00F54E97" w:rsidDel="001F587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1.00‒500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361A5C" w:rsidRPr="00F54E97" w:rsidDel="001F587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≤13.5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361A5C" w:rsidRPr="00F54E97" w:rsidDel="001F587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‒5.25 to 14.5</w:t>
            </w:r>
          </w:p>
        </w:tc>
      </w:tr>
      <w:tr w:rsidR="00361A5C" w:rsidRPr="00F54E97" w:rsidTr="007E1D11">
        <w:tc>
          <w:tcPr>
            <w:tcW w:w="1870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361A5C" w:rsidRPr="00F54E97" w:rsidDel="000706C8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NHL</w:t>
            </w:r>
          </w:p>
        </w:tc>
        <w:tc>
          <w:tcPr>
            <w:tcW w:w="1657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361A5C" w:rsidRPr="00F54E97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7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361A5C" w:rsidRPr="00F54E97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361A5C" w:rsidRPr="00F54E97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361A5C" w:rsidRPr="00F54E97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A5C" w:rsidRPr="00F54E97" w:rsidTr="007E1D11">
        <w:tc>
          <w:tcPr>
            <w:tcW w:w="1870" w:type="dxa"/>
            <w:tcBorders>
              <w:top w:val="nil"/>
              <w:bottom w:val="nil"/>
            </w:tcBorders>
          </w:tcPr>
          <w:p w:rsidR="00361A5C" w:rsidRPr="00F54E97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57" w:type="dxa"/>
            <w:tcBorders>
              <w:top w:val="nil"/>
              <w:bottom w:val="nil"/>
            </w:tcBorders>
          </w:tcPr>
          <w:p w:rsidR="00361A5C" w:rsidRPr="00F54E97" w:rsidDel="001F587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ELISA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361A5C" w:rsidRPr="00F54E97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418‒11,200</w:t>
            </w:r>
            <w:r w:rsidRPr="00F54E9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  <w:p w:rsidR="00361A5C" w:rsidRPr="00F54E97" w:rsidDel="001F587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52.2‒1400</w:t>
            </w:r>
            <w:r w:rsidRPr="00CD282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361A5C" w:rsidRPr="00F54E97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≤13.8</w:t>
            </w:r>
          </w:p>
          <w:p w:rsidR="00361A5C" w:rsidRPr="00F54E97" w:rsidDel="001F587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≤14.3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361A5C" w:rsidRPr="00F54E97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‒10.2 to 1.1</w:t>
            </w:r>
          </w:p>
          <w:p w:rsidR="00361A5C" w:rsidRPr="00F54E97" w:rsidDel="001F587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‒10.5 to ‒4.2</w:t>
            </w:r>
          </w:p>
        </w:tc>
      </w:tr>
      <w:tr w:rsidR="00361A5C" w:rsidRPr="00F54E97" w:rsidTr="007E1D11">
        <w:tc>
          <w:tcPr>
            <w:tcW w:w="1870" w:type="dxa"/>
            <w:tcBorders>
              <w:top w:val="nil"/>
              <w:bottom w:val="nil"/>
            </w:tcBorders>
          </w:tcPr>
          <w:p w:rsidR="00361A5C" w:rsidRPr="00F54E97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57" w:type="dxa"/>
            <w:tcBorders>
              <w:top w:val="nil"/>
              <w:bottom w:val="nil"/>
            </w:tcBorders>
          </w:tcPr>
          <w:p w:rsidR="00361A5C" w:rsidRPr="00F54E97" w:rsidDel="001F587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ELISA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361A5C" w:rsidRPr="00F54E97" w:rsidDel="001F587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52.2‒1400</w:t>
            </w:r>
            <w:r w:rsidRPr="00F54E9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361A5C" w:rsidRPr="00F54E97" w:rsidDel="001F587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≤14.8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361A5C" w:rsidRPr="00F54E97" w:rsidDel="001F587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‒8.1 to 1.0</w:t>
            </w:r>
          </w:p>
        </w:tc>
      </w:tr>
      <w:tr w:rsidR="00361A5C" w:rsidRPr="00F54E97" w:rsidTr="007E1D11">
        <w:tc>
          <w:tcPr>
            <w:tcW w:w="1870" w:type="dxa"/>
            <w:tcBorders>
              <w:top w:val="nil"/>
              <w:bottom w:val="nil"/>
            </w:tcBorders>
          </w:tcPr>
          <w:p w:rsidR="00361A5C" w:rsidRPr="00F54E97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57" w:type="dxa"/>
            <w:tcBorders>
              <w:top w:val="nil"/>
              <w:bottom w:val="nil"/>
            </w:tcBorders>
          </w:tcPr>
          <w:p w:rsidR="00361A5C" w:rsidRPr="00F54E97" w:rsidDel="001F587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ELISA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361A5C" w:rsidRPr="00F54E97" w:rsidDel="001F587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50.0‒1400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361A5C" w:rsidRPr="00F54E97" w:rsidDel="001F587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≤8.86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361A5C" w:rsidRPr="00F54E97" w:rsidDel="001F587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‒2.91 to 0.150</w:t>
            </w:r>
          </w:p>
        </w:tc>
      </w:tr>
      <w:tr w:rsidR="00361A5C" w:rsidRPr="00F54E97" w:rsidTr="007E1D11">
        <w:tc>
          <w:tcPr>
            <w:tcW w:w="1870" w:type="dxa"/>
            <w:tcBorders>
              <w:top w:val="nil"/>
              <w:bottom w:val="nil"/>
            </w:tcBorders>
          </w:tcPr>
          <w:p w:rsidR="00361A5C" w:rsidRPr="00F54E97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57" w:type="dxa"/>
            <w:tcBorders>
              <w:top w:val="nil"/>
              <w:bottom w:val="nil"/>
            </w:tcBorders>
          </w:tcPr>
          <w:p w:rsidR="00361A5C" w:rsidRPr="00F54E97" w:rsidDel="001F587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ELISA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361A5C" w:rsidRPr="00F54E97" w:rsidDel="001F587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52.2‒1400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361A5C" w:rsidRPr="00F54E97" w:rsidDel="001F587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≤8.8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361A5C" w:rsidRPr="00F54E97" w:rsidDel="001F587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‒7.3 to 6.3</w:t>
            </w:r>
          </w:p>
        </w:tc>
      </w:tr>
      <w:tr w:rsidR="00361A5C" w:rsidRPr="00F54E97" w:rsidTr="007E1D11">
        <w:tc>
          <w:tcPr>
            <w:tcW w:w="1870" w:type="dxa"/>
            <w:tcBorders>
              <w:top w:val="nil"/>
              <w:bottom w:val="nil"/>
            </w:tcBorders>
          </w:tcPr>
          <w:p w:rsidR="00361A5C" w:rsidRPr="00F54E97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57" w:type="dxa"/>
            <w:tcBorders>
              <w:top w:val="nil"/>
              <w:bottom w:val="nil"/>
            </w:tcBorders>
          </w:tcPr>
          <w:p w:rsidR="00361A5C" w:rsidRPr="00F54E97" w:rsidDel="001F587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ELISA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361A5C" w:rsidRPr="00F54E97" w:rsidDel="001F587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52.2‒1400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361A5C" w:rsidRPr="00F54E97" w:rsidDel="001F587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≤12.4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361A5C" w:rsidRPr="00F54E97" w:rsidDel="001F587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‒4.6 to ‒4.2</w:t>
            </w:r>
          </w:p>
        </w:tc>
      </w:tr>
      <w:tr w:rsidR="00361A5C" w:rsidRPr="00F54E97" w:rsidTr="007E1D11">
        <w:tc>
          <w:tcPr>
            <w:tcW w:w="1870" w:type="dxa"/>
            <w:tcBorders>
              <w:top w:val="nil"/>
              <w:bottom w:val="nil"/>
            </w:tcBorders>
          </w:tcPr>
          <w:p w:rsidR="00361A5C" w:rsidRPr="00F54E97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57" w:type="dxa"/>
            <w:tcBorders>
              <w:top w:val="nil"/>
              <w:bottom w:val="nil"/>
            </w:tcBorders>
          </w:tcPr>
          <w:p w:rsidR="00361A5C" w:rsidRPr="00F54E97" w:rsidDel="001F587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ELISA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361A5C" w:rsidRPr="00F54E97" w:rsidDel="001F587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50.0‒1400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361A5C" w:rsidRPr="00F54E97" w:rsidDel="001F587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≤8.13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361A5C" w:rsidRPr="00F54E97" w:rsidDel="001F587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‒2.86 to 1.59</w:t>
            </w:r>
          </w:p>
        </w:tc>
      </w:tr>
      <w:tr w:rsidR="00361A5C" w:rsidRPr="00F54E97" w:rsidTr="007E1D11">
        <w:tc>
          <w:tcPr>
            <w:tcW w:w="1870" w:type="dxa"/>
            <w:tcBorders>
              <w:top w:val="nil"/>
              <w:bottom w:val="nil"/>
            </w:tcBorders>
          </w:tcPr>
          <w:p w:rsidR="00361A5C" w:rsidRPr="00F54E97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57" w:type="dxa"/>
            <w:tcBorders>
              <w:top w:val="nil"/>
              <w:bottom w:val="nil"/>
            </w:tcBorders>
          </w:tcPr>
          <w:p w:rsidR="00361A5C" w:rsidRPr="00F54E97" w:rsidDel="001F587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ELISA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361A5C" w:rsidRPr="00F54E97" w:rsidDel="001F587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50.0‒1400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361A5C" w:rsidRPr="00F54E97" w:rsidDel="001F587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≤7.53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361A5C" w:rsidRPr="00F54E97" w:rsidDel="001F587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‒4.83 to ‒2.11</w:t>
            </w:r>
          </w:p>
        </w:tc>
      </w:tr>
      <w:tr w:rsidR="00361A5C" w:rsidRPr="00F54E97" w:rsidTr="007E1D11">
        <w:tc>
          <w:tcPr>
            <w:tcW w:w="1870" w:type="dxa"/>
            <w:tcBorders>
              <w:top w:val="nil"/>
              <w:bottom w:val="nil"/>
            </w:tcBorders>
          </w:tcPr>
          <w:p w:rsidR="00361A5C" w:rsidRPr="00F54E97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57" w:type="dxa"/>
            <w:tcBorders>
              <w:top w:val="nil"/>
              <w:bottom w:val="nil"/>
            </w:tcBorders>
          </w:tcPr>
          <w:p w:rsidR="00361A5C" w:rsidRPr="00F54E97" w:rsidDel="001F587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ELISA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361A5C" w:rsidRPr="00F54E97" w:rsidDel="001F587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50.0‒1400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361A5C" w:rsidRPr="00F54E97" w:rsidDel="001F587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≤22.6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361A5C" w:rsidRPr="00F54E97" w:rsidDel="001F587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2.13 to 8.95</w:t>
            </w:r>
          </w:p>
        </w:tc>
      </w:tr>
      <w:tr w:rsidR="00361A5C" w:rsidRPr="00F54E97" w:rsidTr="007E1D11">
        <w:tc>
          <w:tcPr>
            <w:tcW w:w="1870" w:type="dxa"/>
            <w:tcBorders>
              <w:top w:val="nil"/>
            </w:tcBorders>
            <w:shd w:val="clear" w:color="auto" w:fill="auto"/>
          </w:tcPr>
          <w:p w:rsidR="00361A5C" w:rsidRPr="00F54E97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57" w:type="dxa"/>
            <w:tcBorders>
              <w:top w:val="nil"/>
            </w:tcBorders>
            <w:shd w:val="clear" w:color="auto" w:fill="auto"/>
          </w:tcPr>
          <w:p w:rsidR="00361A5C" w:rsidRPr="00F54E97" w:rsidDel="001F587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ELISA</w:t>
            </w:r>
          </w:p>
        </w:tc>
        <w:tc>
          <w:tcPr>
            <w:tcW w:w="2527" w:type="dxa"/>
            <w:tcBorders>
              <w:top w:val="nil"/>
            </w:tcBorders>
            <w:shd w:val="clear" w:color="auto" w:fill="auto"/>
          </w:tcPr>
          <w:p w:rsidR="00361A5C" w:rsidRPr="00F54E97" w:rsidDel="001F587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50.0‒1400</w:t>
            </w:r>
          </w:p>
        </w:tc>
        <w:tc>
          <w:tcPr>
            <w:tcW w:w="1350" w:type="dxa"/>
            <w:tcBorders>
              <w:top w:val="nil"/>
            </w:tcBorders>
            <w:shd w:val="clear" w:color="auto" w:fill="auto"/>
          </w:tcPr>
          <w:p w:rsidR="00361A5C" w:rsidRPr="00F54E97" w:rsidDel="001F587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≤7.68</w:t>
            </w:r>
          </w:p>
        </w:tc>
        <w:tc>
          <w:tcPr>
            <w:tcW w:w="2172" w:type="dxa"/>
            <w:tcBorders>
              <w:top w:val="nil"/>
            </w:tcBorders>
            <w:shd w:val="clear" w:color="auto" w:fill="auto"/>
          </w:tcPr>
          <w:p w:rsidR="00361A5C" w:rsidRPr="00F54E97" w:rsidDel="001F587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97">
              <w:rPr>
                <w:rFonts w:ascii="Times New Roman" w:hAnsi="Times New Roman" w:cs="Times New Roman"/>
                <w:sz w:val="20"/>
                <w:szCs w:val="20"/>
              </w:rPr>
              <w:t>0.317 to 9.81</w:t>
            </w:r>
          </w:p>
        </w:tc>
      </w:tr>
    </w:tbl>
    <w:p w:rsidR="00361A5C" w:rsidRPr="00F54E97" w:rsidRDefault="00361A5C" w:rsidP="00361A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4E97">
        <w:rPr>
          <w:rFonts w:ascii="Times New Roman" w:hAnsi="Times New Roman" w:cs="Times New Roman"/>
          <w:sz w:val="20"/>
          <w:szCs w:val="20"/>
        </w:rPr>
        <w:t>%RE=percent relative error.</w:t>
      </w:r>
    </w:p>
    <w:p w:rsidR="00361A5C" w:rsidRPr="00F82188" w:rsidRDefault="00361A5C" w:rsidP="00361A5C">
      <w:pPr>
        <w:rPr>
          <w:rFonts w:ascii="Times New Roman" w:hAnsi="Times New Roman" w:cs="Times New Roman"/>
          <w:sz w:val="20"/>
          <w:szCs w:val="20"/>
        </w:rPr>
      </w:pPr>
      <w:r w:rsidRPr="00F54E97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F54E97">
        <w:rPr>
          <w:rFonts w:ascii="Times New Roman" w:hAnsi="Times New Roman" w:cs="Times New Roman"/>
          <w:sz w:val="20"/>
          <w:szCs w:val="20"/>
        </w:rPr>
        <w:t xml:space="preserve">Statistics (%RE and %CV) are based on mean assay performance of low, </w:t>
      </w:r>
      <w:r>
        <w:rPr>
          <w:rFonts w:ascii="Times New Roman" w:hAnsi="Times New Roman" w:cs="Times New Roman"/>
          <w:sz w:val="20"/>
          <w:szCs w:val="20"/>
        </w:rPr>
        <w:t xml:space="preserve">mid, </w:t>
      </w:r>
      <w:r w:rsidRPr="00F54E97">
        <w:rPr>
          <w:rFonts w:ascii="Times New Roman" w:hAnsi="Times New Roman" w:cs="Times New Roman"/>
          <w:sz w:val="20"/>
          <w:szCs w:val="20"/>
        </w:rPr>
        <w:t>high, and dilut</w:t>
      </w:r>
      <w:r>
        <w:rPr>
          <w:rFonts w:ascii="Times New Roman" w:hAnsi="Times New Roman" w:cs="Times New Roman"/>
          <w:sz w:val="20"/>
          <w:szCs w:val="20"/>
        </w:rPr>
        <w:t>ed</w:t>
      </w:r>
      <w:r w:rsidRPr="00F54E97">
        <w:rPr>
          <w:rFonts w:ascii="Times New Roman" w:hAnsi="Times New Roman" w:cs="Times New Roman"/>
          <w:sz w:val="20"/>
          <w:szCs w:val="20"/>
        </w:rPr>
        <w:t xml:space="preserve"> (if applicable) quality control samples from all analytical batches meeting acceptance criteria; </w:t>
      </w:r>
      <w:r w:rsidRPr="00F54E97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F54E97">
        <w:rPr>
          <w:rFonts w:ascii="Times New Roman" w:hAnsi="Times New Roman" w:cs="Times New Roman"/>
          <w:sz w:val="20"/>
          <w:szCs w:val="20"/>
        </w:rPr>
        <w:t xml:space="preserve">includes LLOQ 667 ng/mL; </w:t>
      </w:r>
      <w:r w:rsidRPr="00F54E97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F54E97">
        <w:rPr>
          <w:rFonts w:ascii="Times New Roman" w:hAnsi="Times New Roman" w:cs="Times New Roman"/>
          <w:sz w:val="20"/>
          <w:szCs w:val="20"/>
        </w:rPr>
        <w:t>includes LLOQ 83.4 ng/mL.</w:t>
      </w:r>
      <w:r w:rsidRPr="00F54E97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361A5C" w:rsidRDefault="00361A5C" w:rsidP="00361A5C">
      <w:pPr>
        <w:rPr>
          <w:rFonts w:ascii="Times New Roman" w:hAnsi="Times New Roman" w:cs="Times New Roman"/>
          <w:b/>
          <w:sz w:val="20"/>
          <w:szCs w:val="20"/>
          <w:u w:val="single"/>
        </w:rPr>
        <w:sectPr w:rsidR="00361A5C" w:rsidSect="007E1D1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361A5C" w:rsidRPr="00926C1C" w:rsidRDefault="00361A5C" w:rsidP="00361A5C">
      <w:pPr>
        <w:rPr>
          <w:rFonts w:ascii="Times New Roman" w:hAnsi="Times New Roman" w:cs="Times New Roman"/>
          <w:b/>
          <w:sz w:val="20"/>
          <w:szCs w:val="20"/>
        </w:rPr>
      </w:pPr>
      <w:r w:rsidRPr="00926C1C">
        <w:rPr>
          <w:rFonts w:ascii="Times New Roman" w:hAnsi="Times New Roman" w:cs="Times New Roman"/>
          <w:b/>
          <w:sz w:val="20"/>
          <w:szCs w:val="20"/>
        </w:rPr>
        <w:t>Online Resource 3. NONMEM Code for the Final Model</w:t>
      </w:r>
      <w:r>
        <w:rPr>
          <w:rFonts w:ascii="Times New Roman" w:hAnsi="Times New Roman" w:cs="Times New Roman"/>
          <w:b/>
          <w:sz w:val="20"/>
          <w:szCs w:val="20"/>
        </w:rPr>
        <w:t>.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$PROBLEM run1.mod ; Supplement Analysis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$INPUT C PROT NSID ID XDATE=DROP XTIME=DROP TIME CYCL OCC 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XMDV=DROP MDV XEVI=DROP EVID FLAG=DROP XDV=DROP XDV3=DROP XLND=DROP DV 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RATE AMT DOSE AGE SEX RACE WT=DROP BWT BSA=DROP BBSA CCL=DROP BCCL 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ALB=DROP BALB ALK=DROP BALK=DROP ALT=DROP BALT AST=DROP BAST BIL=DROP BBIL 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RITX RITU COMB GCSF SALV HYDR ECOG=DROP BECOG RADIO CHPH=DROP PGP 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BMB=DROP BBMB BLAS=DROP BHGRADE HGRADE=DROP XBLQ=DROP 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BLSTABL CD22BLST BLSTPB CD22PPB LOQ PTST ASIA JAPA LBLSTABL LCD22BLST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$DATA B193_PPK_PMAR202_SUPPLEMENT_27JUN2016_tafd.csv WIDE IGNORE=C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$SUBROUTINE ADVAN6 TOL=6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$MODEL      NCOMP=2 COMP=(CENTRAL) ; 1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           COMP=(PHP) ; 2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$PK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;;; V1BBSA-DEFINITION START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V1BBSA = ( 1 + THETA(15)*(BBSA - 1.84))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;;; V1BBSA-DEFINITION END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;;; V1-RELATION START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V1COV=V1BBSA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;;; V1-RELATION END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;;; KDESBLSTPB-DEFINITION START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IF(BLSTPB.EQ.-99) THEN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  KDESBLSTPB = 1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ELSE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  KDESBLSTPB = ((BLSTPB/5.25)**THETA(14))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ENDIF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;;; KDESBLSTPB-DEFINITION END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;;; KDES-RELATION START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KDESCOV=KDESBLSTPB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;;; KDES-RELATION END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;;; CL2BBSA-DEFINITION START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  CL2BBSA = ((BBSA/1.84)**THETA(13))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;;; CL2BBSA-DEFINITION END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;;; CL2-RELATION START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CL2COV=CL2BBSA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;;; CL2-RELATION END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;;; CL1RITX-DEFINITION START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IF(RITX.EQ.1) CL1RITX = 1  ; Most common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IF(RITX.EQ.0) CL1RITX = ( 1 + THETA(12))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;;; CL1RITX-DEFINITION END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;;; CL1BBSA-DEFINITION START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  CL1BBSA = ((BBSA/1.84)**THETA(11))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;;; CL1BBSA-DEFINITION END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;;; CL1-RELATION START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CL1COV=CL1BBSA*CL1RITX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;;; CL1-RELATION END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IF (EVID.EQ.1.OR.EVID.EQ.4) THEN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TDOS=TIME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TAD=0.0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ENDIF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IF (EVID.NE.1.AND.EVID.NE.4) TAD=TIME-TDOS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;;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IF(PTST.EQ.1) CLPTST=1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IF(PTST.EQ.2) CLPTST=(1+THETA(9)) ; ALL on CL1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;;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IF(PTST.EQ.1) KDPTST=1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IF(PTST.EQ.2) KDPTST=(1+THETA(10)) ; ALL on KDES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TVCL1   = THETA(1)  ; linear clearance 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TVCL1 = CL1COV*TVCL1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TVV1    = THETA(2)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TVV1 = V1COV*TVV1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TVCL2   = THETA(3)  ; clearance associated w/time-dependent clearance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TVCL2 = CL2COV*TVCL2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TVKDES  = THETA(4)  ; decay coefficient associated w/ time-dependent clearance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TVKDES = KDESCOV*TVKDES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TVQ     = THETA(5)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TVV2    = THETA(6) 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CL1     = TVCL1*CLPTST*EXP(ETA(1))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V1      = TVV1*EXP(ETA(2))  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CL2     = TVCL2*EXP(ETA(3))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KDES    = TVKDES*KDPTST*EXP(ETA(4)) 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Q       = TVQ                                                  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V2      = TVV2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S1  = V1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K12 = Q/V1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K21 = Q/V2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$DES                               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C1 = A(1)/V1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CL= CL1 + CL2 * EXP(-KDES*T)  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K10 = CL/V1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DADT(1) =  -K12*A(1) + K21*A(2) - K10*A(1) 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DADT(2) =  -K21*A(2) + K12*A(1)                                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                                                            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$ERROR 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 SIG=THETA(7)                ; prop error for NHL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 IF(PTST.EQ.2) SIG=THETA(8)  ; prop error for ALL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 LLOQ=LOG(LOQ)</w:t>
      </w:r>
      <w:r w:rsidRPr="00926C1C">
        <w:rPr>
          <w:rFonts w:ascii="Courier New" w:hAnsi="Courier New" w:cs="Courier New"/>
          <w:sz w:val="20"/>
          <w:szCs w:val="20"/>
        </w:rPr>
        <w:tab/>
      </w:r>
      <w:r w:rsidRPr="00926C1C">
        <w:rPr>
          <w:rFonts w:ascii="Courier New" w:hAnsi="Courier New" w:cs="Courier New"/>
          <w:sz w:val="20"/>
          <w:szCs w:val="20"/>
        </w:rPr>
        <w:tab/>
        <w:t xml:space="preserve">      ; log-transformed because DV=log(CONC)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 IPRED = LOG(0.0001)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 IF(F.GT.0) IPRED = LOG(F)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 DUM    = (LLOQ-IPRED)/SIG  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 CUMD   = PHI(DUM)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;-------------------------------------------------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                BLQ = 0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 IF(DV.LT.LLOQ) BLQ = 1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;-- Prediction DV&gt;=LLOQ --------------------------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 W     = SIG      </w:t>
      </w:r>
      <w:r w:rsidRPr="00926C1C">
        <w:rPr>
          <w:rFonts w:ascii="Courier New" w:hAnsi="Courier New" w:cs="Courier New"/>
          <w:sz w:val="20"/>
          <w:szCs w:val="20"/>
        </w:rPr>
        <w:tab/>
      </w:r>
      <w:r w:rsidRPr="00926C1C">
        <w:rPr>
          <w:rFonts w:ascii="Courier New" w:hAnsi="Courier New" w:cs="Courier New"/>
          <w:sz w:val="20"/>
          <w:szCs w:val="20"/>
        </w:rPr>
        <w:tab/>
        <w:t>; residual error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 IRES  = DV-IPRED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 IWRES = IRES/W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 IF(DV.GE.LLOQ) THEN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     F_FLAG = 0</w:t>
      </w:r>
      <w:r w:rsidRPr="00926C1C">
        <w:rPr>
          <w:rFonts w:ascii="Courier New" w:hAnsi="Courier New" w:cs="Courier New"/>
          <w:sz w:val="20"/>
          <w:szCs w:val="20"/>
        </w:rPr>
        <w:tab/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     Y      = IPRED+W*ERR(1)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 ENDIF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;-- Likelihood DV&lt;LLOQ --------------------------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 IF(DV.LT.LLOQ) THEN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     F_FLAG = 1</w:t>
      </w:r>
      <w:r w:rsidRPr="00926C1C">
        <w:rPr>
          <w:rFonts w:ascii="Courier New" w:hAnsi="Courier New" w:cs="Courier New"/>
          <w:sz w:val="20"/>
          <w:szCs w:val="20"/>
        </w:rPr>
        <w:tab/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     Y      = CUMD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 ENDIF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;------------------------------------------------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$THETA  (0,0.118248) ; 1 CL1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$THETA  (0,6.63858) ; 2 V1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$THETA  (0,0.367849) ; 3 CL2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$THETA  (0,0.0321833) ; 4 KDES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$THETA  (0,0.0398226) ; 5 Q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$THETA  (0,5.46741) ; 6 V2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$THETA  (0,0.45281) ; 7 prop.err for NHL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$THETA  (0,0.640802) ; 8 prop.err for ALL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$THETA  (-1,-0.7164) ; 9 ALL on CL1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$THETA  (-1,-0.830125) ; 10 ALL on KDES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$THETA  (-1000000,1.53,1000000) ; CL1BBSA1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$THETA  (-1,0.154,5) ; CL1RITX1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$THETA  (-1000000,1.63,1000000) ; CL2BBSA1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$THETA  (-1000000,-0.0399,1000000) ; KDESBLSTPB1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$THETA  (-1.030,0.771,1.388) ; V1BBSA1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$OMEGA  BLOCK(3)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0.258271  ;  1.IIV.CL1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0.216144  ; 1-2.COV.CL1.V1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0.205707  ;   2.IIV.V1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0.326711  ; 1-3.COV.CL1.CL2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0.29147  ; 2-3.COV.CL2.V1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0.600566  ;  3.IIV.CL2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$OMEGA  BLOCK(1)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0.254607  ; 4.IIV.KDES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$SIGMA  1  FIX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$ESTIMATION METHOD=COND INTER LAPLACIAN SLOW NUMERICAL SIGDIG=2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MAXEVAL=9990 NOABORT POSTHOC FILE=run1.ext MSFO=MSF20.msf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$COV UNCONDITIONAL PRINT=E MATRIX=S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$TABLE ID PROT PTST TIME TAD IPRED IWRES CWRES CWRESI CRESI CPREDI NPDE BLQ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MDV EVID DOSE CL CL1 CL2 V1 Q V2 KDES NOPRINT ONEHEADER FORMAT=sF14.4 FILE=sdtab1    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$TABLE ID PROT PTST CL1 CL2 V1 Q V2 KDES ETA1 ETA2 ETA3 ETA4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NOPRINT NOAPPEND ONEHEADER FORMAT=sF14.4 FILE=patab1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$TABLE ID PROT PTST AGE BWT BBSA BCCL BALB BALT BAST BBIL BBMB BLSTABL 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CD22BLST BLSTPB CD22PPB LBLSTABL LCD22BLST ETA1 ETA2 ETA3 ETA4 DOSE 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NOPRINT NOAPPEND ONEHEADER FORMAT=sF14.4 FILE=cotab1                      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$TABLE ID PROT PTST SEX RACE ASIA JAPA BECOG PGP RITX RITU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BHGRADE COMB GCSF SALV HYDR RADIO ETA1 ETA2 ETA3 ETA4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NOPRINT NOAPPEND ONEHEADER FORMAT=sF14.4 FILE=catab1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>$TABLE C PROT CYCL OCC NSID ID TIME TAD MDV EVID DV RATE AMT DOSE BBSA BLSTPB RITX</w:t>
      </w:r>
    </w:p>
    <w:p w:rsidR="00361A5C" w:rsidRPr="00926C1C" w:rsidRDefault="00361A5C" w:rsidP="00361A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26C1C">
        <w:rPr>
          <w:rFonts w:ascii="Courier New" w:hAnsi="Courier New" w:cs="Courier New"/>
          <w:sz w:val="20"/>
          <w:szCs w:val="20"/>
        </w:rPr>
        <w:t xml:space="preserve"> CL CL1 CL2 V1 Q V2 KDES NOPRINT NOAPPEND ONEHEADER FORMAT=sF14.4 FILE=simtab1</w:t>
      </w:r>
    </w:p>
    <w:p w:rsidR="00361A5C" w:rsidRPr="00926C1C" w:rsidRDefault="00361A5C" w:rsidP="00361A5C">
      <w:pPr>
        <w:rPr>
          <w:rFonts w:ascii="CourierNew" w:eastAsia="CourierNew" w:cs="CourierNew"/>
          <w:sz w:val="20"/>
          <w:szCs w:val="20"/>
        </w:rPr>
      </w:pPr>
    </w:p>
    <w:p w:rsidR="00361A5C" w:rsidRDefault="00361A5C" w:rsidP="00361A5C">
      <w:pPr>
        <w:rPr>
          <w:rFonts w:ascii="CourierNew" w:eastAsia="CourierNew" w:cs="CourierNew"/>
          <w:sz w:val="18"/>
          <w:szCs w:val="18"/>
        </w:rPr>
        <w:sectPr w:rsidR="00361A5C" w:rsidSect="007E1D1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61A5C" w:rsidRPr="00F54E97" w:rsidRDefault="00361A5C" w:rsidP="00361A5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Online Resource</w:t>
      </w:r>
      <w:r w:rsidRPr="00F54E97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4</w:t>
      </w:r>
      <w:r w:rsidRPr="00F54E97">
        <w:rPr>
          <w:rFonts w:ascii="Times New Roman" w:hAnsi="Times New Roman" w:cs="Times New Roman"/>
          <w:b/>
          <w:sz w:val="20"/>
          <w:szCs w:val="20"/>
        </w:rPr>
        <w:t>. Summary of Baseline Categorical Covariates by Disease</w:t>
      </w:r>
      <w:r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3368"/>
        <w:gridCol w:w="2229"/>
        <w:gridCol w:w="2601"/>
        <w:gridCol w:w="2353"/>
        <w:gridCol w:w="2625"/>
      </w:tblGrid>
      <w:tr w:rsidR="00361A5C" w:rsidRPr="00F54E97" w:rsidTr="007E1D11">
        <w:trPr>
          <w:cantSplit/>
          <w:tblHeader/>
        </w:trPr>
        <w:tc>
          <w:tcPr>
            <w:tcW w:w="12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61A5C" w:rsidRPr="00F54E97" w:rsidRDefault="00361A5C" w:rsidP="007E1D11">
            <w:pPr>
              <w:pStyle w:val="TableTextColHead"/>
              <w:jc w:val="left"/>
              <w:rPr>
                <w:rStyle w:val="TableText9"/>
                <w:sz w:val="20"/>
              </w:rPr>
            </w:pPr>
            <w:r w:rsidRPr="00F54E97">
              <w:rPr>
                <w:rStyle w:val="TableText9"/>
                <w:sz w:val="20"/>
              </w:rPr>
              <w:t>Covariate, n (%)</w:t>
            </w:r>
          </w:p>
        </w:tc>
        <w:tc>
          <w:tcPr>
            <w:tcW w:w="84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A5C" w:rsidRPr="00F54E97" w:rsidRDefault="00361A5C" w:rsidP="007E1D11">
            <w:pPr>
              <w:pStyle w:val="TableTextColHead"/>
              <w:rPr>
                <w:rStyle w:val="TableText9"/>
                <w:sz w:val="20"/>
              </w:rPr>
            </w:pPr>
            <w:r w:rsidRPr="00F54E97">
              <w:rPr>
                <w:rStyle w:val="TableText9"/>
                <w:sz w:val="20"/>
              </w:rPr>
              <w:t>Category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ColHead"/>
              <w:rPr>
                <w:rStyle w:val="TableText9"/>
                <w:sz w:val="20"/>
              </w:rPr>
            </w:pPr>
            <w:r w:rsidRPr="00F54E97">
              <w:rPr>
                <w:rStyle w:val="TableText9"/>
                <w:sz w:val="20"/>
              </w:rPr>
              <w:t>ALL Total</w:t>
            </w:r>
          </w:p>
          <w:p w:rsidR="00361A5C" w:rsidRPr="00F54E97" w:rsidRDefault="00361A5C" w:rsidP="007E1D11">
            <w:pPr>
              <w:pStyle w:val="TableTextColHead"/>
              <w:rPr>
                <w:rStyle w:val="TableText9"/>
                <w:sz w:val="20"/>
              </w:rPr>
            </w:pPr>
            <w:r w:rsidRPr="00F54E97">
              <w:rPr>
                <w:rStyle w:val="TableText9"/>
                <w:sz w:val="20"/>
              </w:rPr>
              <w:t>n=234</w:t>
            </w:r>
          </w:p>
        </w:tc>
        <w:tc>
          <w:tcPr>
            <w:tcW w:w="8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ColHead"/>
              <w:rPr>
                <w:rStyle w:val="TableText9"/>
                <w:sz w:val="20"/>
              </w:rPr>
            </w:pPr>
            <w:r w:rsidRPr="00F54E97">
              <w:rPr>
                <w:rStyle w:val="TableText9"/>
                <w:sz w:val="20"/>
              </w:rPr>
              <w:t>NHL Total</w:t>
            </w:r>
          </w:p>
          <w:p w:rsidR="00361A5C" w:rsidRPr="00F54E97" w:rsidRDefault="00361A5C" w:rsidP="007E1D11">
            <w:pPr>
              <w:pStyle w:val="TableTextColHead"/>
              <w:rPr>
                <w:rStyle w:val="TableText9"/>
                <w:sz w:val="20"/>
              </w:rPr>
            </w:pPr>
            <w:r w:rsidRPr="00F54E97">
              <w:rPr>
                <w:rStyle w:val="TableText9"/>
                <w:sz w:val="20"/>
              </w:rPr>
              <w:t>n=531</w:t>
            </w:r>
          </w:p>
        </w:tc>
        <w:tc>
          <w:tcPr>
            <w:tcW w:w="9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ColHead"/>
              <w:rPr>
                <w:rStyle w:val="TableText9"/>
                <w:sz w:val="20"/>
              </w:rPr>
            </w:pPr>
            <w:r w:rsidRPr="00F54E97">
              <w:rPr>
                <w:rStyle w:val="TableText9"/>
                <w:sz w:val="20"/>
              </w:rPr>
              <w:t xml:space="preserve">Total </w:t>
            </w:r>
          </w:p>
          <w:p w:rsidR="00361A5C" w:rsidRPr="00F54E97" w:rsidRDefault="00361A5C" w:rsidP="007E1D11">
            <w:pPr>
              <w:pStyle w:val="TableTextColHead"/>
              <w:rPr>
                <w:rStyle w:val="TableText9"/>
                <w:sz w:val="20"/>
              </w:rPr>
            </w:pPr>
            <w:r w:rsidRPr="00F54E97">
              <w:rPr>
                <w:rStyle w:val="TableText9"/>
                <w:sz w:val="20"/>
              </w:rPr>
              <w:t>N=765</w:t>
            </w:r>
          </w:p>
        </w:tc>
      </w:tr>
      <w:tr w:rsidR="00361A5C" w:rsidRPr="00F54E97" w:rsidTr="007E1D11">
        <w:trPr>
          <w:cantSplit/>
        </w:trPr>
        <w:tc>
          <w:tcPr>
            <w:tcW w:w="1278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Sex</w:t>
            </w:r>
          </w:p>
        </w:tc>
        <w:tc>
          <w:tcPr>
            <w:tcW w:w="846" w:type="pct"/>
            <w:tcBorders>
              <w:top w:val="single" w:sz="4" w:space="0" w:color="auto"/>
              <w:bottom w:val="nil"/>
            </w:tcBorders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Male</w:t>
            </w:r>
          </w:p>
        </w:tc>
        <w:tc>
          <w:tcPr>
            <w:tcW w:w="98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 xml:space="preserve">141 (60.3) </w:t>
            </w:r>
          </w:p>
        </w:tc>
        <w:tc>
          <w:tcPr>
            <w:tcW w:w="89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317 (59.7)</w:t>
            </w:r>
          </w:p>
        </w:tc>
        <w:tc>
          <w:tcPr>
            <w:tcW w:w="99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458 (59.9)</w:t>
            </w:r>
          </w:p>
        </w:tc>
      </w:tr>
      <w:tr w:rsidR="00361A5C" w:rsidRPr="00F54E97" w:rsidTr="007E1D11">
        <w:trPr>
          <w:cantSplit/>
        </w:trPr>
        <w:tc>
          <w:tcPr>
            <w:tcW w:w="1278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</w:p>
        </w:tc>
        <w:tc>
          <w:tcPr>
            <w:tcW w:w="846" w:type="pct"/>
            <w:tcBorders>
              <w:top w:val="nil"/>
              <w:bottom w:val="single" w:sz="4" w:space="0" w:color="auto"/>
            </w:tcBorders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Female</w:t>
            </w:r>
          </w:p>
        </w:tc>
        <w:tc>
          <w:tcPr>
            <w:tcW w:w="98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93 (39.7 )</w:t>
            </w:r>
          </w:p>
        </w:tc>
        <w:tc>
          <w:tcPr>
            <w:tcW w:w="89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214 (40.3)</w:t>
            </w:r>
          </w:p>
        </w:tc>
        <w:tc>
          <w:tcPr>
            <w:tcW w:w="99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307 (40.1)</w:t>
            </w:r>
          </w:p>
        </w:tc>
      </w:tr>
      <w:tr w:rsidR="00361A5C" w:rsidRPr="00F54E97" w:rsidTr="007E1D11">
        <w:trPr>
          <w:cantSplit/>
        </w:trPr>
        <w:tc>
          <w:tcPr>
            <w:tcW w:w="1278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Race</w:t>
            </w:r>
          </w:p>
        </w:tc>
        <w:tc>
          <w:tcPr>
            <w:tcW w:w="846" w:type="pct"/>
            <w:tcBorders>
              <w:top w:val="single" w:sz="4" w:space="0" w:color="auto"/>
              <w:bottom w:val="nil"/>
            </w:tcBorders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White</w:t>
            </w:r>
          </w:p>
        </w:tc>
        <w:tc>
          <w:tcPr>
            <w:tcW w:w="98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165 (70.5)</w:t>
            </w:r>
          </w:p>
        </w:tc>
        <w:tc>
          <w:tcPr>
            <w:tcW w:w="89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369 (69.5)</w:t>
            </w:r>
          </w:p>
        </w:tc>
        <w:tc>
          <w:tcPr>
            <w:tcW w:w="99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534 (69.8)</w:t>
            </w:r>
          </w:p>
        </w:tc>
      </w:tr>
      <w:tr w:rsidR="00361A5C" w:rsidRPr="00F54E97" w:rsidTr="007E1D11">
        <w:trPr>
          <w:cantSplit/>
        </w:trPr>
        <w:tc>
          <w:tcPr>
            <w:tcW w:w="1278" w:type="pct"/>
            <w:vMerge/>
            <w:tcBorders>
              <w:top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</w:p>
        </w:tc>
        <w:tc>
          <w:tcPr>
            <w:tcW w:w="846" w:type="pct"/>
            <w:tcBorders>
              <w:top w:val="nil"/>
            </w:tcBorders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Black</w:t>
            </w:r>
          </w:p>
        </w:tc>
        <w:tc>
          <w:tcPr>
            <w:tcW w:w="987" w:type="pct"/>
            <w:tcBorders>
              <w:top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6 (2.56)</w:t>
            </w:r>
          </w:p>
        </w:tc>
        <w:tc>
          <w:tcPr>
            <w:tcW w:w="893" w:type="pct"/>
            <w:tcBorders>
              <w:top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14 (2.64)</w:t>
            </w:r>
          </w:p>
        </w:tc>
        <w:tc>
          <w:tcPr>
            <w:tcW w:w="996" w:type="pct"/>
            <w:tcBorders>
              <w:top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20 (2.61)</w:t>
            </w:r>
          </w:p>
        </w:tc>
      </w:tr>
      <w:tr w:rsidR="00361A5C" w:rsidRPr="00F54E97" w:rsidTr="007E1D11">
        <w:trPr>
          <w:cantSplit/>
        </w:trPr>
        <w:tc>
          <w:tcPr>
            <w:tcW w:w="1278" w:type="pct"/>
            <w:vMerge/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</w:p>
        </w:tc>
        <w:tc>
          <w:tcPr>
            <w:tcW w:w="846" w:type="pct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Asian</w:t>
            </w:r>
            <w:r w:rsidRPr="00F54E97">
              <w:rPr>
                <w:rStyle w:val="TableText9"/>
                <w:rFonts w:cs="Times New Roman"/>
                <w:sz w:val="20"/>
                <w:vertAlign w:val="superscript"/>
              </w:rPr>
              <w:t>a</w:t>
            </w:r>
          </w:p>
        </w:tc>
        <w:tc>
          <w:tcPr>
            <w:tcW w:w="987" w:type="pct"/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24 (10.3)</w:t>
            </w:r>
          </w:p>
        </w:tc>
        <w:tc>
          <w:tcPr>
            <w:tcW w:w="893" w:type="pct"/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30 (5.65)</w:t>
            </w:r>
          </w:p>
        </w:tc>
        <w:tc>
          <w:tcPr>
            <w:tcW w:w="996" w:type="pct"/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54 (7.06)</w:t>
            </w:r>
          </w:p>
        </w:tc>
      </w:tr>
      <w:tr w:rsidR="00361A5C" w:rsidRPr="00F54E97" w:rsidTr="007E1D11">
        <w:trPr>
          <w:cantSplit/>
        </w:trPr>
        <w:tc>
          <w:tcPr>
            <w:tcW w:w="1278" w:type="pct"/>
            <w:vMerge/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</w:p>
        </w:tc>
        <w:tc>
          <w:tcPr>
            <w:tcW w:w="846" w:type="pct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Japanese</w:t>
            </w:r>
          </w:p>
        </w:tc>
        <w:tc>
          <w:tcPr>
            <w:tcW w:w="987" w:type="pct"/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13 (5.56)</w:t>
            </w:r>
          </w:p>
        </w:tc>
        <w:tc>
          <w:tcPr>
            <w:tcW w:w="893" w:type="pct"/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88 (16.6)</w:t>
            </w:r>
          </w:p>
        </w:tc>
        <w:tc>
          <w:tcPr>
            <w:tcW w:w="996" w:type="pct"/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101 (13.2)</w:t>
            </w:r>
          </w:p>
        </w:tc>
      </w:tr>
      <w:tr w:rsidR="00361A5C" w:rsidRPr="00F54E97" w:rsidTr="007E1D11">
        <w:trPr>
          <w:cantSplit/>
        </w:trPr>
        <w:tc>
          <w:tcPr>
            <w:tcW w:w="1278" w:type="pct"/>
            <w:vMerge/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</w:p>
        </w:tc>
        <w:tc>
          <w:tcPr>
            <w:tcW w:w="846" w:type="pct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Other</w:t>
            </w:r>
          </w:p>
        </w:tc>
        <w:tc>
          <w:tcPr>
            <w:tcW w:w="987" w:type="pct"/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23 (9.83)</w:t>
            </w:r>
          </w:p>
        </w:tc>
        <w:tc>
          <w:tcPr>
            <w:tcW w:w="893" w:type="pct"/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30 (5.65)</w:t>
            </w:r>
          </w:p>
        </w:tc>
        <w:tc>
          <w:tcPr>
            <w:tcW w:w="996" w:type="pct"/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53 (6.93)</w:t>
            </w:r>
          </w:p>
        </w:tc>
      </w:tr>
      <w:tr w:rsidR="00361A5C" w:rsidRPr="00F54E97" w:rsidTr="007E1D11">
        <w:trPr>
          <w:cantSplit/>
        </w:trPr>
        <w:tc>
          <w:tcPr>
            <w:tcW w:w="1278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</w:p>
        </w:tc>
        <w:tc>
          <w:tcPr>
            <w:tcW w:w="846" w:type="pct"/>
            <w:tcBorders>
              <w:bottom w:val="single" w:sz="4" w:space="0" w:color="auto"/>
            </w:tcBorders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Unknown</w:t>
            </w:r>
          </w:p>
        </w:tc>
        <w:tc>
          <w:tcPr>
            <w:tcW w:w="987" w:type="pct"/>
            <w:tcBorders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3 (1.28)</w:t>
            </w:r>
          </w:p>
        </w:tc>
        <w:tc>
          <w:tcPr>
            <w:tcW w:w="893" w:type="pct"/>
            <w:tcBorders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0 (0.00)</w:t>
            </w:r>
          </w:p>
        </w:tc>
        <w:tc>
          <w:tcPr>
            <w:tcW w:w="996" w:type="pct"/>
            <w:tcBorders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3 (0.392)</w:t>
            </w:r>
          </w:p>
        </w:tc>
      </w:tr>
      <w:tr w:rsidR="00361A5C" w:rsidRPr="00F54E97" w:rsidTr="007E1D11">
        <w:trPr>
          <w:cantSplit/>
          <w:trHeight w:val="260"/>
        </w:trPr>
        <w:tc>
          <w:tcPr>
            <w:tcW w:w="1278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Baseline ECOG performance score</w:t>
            </w:r>
          </w:p>
        </w:tc>
        <w:tc>
          <w:tcPr>
            <w:tcW w:w="846" w:type="pct"/>
            <w:tcBorders>
              <w:top w:val="single" w:sz="4" w:space="0" w:color="auto"/>
              <w:bottom w:val="nil"/>
            </w:tcBorders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0</w:t>
            </w:r>
          </w:p>
        </w:tc>
        <w:tc>
          <w:tcPr>
            <w:tcW w:w="98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74 (31.6)</w:t>
            </w:r>
          </w:p>
        </w:tc>
        <w:tc>
          <w:tcPr>
            <w:tcW w:w="89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282 (53.1)</w:t>
            </w:r>
          </w:p>
        </w:tc>
        <w:tc>
          <w:tcPr>
            <w:tcW w:w="99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356 (46.5)</w:t>
            </w:r>
          </w:p>
        </w:tc>
      </w:tr>
      <w:tr w:rsidR="00361A5C" w:rsidRPr="00F54E97" w:rsidTr="007E1D11">
        <w:trPr>
          <w:cantSplit/>
        </w:trPr>
        <w:tc>
          <w:tcPr>
            <w:tcW w:w="1278" w:type="pct"/>
            <w:vMerge/>
            <w:tcBorders>
              <w:top w:val="nil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</w:p>
        </w:tc>
        <w:tc>
          <w:tcPr>
            <w:tcW w:w="846" w:type="pct"/>
            <w:tcBorders>
              <w:top w:val="nil"/>
              <w:bottom w:val="nil"/>
            </w:tcBorders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1</w:t>
            </w:r>
          </w:p>
        </w:tc>
        <w:tc>
          <w:tcPr>
            <w:tcW w:w="987" w:type="pct"/>
            <w:tcBorders>
              <w:top w:val="nil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120 (51.3)</w:t>
            </w:r>
          </w:p>
        </w:tc>
        <w:tc>
          <w:tcPr>
            <w:tcW w:w="893" w:type="pct"/>
            <w:tcBorders>
              <w:top w:val="nil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199 (37.5)</w:t>
            </w:r>
          </w:p>
        </w:tc>
        <w:tc>
          <w:tcPr>
            <w:tcW w:w="996" w:type="pct"/>
            <w:tcBorders>
              <w:top w:val="nil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319 (41.7)</w:t>
            </w:r>
          </w:p>
        </w:tc>
      </w:tr>
      <w:tr w:rsidR="00361A5C" w:rsidRPr="00F54E97" w:rsidTr="007E1D11">
        <w:trPr>
          <w:cantSplit/>
        </w:trPr>
        <w:tc>
          <w:tcPr>
            <w:tcW w:w="1278" w:type="pct"/>
            <w:vMerge/>
            <w:tcBorders>
              <w:top w:val="nil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</w:p>
        </w:tc>
        <w:tc>
          <w:tcPr>
            <w:tcW w:w="846" w:type="pct"/>
            <w:tcBorders>
              <w:top w:val="nil"/>
              <w:bottom w:val="nil"/>
            </w:tcBorders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2</w:t>
            </w:r>
          </w:p>
        </w:tc>
        <w:tc>
          <w:tcPr>
            <w:tcW w:w="987" w:type="pct"/>
            <w:tcBorders>
              <w:top w:val="nil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37 (15.8)</w:t>
            </w:r>
          </w:p>
        </w:tc>
        <w:tc>
          <w:tcPr>
            <w:tcW w:w="893" w:type="pct"/>
            <w:tcBorders>
              <w:top w:val="nil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37 (6.97)</w:t>
            </w:r>
          </w:p>
        </w:tc>
        <w:tc>
          <w:tcPr>
            <w:tcW w:w="996" w:type="pct"/>
            <w:tcBorders>
              <w:top w:val="nil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74 (9.67)</w:t>
            </w:r>
          </w:p>
        </w:tc>
      </w:tr>
      <w:tr w:rsidR="00361A5C" w:rsidRPr="00F54E97" w:rsidTr="007E1D11">
        <w:trPr>
          <w:cantSplit/>
        </w:trPr>
        <w:tc>
          <w:tcPr>
            <w:tcW w:w="1278" w:type="pct"/>
            <w:vMerge/>
            <w:tcBorders>
              <w:top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</w:p>
        </w:tc>
        <w:tc>
          <w:tcPr>
            <w:tcW w:w="846" w:type="pct"/>
            <w:tcBorders>
              <w:top w:val="nil"/>
            </w:tcBorders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3</w:t>
            </w:r>
          </w:p>
        </w:tc>
        <w:tc>
          <w:tcPr>
            <w:tcW w:w="987" w:type="pct"/>
            <w:tcBorders>
              <w:top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3 (1.28)</w:t>
            </w:r>
          </w:p>
        </w:tc>
        <w:tc>
          <w:tcPr>
            <w:tcW w:w="893" w:type="pct"/>
            <w:tcBorders>
              <w:top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9 (1.69)</w:t>
            </w:r>
          </w:p>
        </w:tc>
        <w:tc>
          <w:tcPr>
            <w:tcW w:w="996" w:type="pct"/>
            <w:tcBorders>
              <w:top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12 (1.57)</w:t>
            </w:r>
          </w:p>
        </w:tc>
      </w:tr>
      <w:tr w:rsidR="00361A5C" w:rsidRPr="00F54E97" w:rsidTr="007E1D11">
        <w:trPr>
          <w:cantSplit/>
        </w:trPr>
        <w:tc>
          <w:tcPr>
            <w:tcW w:w="1278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</w:p>
        </w:tc>
        <w:tc>
          <w:tcPr>
            <w:tcW w:w="846" w:type="pct"/>
            <w:tcBorders>
              <w:bottom w:val="single" w:sz="4" w:space="0" w:color="auto"/>
            </w:tcBorders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Unknown</w:t>
            </w:r>
          </w:p>
        </w:tc>
        <w:tc>
          <w:tcPr>
            <w:tcW w:w="987" w:type="pct"/>
            <w:tcBorders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0</w:t>
            </w:r>
          </w:p>
        </w:tc>
        <w:tc>
          <w:tcPr>
            <w:tcW w:w="893" w:type="pct"/>
            <w:tcBorders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4 (0.753)</w:t>
            </w:r>
          </w:p>
        </w:tc>
        <w:tc>
          <w:tcPr>
            <w:tcW w:w="996" w:type="pct"/>
            <w:tcBorders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4 (0.523)</w:t>
            </w:r>
          </w:p>
        </w:tc>
      </w:tr>
      <w:tr w:rsidR="00361A5C" w:rsidRPr="00F54E97" w:rsidTr="007E1D11">
        <w:trPr>
          <w:cantSplit/>
        </w:trPr>
        <w:tc>
          <w:tcPr>
            <w:tcW w:w="1278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 xml:space="preserve">Baseline 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NCI ODWG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criteria for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hepatic impairment</w:t>
            </w:r>
          </w:p>
        </w:tc>
        <w:tc>
          <w:tcPr>
            <w:tcW w:w="846" w:type="pct"/>
            <w:tcBorders>
              <w:top w:val="single" w:sz="4" w:space="0" w:color="auto"/>
              <w:bottom w:val="nil"/>
            </w:tcBorders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A (normal)</w:t>
            </w:r>
          </w:p>
        </w:tc>
        <w:tc>
          <w:tcPr>
            <w:tcW w:w="98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167 (71.4)</w:t>
            </w:r>
          </w:p>
        </w:tc>
        <w:tc>
          <w:tcPr>
            <w:tcW w:w="89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443 (83.4)</w:t>
            </w:r>
          </w:p>
        </w:tc>
        <w:tc>
          <w:tcPr>
            <w:tcW w:w="99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610 (79.7)</w:t>
            </w:r>
          </w:p>
        </w:tc>
      </w:tr>
      <w:tr w:rsidR="00361A5C" w:rsidRPr="00F54E97" w:rsidTr="007E1D11">
        <w:trPr>
          <w:cantSplit/>
        </w:trPr>
        <w:tc>
          <w:tcPr>
            <w:tcW w:w="1278" w:type="pct"/>
            <w:vMerge/>
            <w:tcBorders>
              <w:top w:val="nil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</w:p>
        </w:tc>
        <w:tc>
          <w:tcPr>
            <w:tcW w:w="846" w:type="pct"/>
            <w:tcBorders>
              <w:top w:val="nil"/>
              <w:bottom w:val="nil"/>
            </w:tcBorders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B1 (mild)</w:t>
            </w:r>
          </w:p>
        </w:tc>
        <w:tc>
          <w:tcPr>
            <w:tcW w:w="987" w:type="pct"/>
            <w:tcBorders>
              <w:top w:val="nil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58 (24.8)</w:t>
            </w:r>
          </w:p>
        </w:tc>
        <w:tc>
          <w:tcPr>
            <w:tcW w:w="893" w:type="pct"/>
            <w:tcBorders>
              <w:top w:val="nil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75 (14.1)</w:t>
            </w:r>
          </w:p>
        </w:tc>
        <w:tc>
          <w:tcPr>
            <w:tcW w:w="996" w:type="pct"/>
            <w:tcBorders>
              <w:top w:val="nil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133 (17.4)</w:t>
            </w:r>
          </w:p>
        </w:tc>
      </w:tr>
      <w:tr w:rsidR="00361A5C" w:rsidRPr="00F54E97" w:rsidTr="007E1D11">
        <w:trPr>
          <w:cantSplit/>
        </w:trPr>
        <w:tc>
          <w:tcPr>
            <w:tcW w:w="1278" w:type="pct"/>
            <w:vMerge/>
            <w:tcBorders>
              <w:top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</w:p>
        </w:tc>
        <w:tc>
          <w:tcPr>
            <w:tcW w:w="846" w:type="pct"/>
            <w:tcBorders>
              <w:top w:val="nil"/>
            </w:tcBorders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B2 (mild)</w:t>
            </w:r>
          </w:p>
        </w:tc>
        <w:tc>
          <w:tcPr>
            <w:tcW w:w="987" w:type="pct"/>
            <w:tcBorders>
              <w:top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8 (3.42)</w:t>
            </w:r>
          </w:p>
        </w:tc>
        <w:tc>
          <w:tcPr>
            <w:tcW w:w="893" w:type="pct"/>
            <w:tcBorders>
              <w:top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9 (1.69)</w:t>
            </w:r>
          </w:p>
        </w:tc>
        <w:tc>
          <w:tcPr>
            <w:tcW w:w="996" w:type="pct"/>
            <w:tcBorders>
              <w:top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17 (2.22)</w:t>
            </w:r>
          </w:p>
        </w:tc>
      </w:tr>
      <w:tr w:rsidR="00361A5C" w:rsidRPr="00F54E97" w:rsidTr="007E1D11">
        <w:trPr>
          <w:cantSplit/>
        </w:trPr>
        <w:tc>
          <w:tcPr>
            <w:tcW w:w="1278" w:type="pct"/>
            <w:vMerge/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</w:p>
        </w:tc>
        <w:tc>
          <w:tcPr>
            <w:tcW w:w="846" w:type="pct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C (moderate)</w:t>
            </w:r>
          </w:p>
        </w:tc>
        <w:tc>
          <w:tcPr>
            <w:tcW w:w="987" w:type="pct"/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1 (0.427)</w:t>
            </w:r>
          </w:p>
        </w:tc>
        <w:tc>
          <w:tcPr>
            <w:tcW w:w="893" w:type="pct"/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2 (0.377)</w:t>
            </w:r>
          </w:p>
        </w:tc>
        <w:tc>
          <w:tcPr>
            <w:tcW w:w="996" w:type="pct"/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3 (0.392)</w:t>
            </w:r>
          </w:p>
        </w:tc>
      </w:tr>
      <w:tr w:rsidR="00361A5C" w:rsidRPr="00F54E97" w:rsidTr="007E1D11">
        <w:trPr>
          <w:cantSplit/>
        </w:trPr>
        <w:tc>
          <w:tcPr>
            <w:tcW w:w="1278" w:type="pct"/>
            <w:vMerge/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</w:p>
        </w:tc>
        <w:tc>
          <w:tcPr>
            <w:tcW w:w="846" w:type="pct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D (severe)</w:t>
            </w:r>
          </w:p>
        </w:tc>
        <w:tc>
          <w:tcPr>
            <w:tcW w:w="987" w:type="pct"/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0</w:t>
            </w:r>
          </w:p>
        </w:tc>
        <w:tc>
          <w:tcPr>
            <w:tcW w:w="893" w:type="pct"/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1 (0.188)</w:t>
            </w:r>
          </w:p>
        </w:tc>
        <w:tc>
          <w:tcPr>
            <w:tcW w:w="996" w:type="pct"/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1 (0.131)</w:t>
            </w:r>
          </w:p>
        </w:tc>
      </w:tr>
      <w:tr w:rsidR="00361A5C" w:rsidRPr="00F54E97" w:rsidTr="007E1D11">
        <w:trPr>
          <w:cantSplit/>
        </w:trPr>
        <w:tc>
          <w:tcPr>
            <w:tcW w:w="1278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</w:p>
        </w:tc>
        <w:tc>
          <w:tcPr>
            <w:tcW w:w="846" w:type="pct"/>
            <w:tcBorders>
              <w:bottom w:val="single" w:sz="4" w:space="0" w:color="auto"/>
            </w:tcBorders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Unknown</w:t>
            </w:r>
          </w:p>
        </w:tc>
        <w:tc>
          <w:tcPr>
            <w:tcW w:w="987" w:type="pct"/>
            <w:tcBorders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0</w:t>
            </w:r>
          </w:p>
        </w:tc>
        <w:tc>
          <w:tcPr>
            <w:tcW w:w="893" w:type="pct"/>
            <w:tcBorders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1 (0.188)</w:t>
            </w:r>
          </w:p>
        </w:tc>
        <w:tc>
          <w:tcPr>
            <w:tcW w:w="996" w:type="pct"/>
            <w:tcBorders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1 (0.131)</w:t>
            </w:r>
          </w:p>
        </w:tc>
      </w:tr>
      <w:tr w:rsidR="00361A5C" w:rsidRPr="00F54E97" w:rsidTr="007E1D11">
        <w:trPr>
          <w:cantSplit/>
        </w:trPr>
        <w:tc>
          <w:tcPr>
            <w:tcW w:w="1278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Prior radiotherapy</w:t>
            </w:r>
          </w:p>
        </w:tc>
        <w:tc>
          <w:tcPr>
            <w:tcW w:w="846" w:type="pct"/>
            <w:tcBorders>
              <w:top w:val="single" w:sz="4" w:space="0" w:color="auto"/>
              <w:bottom w:val="nil"/>
            </w:tcBorders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No</w:t>
            </w:r>
          </w:p>
        </w:tc>
        <w:tc>
          <w:tcPr>
            <w:tcW w:w="98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177 (75.6)</w:t>
            </w:r>
          </w:p>
        </w:tc>
        <w:tc>
          <w:tcPr>
            <w:tcW w:w="89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397 (74.8)</w:t>
            </w:r>
          </w:p>
        </w:tc>
        <w:tc>
          <w:tcPr>
            <w:tcW w:w="99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574 (75.0)</w:t>
            </w:r>
          </w:p>
        </w:tc>
      </w:tr>
      <w:tr w:rsidR="00361A5C" w:rsidRPr="00F54E97" w:rsidTr="007E1D11">
        <w:trPr>
          <w:cantSplit/>
        </w:trPr>
        <w:tc>
          <w:tcPr>
            <w:tcW w:w="1278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</w:p>
        </w:tc>
        <w:tc>
          <w:tcPr>
            <w:tcW w:w="846" w:type="pct"/>
            <w:tcBorders>
              <w:top w:val="nil"/>
              <w:bottom w:val="single" w:sz="4" w:space="0" w:color="auto"/>
            </w:tcBorders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Yes</w:t>
            </w:r>
          </w:p>
        </w:tc>
        <w:tc>
          <w:tcPr>
            <w:tcW w:w="98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57 (24.4)</w:t>
            </w:r>
          </w:p>
        </w:tc>
        <w:tc>
          <w:tcPr>
            <w:tcW w:w="89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134 (25.2)</w:t>
            </w:r>
          </w:p>
        </w:tc>
        <w:tc>
          <w:tcPr>
            <w:tcW w:w="99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191 (25.0)</w:t>
            </w:r>
          </w:p>
        </w:tc>
      </w:tr>
      <w:tr w:rsidR="00361A5C" w:rsidRPr="00F54E97" w:rsidTr="007E1D11">
        <w:trPr>
          <w:cantSplit/>
        </w:trPr>
        <w:tc>
          <w:tcPr>
            <w:tcW w:w="1278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Salvage line</w:t>
            </w:r>
          </w:p>
        </w:tc>
        <w:tc>
          <w:tcPr>
            <w:tcW w:w="846" w:type="pct"/>
            <w:tcBorders>
              <w:top w:val="single" w:sz="4" w:space="0" w:color="auto"/>
              <w:bottom w:val="nil"/>
            </w:tcBorders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Salvage 1</w:t>
            </w:r>
          </w:p>
        </w:tc>
        <w:tc>
          <w:tcPr>
            <w:tcW w:w="98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128 (54.7)</w:t>
            </w:r>
          </w:p>
        </w:tc>
        <w:tc>
          <w:tcPr>
            <w:tcW w:w="89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NA</w:t>
            </w:r>
          </w:p>
        </w:tc>
        <w:tc>
          <w:tcPr>
            <w:tcW w:w="99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128 (16.7)</w:t>
            </w:r>
          </w:p>
        </w:tc>
      </w:tr>
      <w:tr w:rsidR="00361A5C" w:rsidRPr="00F54E97" w:rsidTr="007E1D11">
        <w:trPr>
          <w:cantSplit/>
        </w:trPr>
        <w:tc>
          <w:tcPr>
            <w:tcW w:w="1278" w:type="pct"/>
            <w:vMerge/>
            <w:tcBorders>
              <w:top w:val="nil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</w:p>
        </w:tc>
        <w:tc>
          <w:tcPr>
            <w:tcW w:w="846" w:type="pct"/>
            <w:tcBorders>
              <w:top w:val="nil"/>
              <w:bottom w:val="nil"/>
            </w:tcBorders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Salvage 2</w:t>
            </w:r>
          </w:p>
        </w:tc>
        <w:tc>
          <w:tcPr>
            <w:tcW w:w="987" w:type="pct"/>
            <w:tcBorders>
              <w:top w:val="nil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77 (32.9)</w:t>
            </w:r>
          </w:p>
        </w:tc>
        <w:tc>
          <w:tcPr>
            <w:tcW w:w="893" w:type="pct"/>
            <w:tcBorders>
              <w:top w:val="nil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NA</w:t>
            </w:r>
          </w:p>
        </w:tc>
        <w:tc>
          <w:tcPr>
            <w:tcW w:w="996" w:type="pct"/>
            <w:tcBorders>
              <w:top w:val="nil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77 (10.1)</w:t>
            </w:r>
          </w:p>
        </w:tc>
      </w:tr>
      <w:tr w:rsidR="00361A5C" w:rsidRPr="00F54E97" w:rsidTr="007E1D11">
        <w:trPr>
          <w:cantSplit/>
        </w:trPr>
        <w:tc>
          <w:tcPr>
            <w:tcW w:w="1278" w:type="pct"/>
            <w:vMerge/>
            <w:tcBorders>
              <w:top w:val="nil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</w:p>
        </w:tc>
        <w:tc>
          <w:tcPr>
            <w:tcW w:w="846" w:type="pct"/>
            <w:tcBorders>
              <w:top w:val="nil"/>
              <w:bottom w:val="nil"/>
            </w:tcBorders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 xml:space="preserve"> Salvage 3+</w:t>
            </w:r>
          </w:p>
        </w:tc>
        <w:tc>
          <w:tcPr>
            <w:tcW w:w="987" w:type="pct"/>
            <w:tcBorders>
              <w:top w:val="nil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27 (11.5)</w:t>
            </w:r>
          </w:p>
        </w:tc>
        <w:tc>
          <w:tcPr>
            <w:tcW w:w="893" w:type="pct"/>
            <w:tcBorders>
              <w:top w:val="nil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NA</w:t>
            </w:r>
          </w:p>
        </w:tc>
        <w:tc>
          <w:tcPr>
            <w:tcW w:w="996" w:type="pct"/>
            <w:tcBorders>
              <w:top w:val="nil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27 (3.53)</w:t>
            </w:r>
          </w:p>
        </w:tc>
      </w:tr>
      <w:tr w:rsidR="00361A5C" w:rsidRPr="00F54E97" w:rsidTr="007E1D11">
        <w:trPr>
          <w:cantSplit/>
        </w:trPr>
        <w:tc>
          <w:tcPr>
            <w:tcW w:w="1278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</w:p>
        </w:tc>
        <w:tc>
          <w:tcPr>
            <w:tcW w:w="846" w:type="pct"/>
            <w:tcBorders>
              <w:top w:val="nil"/>
              <w:bottom w:val="single" w:sz="4" w:space="0" w:color="auto"/>
            </w:tcBorders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Unknown</w:t>
            </w:r>
          </w:p>
        </w:tc>
        <w:tc>
          <w:tcPr>
            <w:tcW w:w="98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2 (0.855)</w:t>
            </w:r>
          </w:p>
        </w:tc>
        <w:tc>
          <w:tcPr>
            <w:tcW w:w="89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531 (100)</w:t>
            </w:r>
          </w:p>
        </w:tc>
        <w:tc>
          <w:tcPr>
            <w:tcW w:w="99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533 (69.7)</w:t>
            </w:r>
          </w:p>
        </w:tc>
      </w:tr>
      <w:tr w:rsidR="00361A5C" w:rsidRPr="00F54E97" w:rsidTr="007E1D11">
        <w:trPr>
          <w:cantSplit/>
        </w:trPr>
        <w:tc>
          <w:tcPr>
            <w:tcW w:w="1278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 xml:space="preserve">Combination therapy </w:t>
            </w:r>
          </w:p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with rituximab</w:t>
            </w:r>
          </w:p>
        </w:tc>
        <w:tc>
          <w:tcPr>
            <w:tcW w:w="846" w:type="pct"/>
            <w:tcBorders>
              <w:top w:val="single" w:sz="4" w:space="0" w:color="auto"/>
              <w:bottom w:val="nil"/>
            </w:tcBorders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No</w:t>
            </w:r>
          </w:p>
        </w:tc>
        <w:tc>
          <w:tcPr>
            <w:tcW w:w="98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234 (100)</w:t>
            </w:r>
          </w:p>
        </w:tc>
        <w:tc>
          <w:tcPr>
            <w:tcW w:w="89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147 (27.7)</w:t>
            </w:r>
          </w:p>
        </w:tc>
        <w:tc>
          <w:tcPr>
            <w:tcW w:w="99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381 (49.8)</w:t>
            </w:r>
          </w:p>
        </w:tc>
      </w:tr>
      <w:tr w:rsidR="00361A5C" w:rsidRPr="00F54E97" w:rsidTr="007E1D11">
        <w:trPr>
          <w:cantSplit/>
        </w:trPr>
        <w:tc>
          <w:tcPr>
            <w:tcW w:w="1278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</w:p>
        </w:tc>
        <w:tc>
          <w:tcPr>
            <w:tcW w:w="846" w:type="pct"/>
            <w:tcBorders>
              <w:top w:val="nil"/>
              <w:bottom w:val="single" w:sz="4" w:space="0" w:color="auto"/>
            </w:tcBorders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Yes</w:t>
            </w:r>
          </w:p>
        </w:tc>
        <w:tc>
          <w:tcPr>
            <w:tcW w:w="98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0</w:t>
            </w:r>
          </w:p>
        </w:tc>
        <w:tc>
          <w:tcPr>
            <w:tcW w:w="89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384 (72.3)</w:t>
            </w:r>
          </w:p>
        </w:tc>
        <w:tc>
          <w:tcPr>
            <w:tcW w:w="99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384 (50.2)</w:t>
            </w:r>
          </w:p>
        </w:tc>
      </w:tr>
      <w:tr w:rsidR="00361A5C" w:rsidRPr="00F54E97" w:rsidTr="007E1D11">
        <w:trPr>
          <w:cantSplit/>
        </w:trPr>
        <w:tc>
          <w:tcPr>
            <w:tcW w:w="1278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Combination treatment</w:t>
            </w:r>
            <w:r w:rsidRPr="00F54E97">
              <w:rPr>
                <w:rStyle w:val="TableText9"/>
                <w:rFonts w:cs="Times New Roman"/>
                <w:sz w:val="20"/>
                <w:vertAlign w:val="superscript"/>
              </w:rPr>
              <w:t>b</w:t>
            </w:r>
          </w:p>
        </w:tc>
        <w:tc>
          <w:tcPr>
            <w:tcW w:w="846" w:type="pct"/>
            <w:tcBorders>
              <w:top w:val="single" w:sz="4" w:space="0" w:color="auto"/>
              <w:bottom w:val="nil"/>
            </w:tcBorders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No</w:t>
            </w:r>
          </w:p>
        </w:tc>
        <w:tc>
          <w:tcPr>
            <w:tcW w:w="98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166 (70.9)</w:t>
            </w:r>
          </w:p>
        </w:tc>
        <w:tc>
          <w:tcPr>
            <w:tcW w:w="89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157 (29.6)</w:t>
            </w:r>
          </w:p>
        </w:tc>
        <w:tc>
          <w:tcPr>
            <w:tcW w:w="99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323 (42.2)</w:t>
            </w:r>
          </w:p>
        </w:tc>
      </w:tr>
      <w:tr w:rsidR="00361A5C" w:rsidRPr="00F54E97" w:rsidTr="007E1D11">
        <w:trPr>
          <w:cantSplit/>
        </w:trPr>
        <w:tc>
          <w:tcPr>
            <w:tcW w:w="1278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</w:p>
        </w:tc>
        <w:tc>
          <w:tcPr>
            <w:tcW w:w="846" w:type="pct"/>
            <w:tcBorders>
              <w:top w:val="nil"/>
              <w:bottom w:val="single" w:sz="4" w:space="0" w:color="auto"/>
            </w:tcBorders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Yes</w:t>
            </w:r>
          </w:p>
        </w:tc>
        <w:tc>
          <w:tcPr>
            <w:tcW w:w="98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68 (29.1)</w:t>
            </w:r>
          </w:p>
        </w:tc>
        <w:tc>
          <w:tcPr>
            <w:tcW w:w="89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374 (70.4)</w:t>
            </w:r>
          </w:p>
        </w:tc>
        <w:tc>
          <w:tcPr>
            <w:tcW w:w="99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442 (57.8)</w:t>
            </w:r>
          </w:p>
        </w:tc>
      </w:tr>
      <w:tr w:rsidR="00361A5C" w:rsidRPr="00F54E97" w:rsidTr="007E1D11">
        <w:trPr>
          <w:cantSplit/>
          <w:trHeight w:val="278"/>
        </w:trPr>
        <w:tc>
          <w:tcPr>
            <w:tcW w:w="1278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Stimulatory treatment</w:t>
            </w:r>
            <w:r w:rsidRPr="00F54E97">
              <w:rPr>
                <w:rStyle w:val="TableText9"/>
                <w:rFonts w:cs="Times New Roman"/>
                <w:sz w:val="20"/>
                <w:vertAlign w:val="superscript"/>
              </w:rPr>
              <w:t>c</w:t>
            </w:r>
          </w:p>
        </w:tc>
        <w:tc>
          <w:tcPr>
            <w:tcW w:w="846" w:type="pct"/>
            <w:tcBorders>
              <w:top w:val="single" w:sz="4" w:space="0" w:color="auto"/>
              <w:bottom w:val="nil"/>
            </w:tcBorders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No</w:t>
            </w:r>
          </w:p>
        </w:tc>
        <w:tc>
          <w:tcPr>
            <w:tcW w:w="98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148 (63.2)</w:t>
            </w:r>
          </w:p>
        </w:tc>
        <w:tc>
          <w:tcPr>
            <w:tcW w:w="89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434 (81.7)</w:t>
            </w:r>
          </w:p>
        </w:tc>
        <w:tc>
          <w:tcPr>
            <w:tcW w:w="99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582 (76.1)</w:t>
            </w:r>
          </w:p>
        </w:tc>
      </w:tr>
      <w:tr w:rsidR="00361A5C" w:rsidRPr="00F54E97" w:rsidTr="007E1D11">
        <w:trPr>
          <w:cantSplit/>
        </w:trPr>
        <w:tc>
          <w:tcPr>
            <w:tcW w:w="1278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</w:p>
        </w:tc>
        <w:tc>
          <w:tcPr>
            <w:tcW w:w="846" w:type="pct"/>
            <w:tcBorders>
              <w:top w:val="nil"/>
              <w:bottom w:val="single" w:sz="4" w:space="0" w:color="auto"/>
            </w:tcBorders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Yes</w:t>
            </w:r>
          </w:p>
        </w:tc>
        <w:tc>
          <w:tcPr>
            <w:tcW w:w="98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86 (36.8)</w:t>
            </w:r>
          </w:p>
        </w:tc>
        <w:tc>
          <w:tcPr>
            <w:tcW w:w="89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97 (18.3)</w:t>
            </w:r>
          </w:p>
        </w:tc>
        <w:tc>
          <w:tcPr>
            <w:tcW w:w="99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183 (23.9)</w:t>
            </w:r>
          </w:p>
        </w:tc>
      </w:tr>
      <w:tr w:rsidR="00361A5C" w:rsidRPr="00F54E97" w:rsidTr="007E1D11">
        <w:trPr>
          <w:cantSplit/>
          <w:trHeight w:val="323"/>
        </w:trPr>
        <w:tc>
          <w:tcPr>
            <w:tcW w:w="1278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Concomitant hydroxyurea</w:t>
            </w:r>
          </w:p>
        </w:tc>
        <w:tc>
          <w:tcPr>
            <w:tcW w:w="846" w:type="pct"/>
            <w:tcBorders>
              <w:top w:val="single" w:sz="4" w:space="0" w:color="auto"/>
              <w:bottom w:val="nil"/>
            </w:tcBorders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No</w:t>
            </w:r>
          </w:p>
        </w:tc>
        <w:tc>
          <w:tcPr>
            <w:tcW w:w="98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221 (94.4)</w:t>
            </w:r>
          </w:p>
        </w:tc>
        <w:tc>
          <w:tcPr>
            <w:tcW w:w="89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531 (100)</w:t>
            </w:r>
          </w:p>
        </w:tc>
        <w:tc>
          <w:tcPr>
            <w:tcW w:w="99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752 (98.3)</w:t>
            </w:r>
          </w:p>
        </w:tc>
      </w:tr>
      <w:tr w:rsidR="00361A5C" w:rsidRPr="00F54E97" w:rsidTr="007E1D11">
        <w:trPr>
          <w:cantSplit/>
        </w:trPr>
        <w:tc>
          <w:tcPr>
            <w:tcW w:w="1278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cs="Times New Roman"/>
                <w:sz w:val="20"/>
              </w:rPr>
            </w:pPr>
          </w:p>
        </w:tc>
        <w:tc>
          <w:tcPr>
            <w:tcW w:w="846" w:type="pct"/>
            <w:tcBorders>
              <w:top w:val="nil"/>
              <w:bottom w:val="single" w:sz="4" w:space="0" w:color="auto"/>
            </w:tcBorders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Yes</w:t>
            </w:r>
          </w:p>
        </w:tc>
        <w:tc>
          <w:tcPr>
            <w:tcW w:w="98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13 (5.56)</w:t>
            </w:r>
          </w:p>
        </w:tc>
        <w:tc>
          <w:tcPr>
            <w:tcW w:w="89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0 (0.00)</w:t>
            </w:r>
          </w:p>
        </w:tc>
        <w:tc>
          <w:tcPr>
            <w:tcW w:w="99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13 (1.70)</w:t>
            </w:r>
          </w:p>
        </w:tc>
      </w:tr>
      <w:tr w:rsidR="00361A5C" w:rsidRPr="00F54E97" w:rsidTr="007E1D11">
        <w:trPr>
          <w:cantSplit/>
          <w:trHeight w:val="197"/>
        </w:trPr>
        <w:tc>
          <w:tcPr>
            <w:tcW w:w="1278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rPr>
                <w:rStyle w:val="TableText9"/>
                <w:rFonts w:eastAsiaTheme="minorHAnsi"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P-glycoprotein inhibitors</w:t>
            </w:r>
            <w:r w:rsidRPr="00F54E97">
              <w:rPr>
                <w:rStyle w:val="TableText9"/>
                <w:rFonts w:cs="Times New Roman"/>
                <w:sz w:val="20"/>
                <w:vertAlign w:val="superscript"/>
              </w:rPr>
              <w:t>d</w:t>
            </w:r>
          </w:p>
        </w:tc>
        <w:tc>
          <w:tcPr>
            <w:tcW w:w="846" w:type="pct"/>
            <w:tcBorders>
              <w:top w:val="single" w:sz="4" w:space="0" w:color="auto"/>
              <w:bottom w:val="nil"/>
            </w:tcBorders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No</w:t>
            </w:r>
          </w:p>
        </w:tc>
        <w:tc>
          <w:tcPr>
            <w:tcW w:w="98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187 (79.9)</w:t>
            </w:r>
          </w:p>
        </w:tc>
        <w:tc>
          <w:tcPr>
            <w:tcW w:w="89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439 (82.7)</w:t>
            </w:r>
          </w:p>
        </w:tc>
        <w:tc>
          <w:tcPr>
            <w:tcW w:w="99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626 (81.8)</w:t>
            </w:r>
          </w:p>
        </w:tc>
      </w:tr>
      <w:tr w:rsidR="00361A5C" w:rsidRPr="00F54E97" w:rsidTr="007E1D11">
        <w:trPr>
          <w:cantSplit/>
        </w:trPr>
        <w:tc>
          <w:tcPr>
            <w:tcW w:w="1278" w:type="pct"/>
            <w:vMerge/>
            <w:tcBorders>
              <w:top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</w:p>
        </w:tc>
        <w:tc>
          <w:tcPr>
            <w:tcW w:w="846" w:type="pct"/>
            <w:tcBorders>
              <w:top w:val="nil"/>
            </w:tcBorders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Yes</w:t>
            </w:r>
          </w:p>
        </w:tc>
        <w:tc>
          <w:tcPr>
            <w:tcW w:w="987" w:type="pct"/>
            <w:tcBorders>
              <w:top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47 (20.1)</w:t>
            </w:r>
          </w:p>
        </w:tc>
        <w:tc>
          <w:tcPr>
            <w:tcW w:w="893" w:type="pct"/>
            <w:tcBorders>
              <w:top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92 (17.3)</w:t>
            </w:r>
          </w:p>
        </w:tc>
        <w:tc>
          <w:tcPr>
            <w:tcW w:w="996" w:type="pct"/>
            <w:tcBorders>
              <w:top w:val="nil"/>
            </w:tcBorders>
            <w:shd w:val="clear" w:color="auto" w:fill="auto"/>
          </w:tcPr>
          <w:p w:rsidR="00361A5C" w:rsidRPr="00F54E97" w:rsidRDefault="00361A5C" w:rsidP="007E1D11">
            <w:pPr>
              <w:pStyle w:val="TableText"/>
              <w:jc w:val="center"/>
              <w:rPr>
                <w:rStyle w:val="TableText9"/>
                <w:rFonts w:cs="Times New Roman"/>
                <w:sz w:val="20"/>
              </w:rPr>
            </w:pPr>
            <w:r w:rsidRPr="00F54E97">
              <w:rPr>
                <w:rStyle w:val="TableText9"/>
                <w:rFonts w:cs="Times New Roman"/>
                <w:sz w:val="20"/>
              </w:rPr>
              <w:t>139 (18.2)</w:t>
            </w:r>
          </w:p>
        </w:tc>
      </w:tr>
    </w:tbl>
    <w:p w:rsidR="00361A5C" w:rsidRPr="00F54E97" w:rsidRDefault="00361A5C" w:rsidP="00361A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ECOG=Eastern Cooperative Oncology Group; </w:t>
      </w:r>
      <w:r w:rsidRPr="00F54E97">
        <w:rPr>
          <w:rFonts w:ascii="Times New Roman" w:hAnsi="Times New Roman" w:cs="Times New Roman"/>
          <w:sz w:val="20"/>
          <w:szCs w:val="20"/>
        </w:rPr>
        <w:t>NCI ODWG=National Cancer Institute Organ Dysfunction Working Group.</w:t>
      </w:r>
    </w:p>
    <w:p w:rsidR="00361A5C" w:rsidRDefault="00361A5C" w:rsidP="00361A5C">
      <w:pPr>
        <w:rPr>
          <w:rFonts w:ascii="Times New Roman" w:hAnsi="Times New Roman" w:cs="Times New Roman"/>
          <w:sz w:val="20"/>
          <w:szCs w:val="20"/>
        </w:rPr>
      </w:pPr>
      <w:r w:rsidRPr="00F54E97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F54E97">
        <w:rPr>
          <w:rFonts w:ascii="Times New Roman" w:hAnsi="Times New Roman" w:cs="Times New Roman"/>
          <w:sz w:val="20"/>
          <w:szCs w:val="20"/>
        </w:rPr>
        <w:t xml:space="preserve">Asian and Japanese patients are presented separately in the table above. However, in the stepwise covariate modeling, the Asian covariate included Japanese patients when tested against non-Asian patients; </w:t>
      </w:r>
      <w:r w:rsidRPr="00F54E97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F54E97">
        <w:rPr>
          <w:rFonts w:ascii="Times New Roman" w:hAnsi="Times New Roman" w:cs="Times New Roman"/>
          <w:sz w:val="20"/>
          <w:szCs w:val="20"/>
        </w:rPr>
        <w:t xml:space="preserve">intercurrent or concomitant hydroxyurea, corticosteroid, or rituximab if administered concurrently during the first 2 cycles of InO; </w:t>
      </w:r>
      <w:r w:rsidRPr="00F54E97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F54E97">
        <w:rPr>
          <w:rFonts w:ascii="Times New Roman" w:hAnsi="Times New Roman" w:cs="Times New Roman"/>
          <w:sz w:val="20"/>
          <w:szCs w:val="20"/>
        </w:rPr>
        <w:t xml:space="preserve">stimulatory treatment with granulocyte colony-stimulating factors, including filgrastim or lenograstim; </w:t>
      </w:r>
      <w:r w:rsidRPr="00F54E97"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r w:rsidRPr="00F54E97">
        <w:rPr>
          <w:rFonts w:ascii="Times New Roman" w:hAnsi="Times New Roman" w:cs="Times New Roman"/>
          <w:sz w:val="20"/>
          <w:szCs w:val="20"/>
        </w:rPr>
        <w:t>P-glycoprotein inhibitors: amiodarone, azithromycin, captopril, carvedilol, clarithromycin, conivaptan, cyclosporine, diltiazem, dronedarone, erythromycin, felodipine, itraconazole, ketoconazole, lopinavir and ritonavir, quercetin, quinidine, ranolazine, ticagrelor, and verapamil</w:t>
      </w:r>
    </w:p>
    <w:p w:rsidR="00361A5C" w:rsidRDefault="00361A5C" w:rsidP="00361A5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361A5C" w:rsidRPr="009B5320" w:rsidRDefault="00361A5C" w:rsidP="00361A5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Online Resource</w:t>
      </w:r>
      <w:r w:rsidRPr="009B5320">
        <w:rPr>
          <w:rFonts w:ascii="Times New Roman" w:hAnsi="Times New Roman" w:cs="Times New Roman"/>
          <w:b/>
          <w:sz w:val="20"/>
          <w:szCs w:val="20"/>
        </w:rPr>
        <w:t xml:space="preserve"> 5. M1 Versus M3 Base Model Parameter Estimates</w:t>
      </w:r>
      <w:r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Style w:val="TableGrid"/>
        <w:tblW w:w="14907" w:type="dxa"/>
        <w:tblInd w:w="-79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3060"/>
        <w:gridCol w:w="1890"/>
        <w:gridCol w:w="1350"/>
        <w:gridCol w:w="1890"/>
        <w:gridCol w:w="1890"/>
        <w:gridCol w:w="1440"/>
        <w:gridCol w:w="1767"/>
      </w:tblGrid>
      <w:tr w:rsidR="00361A5C" w:rsidRPr="009B5320" w:rsidTr="007E1D11">
        <w:trPr>
          <w:trHeight w:val="235"/>
        </w:trPr>
        <w:tc>
          <w:tcPr>
            <w:tcW w:w="1620" w:type="dxa"/>
            <w:vMerge w:val="restart"/>
            <w:tcBorders>
              <w:top w:val="single" w:sz="4" w:space="0" w:color="auto"/>
            </w:tcBorders>
          </w:tcPr>
          <w:p w:rsidR="00361A5C" w:rsidRPr="00FE2A32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</w:tcBorders>
            <w:vAlign w:val="bottom"/>
          </w:tcPr>
          <w:p w:rsidR="00361A5C" w:rsidRPr="00FE2A32" w:rsidRDefault="00361A5C" w:rsidP="007E1D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Definition</w:t>
            </w:r>
          </w:p>
        </w:tc>
        <w:tc>
          <w:tcPr>
            <w:tcW w:w="513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b/>
                <w:sz w:val="20"/>
                <w:szCs w:val="20"/>
              </w:rPr>
              <w:t>M1 Base Model (Omit Data &lt;LLOQ)</w:t>
            </w:r>
          </w:p>
        </w:tc>
        <w:tc>
          <w:tcPr>
            <w:tcW w:w="5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b/>
                <w:sz w:val="20"/>
                <w:szCs w:val="20"/>
              </w:rPr>
              <w:t>M3 Base Model (Include Data &lt;LLOQ)</w:t>
            </w:r>
          </w:p>
        </w:tc>
      </w:tr>
      <w:tr w:rsidR="00361A5C" w:rsidRPr="009B5320" w:rsidTr="007E1D11">
        <w:trPr>
          <w:trHeight w:val="395"/>
        </w:trPr>
        <w:tc>
          <w:tcPr>
            <w:tcW w:w="1620" w:type="dxa"/>
            <w:vMerge/>
          </w:tcPr>
          <w:p w:rsidR="00361A5C" w:rsidRPr="00FE2A32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vMerge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b/>
                <w:sz w:val="20"/>
                <w:szCs w:val="20"/>
              </w:rPr>
              <w:t>NONMEM Results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b/>
                <w:sz w:val="20"/>
                <w:szCs w:val="20"/>
              </w:rPr>
              <w:t>OFV=‒883.435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b/>
                <w:sz w:val="20"/>
                <w:szCs w:val="20"/>
              </w:rPr>
              <w:t>Nonparametric Bootstrap Results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b/>
                <w:sz w:val="20"/>
                <w:szCs w:val="20"/>
              </w:rPr>
              <w:t>NONMEM Results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b/>
                <w:sz w:val="20"/>
                <w:szCs w:val="20"/>
              </w:rPr>
              <w:t>OFV=1560.354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b/>
                <w:sz w:val="20"/>
                <w:szCs w:val="20"/>
              </w:rPr>
              <w:t>Nonparametric Bootstrap Results</w:t>
            </w:r>
          </w:p>
        </w:tc>
      </w:tr>
      <w:tr w:rsidR="00361A5C" w:rsidRPr="009B5320" w:rsidTr="007E1D11">
        <w:trPr>
          <w:trHeight w:val="467"/>
        </w:trPr>
        <w:tc>
          <w:tcPr>
            <w:tcW w:w="1620" w:type="dxa"/>
            <w:vMerge/>
            <w:tcBorders>
              <w:bottom w:val="single" w:sz="4" w:space="0" w:color="auto"/>
            </w:tcBorders>
          </w:tcPr>
          <w:p w:rsidR="00361A5C" w:rsidRPr="00FE2A32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</w:tcBorders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b/>
                <w:sz w:val="20"/>
                <w:szCs w:val="20"/>
              </w:rPr>
              <w:t>Estimate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b/>
                <w:sz w:val="20"/>
                <w:szCs w:val="20"/>
              </w:rPr>
              <w:t>(95% CI</w:t>
            </w:r>
            <w:r w:rsidRPr="00FE2A32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a</w:t>
            </w:r>
            <w:r w:rsidRPr="00FE2A3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b/>
                <w:sz w:val="20"/>
                <w:szCs w:val="20"/>
              </w:rPr>
              <w:t>Shrinkage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A5C" w:rsidRDefault="00361A5C" w:rsidP="007E1D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b/>
                <w:sz w:val="20"/>
                <w:szCs w:val="20"/>
              </w:rPr>
              <w:t>Median Estimate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b/>
                <w:sz w:val="20"/>
                <w:szCs w:val="20"/>
              </w:rPr>
              <w:t>(95% CI</w:t>
            </w:r>
            <w:r w:rsidRPr="00FE2A32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b</w:t>
            </w:r>
            <w:r w:rsidRPr="00FE2A3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b/>
                <w:sz w:val="20"/>
                <w:szCs w:val="20"/>
              </w:rPr>
              <w:t>Estimate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b/>
                <w:sz w:val="20"/>
                <w:szCs w:val="20"/>
              </w:rPr>
              <w:t>(95% CI</w:t>
            </w:r>
            <w:r w:rsidRPr="009B5320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c</w:t>
            </w:r>
            <w:r w:rsidRPr="00FE2A3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b/>
                <w:sz w:val="20"/>
                <w:szCs w:val="20"/>
              </w:rPr>
              <w:t>Shrinkage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b/>
                <w:sz w:val="20"/>
                <w:szCs w:val="20"/>
              </w:rPr>
              <w:t>Median Estimate (95% CI</w:t>
            </w:r>
            <w:r w:rsidRPr="00FE2A32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d</w:t>
            </w:r>
            <w:r w:rsidRPr="00FE2A3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361A5C" w:rsidRPr="009B5320" w:rsidTr="007E1D11">
        <w:trPr>
          <w:trHeight w:val="678"/>
        </w:trPr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:rsidR="00361A5C" w:rsidRPr="00FE2A32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CL</w:t>
            </w:r>
            <w:r w:rsidRPr="00FE2A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1, </w:t>
            </w: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L/h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vAlign w:val="center"/>
          </w:tcPr>
          <w:p w:rsidR="00361A5C" w:rsidRPr="00FE2A32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Linear clearance</w:t>
            </w:r>
          </w:p>
        </w:tc>
        <w:tc>
          <w:tcPr>
            <w:tcW w:w="1890" w:type="dxa"/>
            <w:tcBorders>
              <w:top w:val="single" w:sz="4" w:space="0" w:color="auto"/>
              <w:right w:val="nil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0.0842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(0.0750 to 0.0934)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0.0839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(0.0745 to 0.0918)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0.118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(0.111 to 0.125)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</w:p>
        </w:tc>
        <w:tc>
          <w:tcPr>
            <w:tcW w:w="1767" w:type="dxa"/>
            <w:tcBorders>
              <w:top w:val="single" w:sz="4" w:space="0" w:color="auto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0.118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(0.109 to 0.130)</w:t>
            </w:r>
          </w:p>
        </w:tc>
      </w:tr>
      <w:tr w:rsidR="00361A5C" w:rsidRPr="009B5320" w:rsidTr="007E1D11">
        <w:trPr>
          <w:trHeight w:val="697"/>
        </w:trPr>
        <w:tc>
          <w:tcPr>
            <w:tcW w:w="1620" w:type="dxa"/>
            <w:vAlign w:val="center"/>
          </w:tcPr>
          <w:p w:rsidR="00361A5C" w:rsidRPr="00FE2A32" w:rsidRDefault="00361A5C" w:rsidP="007E1D11">
            <w:pPr>
              <w:tabs>
                <w:tab w:val="left" w:pos="2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ab/>
              <w:t>ALL on CL</w:t>
            </w:r>
            <w:r w:rsidRPr="00FE2A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FE2A3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3060" w:type="dxa"/>
            <w:vAlign w:val="center"/>
          </w:tcPr>
          <w:p w:rsidR="00361A5C" w:rsidRPr="00FE2A32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890" w:type="dxa"/>
            <w:tcBorders>
              <w:right w:val="nil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−0.569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(‒0.639 to ‒0.499)</w:t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</w:p>
        </w:tc>
        <w:tc>
          <w:tcPr>
            <w:tcW w:w="1890" w:type="dxa"/>
            <w:tcBorders>
              <w:left w:val="nil"/>
              <w:right w:val="single" w:sz="4" w:space="0" w:color="auto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‒0.573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(‒0.633 to ‒0.489)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−0.716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(‒0.748 to ‒0.684)</w:t>
            </w:r>
          </w:p>
        </w:tc>
        <w:tc>
          <w:tcPr>
            <w:tcW w:w="1440" w:type="dxa"/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</w:p>
        </w:tc>
        <w:tc>
          <w:tcPr>
            <w:tcW w:w="1767" w:type="dxa"/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‒0.718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(‒0.751 to ‒0.676)</w:t>
            </w:r>
          </w:p>
        </w:tc>
      </w:tr>
      <w:tr w:rsidR="00361A5C" w:rsidRPr="009B5320" w:rsidTr="007E1D11">
        <w:trPr>
          <w:trHeight w:val="471"/>
        </w:trPr>
        <w:tc>
          <w:tcPr>
            <w:tcW w:w="1620" w:type="dxa"/>
            <w:vAlign w:val="center"/>
          </w:tcPr>
          <w:p w:rsidR="00361A5C" w:rsidRPr="00FE2A32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CL</w:t>
            </w:r>
            <w:r w:rsidRPr="00FE2A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, L/h</w:t>
            </w:r>
          </w:p>
        </w:tc>
        <w:tc>
          <w:tcPr>
            <w:tcW w:w="3060" w:type="dxa"/>
            <w:vAlign w:val="center"/>
          </w:tcPr>
          <w:p w:rsidR="00361A5C" w:rsidRPr="00FE2A32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learance associated with time-dependent clearance</w:t>
            </w:r>
          </w:p>
        </w:tc>
        <w:tc>
          <w:tcPr>
            <w:tcW w:w="1890" w:type="dxa"/>
            <w:tcBorders>
              <w:right w:val="nil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0.462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(0.385 to 0.539)</w:t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</w:p>
        </w:tc>
        <w:tc>
          <w:tcPr>
            <w:tcW w:w="1890" w:type="dxa"/>
            <w:tcBorders>
              <w:left w:val="nil"/>
              <w:right w:val="single" w:sz="4" w:space="0" w:color="auto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0.458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(0.372 to 0.570)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0.368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(0.324 to 0.412)</w:t>
            </w:r>
          </w:p>
        </w:tc>
        <w:tc>
          <w:tcPr>
            <w:tcW w:w="1440" w:type="dxa"/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</w:p>
        </w:tc>
        <w:tc>
          <w:tcPr>
            <w:tcW w:w="1767" w:type="dxa"/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0.371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(0.333 to 0.418)</w:t>
            </w:r>
          </w:p>
        </w:tc>
      </w:tr>
      <w:tr w:rsidR="00361A5C" w:rsidRPr="009B5320" w:rsidTr="007E1D11">
        <w:trPr>
          <w:trHeight w:val="452"/>
        </w:trPr>
        <w:tc>
          <w:tcPr>
            <w:tcW w:w="1620" w:type="dxa"/>
            <w:vAlign w:val="center"/>
          </w:tcPr>
          <w:p w:rsidR="00361A5C" w:rsidRPr="00FE2A32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FE2A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, L</w:t>
            </w:r>
          </w:p>
        </w:tc>
        <w:tc>
          <w:tcPr>
            <w:tcW w:w="3060" w:type="dxa"/>
            <w:vAlign w:val="center"/>
          </w:tcPr>
          <w:p w:rsidR="00361A5C" w:rsidRPr="00FE2A32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olume of distribution in central compartment</w:t>
            </w:r>
          </w:p>
        </w:tc>
        <w:tc>
          <w:tcPr>
            <w:tcW w:w="1890" w:type="dxa"/>
            <w:tcBorders>
              <w:right w:val="nil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6.10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(5.86 to 6.34)</w:t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</w:p>
        </w:tc>
        <w:tc>
          <w:tcPr>
            <w:tcW w:w="1890" w:type="dxa"/>
            <w:tcBorders>
              <w:left w:val="nil"/>
              <w:right w:val="single" w:sz="4" w:space="0" w:color="auto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6.11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(5.85 to 6.37)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6.64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(6.32 to 6.96)</w:t>
            </w:r>
          </w:p>
        </w:tc>
        <w:tc>
          <w:tcPr>
            <w:tcW w:w="1440" w:type="dxa"/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</w:p>
        </w:tc>
        <w:tc>
          <w:tcPr>
            <w:tcW w:w="1767" w:type="dxa"/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6.62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(6.34 to 6.92)</w:t>
            </w:r>
          </w:p>
        </w:tc>
      </w:tr>
      <w:tr w:rsidR="00361A5C" w:rsidRPr="009B5320" w:rsidTr="007E1D11">
        <w:trPr>
          <w:trHeight w:val="697"/>
        </w:trPr>
        <w:tc>
          <w:tcPr>
            <w:tcW w:w="1620" w:type="dxa"/>
            <w:vAlign w:val="center"/>
          </w:tcPr>
          <w:p w:rsidR="00361A5C" w:rsidRPr="00FE2A32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FE2A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des</w:t>
            </w: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, h</w:t>
            </w:r>
            <w:r w:rsidRPr="00FE2A3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3060" w:type="dxa"/>
            <w:vAlign w:val="center"/>
          </w:tcPr>
          <w:p w:rsidR="00361A5C" w:rsidRPr="00FE2A32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ecay coefficient associated with time-dependent clearance</w:t>
            </w:r>
          </w:p>
        </w:tc>
        <w:tc>
          <w:tcPr>
            <w:tcW w:w="1890" w:type="dxa"/>
            <w:tcBorders>
              <w:right w:val="nil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0.114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(0.0832 to 0.145)</w:t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</w:p>
        </w:tc>
        <w:tc>
          <w:tcPr>
            <w:tcW w:w="1890" w:type="dxa"/>
            <w:tcBorders>
              <w:left w:val="nil"/>
              <w:right w:val="single" w:sz="4" w:space="0" w:color="auto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0.111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(0.0784 to 0.169)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0.0322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(0.0229 to 0.0415)</w:t>
            </w:r>
          </w:p>
        </w:tc>
        <w:tc>
          <w:tcPr>
            <w:tcW w:w="1440" w:type="dxa"/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</w:p>
        </w:tc>
        <w:tc>
          <w:tcPr>
            <w:tcW w:w="1767" w:type="dxa"/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0.0315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(0.0219 to 0.0426)</w:t>
            </w:r>
          </w:p>
        </w:tc>
      </w:tr>
      <w:tr w:rsidR="00361A5C" w:rsidRPr="009B5320" w:rsidTr="007E1D11">
        <w:trPr>
          <w:trHeight w:val="697"/>
        </w:trPr>
        <w:tc>
          <w:tcPr>
            <w:tcW w:w="1620" w:type="dxa"/>
            <w:vAlign w:val="center"/>
          </w:tcPr>
          <w:p w:rsidR="00361A5C" w:rsidRPr="00FE2A32" w:rsidRDefault="00361A5C" w:rsidP="007E1D11">
            <w:pPr>
              <w:tabs>
                <w:tab w:val="left" w:pos="2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ab/>
              <w:t>ALL on k</w:t>
            </w:r>
            <w:r w:rsidRPr="00FE2A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des</w:t>
            </w:r>
            <w:r w:rsidRPr="00FE2A3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3060" w:type="dxa"/>
            <w:vAlign w:val="center"/>
          </w:tcPr>
          <w:p w:rsidR="00361A5C" w:rsidRPr="00FE2A32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890" w:type="dxa"/>
            <w:tcBorders>
              <w:right w:val="nil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‒0.950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(‒0.962 to ‒0.938)</w:t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</w:p>
        </w:tc>
        <w:tc>
          <w:tcPr>
            <w:tcW w:w="1890" w:type="dxa"/>
            <w:tcBorders>
              <w:left w:val="nil"/>
              <w:right w:val="single" w:sz="4" w:space="0" w:color="auto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‒0.949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(‒0.964 to ‒0.931)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‒0.830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(‒0.879 to ‒0.781)</w:t>
            </w:r>
          </w:p>
        </w:tc>
        <w:tc>
          <w:tcPr>
            <w:tcW w:w="1440" w:type="dxa"/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</w:p>
        </w:tc>
        <w:tc>
          <w:tcPr>
            <w:tcW w:w="1767" w:type="dxa"/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‒0.824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(‒0.867 to ‒0.742)</w:t>
            </w:r>
          </w:p>
        </w:tc>
      </w:tr>
      <w:tr w:rsidR="00361A5C" w:rsidRPr="009B5320" w:rsidTr="007E1D11">
        <w:trPr>
          <w:trHeight w:val="697"/>
        </w:trPr>
        <w:tc>
          <w:tcPr>
            <w:tcW w:w="1620" w:type="dxa"/>
            <w:vAlign w:val="center"/>
          </w:tcPr>
          <w:p w:rsidR="00361A5C" w:rsidRPr="00FE2A32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Q, L/h</w:t>
            </w:r>
          </w:p>
        </w:tc>
        <w:tc>
          <w:tcPr>
            <w:tcW w:w="3060" w:type="dxa"/>
            <w:vAlign w:val="center"/>
          </w:tcPr>
          <w:p w:rsidR="00361A5C" w:rsidRPr="00FE2A32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ntercompartment clearance</w:t>
            </w:r>
          </w:p>
        </w:tc>
        <w:tc>
          <w:tcPr>
            <w:tcW w:w="1890" w:type="dxa"/>
            <w:tcBorders>
              <w:right w:val="nil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0.117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(0.0798 to 0.154)</w:t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</w:p>
        </w:tc>
        <w:tc>
          <w:tcPr>
            <w:tcW w:w="1890" w:type="dxa"/>
            <w:tcBorders>
              <w:left w:val="nil"/>
              <w:right w:val="single" w:sz="4" w:space="0" w:color="auto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0.113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(0.0889 to 0.188)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0.0398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(0.0343 to 0.0453)</w:t>
            </w:r>
          </w:p>
        </w:tc>
        <w:tc>
          <w:tcPr>
            <w:tcW w:w="1440" w:type="dxa"/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</w:p>
        </w:tc>
        <w:tc>
          <w:tcPr>
            <w:tcW w:w="1767" w:type="dxa"/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0.0405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(0.0346 to 0.0485)</w:t>
            </w:r>
          </w:p>
        </w:tc>
      </w:tr>
      <w:tr w:rsidR="00361A5C" w:rsidRPr="009B5320" w:rsidTr="007E1D11">
        <w:trPr>
          <w:trHeight w:val="471"/>
        </w:trPr>
        <w:tc>
          <w:tcPr>
            <w:tcW w:w="1620" w:type="dxa"/>
            <w:vAlign w:val="center"/>
          </w:tcPr>
          <w:p w:rsidR="00361A5C" w:rsidRPr="00FE2A32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FE2A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, L</w:t>
            </w:r>
          </w:p>
        </w:tc>
        <w:tc>
          <w:tcPr>
            <w:tcW w:w="3060" w:type="dxa"/>
            <w:vAlign w:val="center"/>
          </w:tcPr>
          <w:p w:rsidR="00361A5C" w:rsidRPr="00FE2A32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olume of distribution in peripheral compartment</w:t>
            </w:r>
          </w:p>
        </w:tc>
        <w:tc>
          <w:tcPr>
            <w:tcW w:w="1890" w:type="dxa"/>
            <w:tcBorders>
              <w:right w:val="nil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8.19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(6.07 to 10.3)</w:t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</w:p>
        </w:tc>
        <w:tc>
          <w:tcPr>
            <w:tcW w:w="1890" w:type="dxa"/>
            <w:tcBorders>
              <w:left w:val="nil"/>
              <w:right w:val="single" w:sz="4" w:space="0" w:color="auto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8.20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(6.38 to 11.2)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5.47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(4.91 to 6.03)</w:t>
            </w:r>
          </w:p>
        </w:tc>
        <w:tc>
          <w:tcPr>
            <w:tcW w:w="1440" w:type="dxa"/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</w:p>
        </w:tc>
        <w:tc>
          <w:tcPr>
            <w:tcW w:w="1767" w:type="dxa"/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5.45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(3.22 to 8.61)</w:t>
            </w:r>
          </w:p>
        </w:tc>
      </w:tr>
      <w:tr w:rsidR="00361A5C" w:rsidRPr="009B5320" w:rsidTr="007E1D11">
        <w:trPr>
          <w:trHeight w:val="452"/>
        </w:trPr>
        <w:tc>
          <w:tcPr>
            <w:tcW w:w="1620" w:type="dxa"/>
            <w:vAlign w:val="center"/>
          </w:tcPr>
          <w:p w:rsidR="00361A5C" w:rsidRPr="00FE2A32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CL</w:t>
            </w:r>
            <w:r w:rsidRPr="00FE2A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 xml:space="preserve"> ω</w:t>
            </w:r>
            <w:r w:rsidRPr="00FE2A3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 xml:space="preserve"> (%CV)</w:t>
            </w:r>
          </w:p>
        </w:tc>
        <w:tc>
          <w:tcPr>
            <w:tcW w:w="3060" w:type="dxa"/>
          </w:tcPr>
          <w:p w:rsidR="00361A5C" w:rsidRPr="00FE2A32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TableText9"/>
                <w:sz w:val="20"/>
              </w:rPr>
              <w:t>Variance-covariance matrix of the interindividual effects in CL</w:t>
            </w:r>
            <w:r w:rsidRPr="00A51EB0">
              <w:rPr>
                <w:rStyle w:val="TableText9"/>
                <w:sz w:val="20"/>
                <w:vertAlign w:val="subscript"/>
              </w:rPr>
              <w:t>1</w:t>
            </w:r>
          </w:p>
        </w:tc>
        <w:tc>
          <w:tcPr>
            <w:tcW w:w="1890" w:type="dxa"/>
            <w:tcBorders>
              <w:right w:val="nil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0.243 (49.3)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(0.134 to 0.352)</w:t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19.3</w:t>
            </w:r>
          </w:p>
        </w:tc>
        <w:tc>
          <w:tcPr>
            <w:tcW w:w="1890" w:type="dxa"/>
            <w:tcBorders>
              <w:left w:val="nil"/>
              <w:right w:val="single" w:sz="4" w:space="0" w:color="auto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0.239 (48.9)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(0.127 to 0.353)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0.258 (50.8)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(0.216 to 0.300)</w:t>
            </w:r>
          </w:p>
        </w:tc>
        <w:tc>
          <w:tcPr>
            <w:tcW w:w="1440" w:type="dxa"/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14.6</w:t>
            </w:r>
          </w:p>
        </w:tc>
        <w:tc>
          <w:tcPr>
            <w:tcW w:w="1767" w:type="dxa"/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0.264 (51.4)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(0.172 to 0.381)</w:t>
            </w:r>
          </w:p>
        </w:tc>
      </w:tr>
      <w:tr w:rsidR="00361A5C" w:rsidRPr="009B5320" w:rsidTr="007E1D11">
        <w:trPr>
          <w:trHeight w:val="471"/>
        </w:trPr>
        <w:tc>
          <w:tcPr>
            <w:tcW w:w="1620" w:type="dxa"/>
            <w:vAlign w:val="center"/>
          </w:tcPr>
          <w:p w:rsidR="00361A5C" w:rsidRPr="00FE2A32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CL</w:t>
            </w:r>
            <w:r w:rsidRPr="00FE2A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 xml:space="preserve"> ω</w:t>
            </w:r>
            <w:r w:rsidRPr="00FE2A3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 xml:space="preserve"> (%CV)</w:t>
            </w:r>
          </w:p>
        </w:tc>
        <w:tc>
          <w:tcPr>
            <w:tcW w:w="3060" w:type="dxa"/>
          </w:tcPr>
          <w:p w:rsidR="00361A5C" w:rsidRPr="00FE2A32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TableText9"/>
                <w:sz w:val="20"/>
              </w:rPr>
              <w:t>Variance-covariance matrix of the interindividual effects in CL</w:t>
            </w:r>
            <w:r>
              <w:rPr>
                <w:rStyle w:val="TableText9"/>
                <w:sz w:val="20"/>
                <w:vertAlign w:val="subscript"/>
              </w:rPr>
              <w:t>2</w:t>
            </w:r>
          </w:p>
        </w:tc>
        <w:tc>
          <w:tcPr>
            <w:tcW w:w="1890" w:type="dxa"/>
            <w:tcBorders>
              <w:right w:val="nil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0.520 (71.1)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(0.302 to 0.738)</w:t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30.7</w:t>
            </w:r>
          </w:p>
        </w:tc>
        <w:tc>
          <w:tcPr>
            <w:tcW w:w="1890" w:type="dxa"/>
            <w:tcBorders>
              <w:left w:val="nil"/>
              <w:right w:val="single" w:sz="4" w:space="0" w:color="auto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0.499 (70.6)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(0.269 to 0.771)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0.601 (77.5)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(0.490 to 0.712)</w:t>
            </w:r>
          </w:p>
        </w:tc>
        <w:tc>
          <w:tcPr>
            <w:tcW w:w="1440" w:type="dxa"/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20.2</w:t>
            </w:r>
          </w:p>
        </w:tc>
        <w:tc>
          <w:tcPr>
            <w:tcW w:w="1767" w:type="dxa"/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0.586 (76.6)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(0.352 to 1.14)</w:t>
            </w:r>
          </w:p>
        </w:tc>
      </w:tr>
      <w:tr w:rsidR="00361A5C" w:rsidRPr="009B5320" w:rsidTr="007E1D11">
        <w:trPr>
          <w:trHeight w:val="452"/>
        </w:trPr>
        <w:tc>
          <w:tcPr>
            <w:tcW w:w="1620" w:type="dxa"/>
            <w:vAlign w:val="center"/>
          </w:tcPr>
          <w:p w:rsidR="00361A5C" w:rsidRPr="00FE2A32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FE2A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 xml:space="preserve"> ω</w:t>
            </w:r>
            <w:r w:rsidRPr="00FE2A3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 xml:space="preserve"> (%CV)</w:t>
            </w:r>
          </w:p>
        </w:tc>
        <w:tc>
          <w:tcPr>
            <w:tcW w:w="3060" w:type="dxa"/>
          </w:tcPr>
          <w:p w:rsidR="00361A5C" w:rsidRPr="00FE2A32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TableText9"/>
                <w:sz w:val="20"/>
              </w:rPr>
              <w:t>Variance-covariance matrix of the interindividual effects in V</w:t>
            </w:r>
            <w:r w:rsidRPr="00A51EB0">
              <w:rPr>
                <w:rStyle w:val="TableText9"/>
                <w:sz w:val="20"/>
                <w:vertAlign w:val="subscript"/>
              </w:rPr>
              <w:t>1</w:t>
            </w:r>
          </w:p>
        </w:tc>
        <w:tc>
          <w:tcPr>
            <w:tcW w:w="1890" w:type="dxa"/>
            <w:tcBorders>
              <w:right w:val="nil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0.183 (42.8)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(0.151 to 0.215)</w:t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12.4</w:t>
            </w:r>
          </w:p>
        </w:tc>
        <w:tc>
          <w:tcPr>
            <w:tcW w:w="1890" w:type="dxa"/>
            <w:tcBorders>
              <w:left w:val="nil"/>
              <w:right w:val="single" w:sz="4" w:space="0" w:color="auto"/>
            </w:tcBorders>
            <w:vAlign w:val="center"/>
          </w:tcPr>
          <w:p w:rsidR="00361A5C" w:rsidRPr="003939E7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E7">
              <w:rPr>
                <w:rFonts w:ascii="Times New Roman" w:hAnsi="Times New Roman" w:cs="Times New Roman"/>
                <w:sz w:val="20"/>
                <w:szCs w:val="20"/>
              </w:rPr>
              <w:t>0.183 (42.8)</w:t>
            </w:r>
          </w:p>
          <w:p w:rsidR="00361A5C" w:rsidRPr="003939E7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E7">
              <w:rPr>
                <w:rFonts w:ascii="Times New Roman" w:hAnsi="Times New Roman" w:cs="Times New Roman"/>
                <w:sz w:val="20"/>
                <w:szCs w:val="20"/>
              </w:rPr>
              <w:t>(0.152 to 0.212)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vAlign w:val="center"/>
          </w:tcPr>
          <w:p w:rsidR="00361A5C" w:rsidRPr="003939E7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E7">
              <w:rPr>
                <w:rFonts w:ascii="Times New Roman" w:hAnsi="Times New Roman" w:cs="Times New Roman"/>
                <w:sz w:val="20"/>
                <w:szCs w:val="20"/>
              </w:rPr>
              <w:t>0.206 (45.4)</w:t>
            </w:r>
          </w:p>
          <w:p w:rsidR="00361A5C" w:rsidRPr="003939E7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E7">
              <w:rPr>
                <w:rFonts w:ascii="Times New Roman" w:hAnsi="Times New Roman" w:cs="Times New Roman"/>
                <w:sz w:val="20"/>
                <w:szCs w:val="20"/>
              </w:rPr>
              <w:t>(0.179 to 0.233)</w:t>
            </w:r>
          </w:p>
        </w:tc>
        <w:tc>
          <w:tcPr>
            <w:tcW w:w="1440" w:type="dxa"/>
            <w:vAlign w:val="center"/>
          </w:tcPr>
          <w:p w:rsidR="00361A5C" w:rsidRPr="003939E7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E7">
              <w:rPr>
                <w:rFonts w:ascii="Times New Roman" w:hAnsi="Times New Roman" w:cs="Times New Roman"/>
                <w:sz w:val="20"/>
                <w:szCs w:val="20"/>
              </w:rPr>
              <w:t>13.5</w:t>
            </w:r>
          </w:p>
        </w:tc>
        <w:tc>
          <w:tcPr>
            <w:tcW w:w="1767" w:type="dxa"/>
            <w:vAlign w:val="center"/>
          </w:tcPr>
          <w:p w:rsidR="00361A5C" w:rsidRPr="003939E7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E7">
              <w:rPr>
                <w:rFonts w:ascii="Times New Roman" w:hAnsi="Times New Roman" w:cs="Times New Roman"/>
                <w:sz w:val="20"/>
                <w:szCs w:val="20"/>
              </w:rPr>
              <w:t>0.202 (44.9)</w:t>
            </w:r>
          </w:p>
          <w:p w:rsidR="00361A5C" w:rsidRPr="003939E7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E7">
              <w:rPr>
                <w:rFonts w:ascii="Times New Roman" w:hAnsi="Times New Roman" w:cs="Times New Roman"/>
                <w:sz w:val="20"/>
                <w:szCs w:val="20"/>
              </w:rPr>
              <w:t>(0.165 to 0.242)</w:t>
            </w:r>
          </w:p>
        </w:tc>
      </w:tr>
      <w:tr w:rsidR="00361A5C" w:rsidRPr="009B5320" w:rsidTr="007E1D11">
        <w:trPr>
          <w:trHeight w:val="471"/>
        </w:trPr>
        <w:tc>
          <w:tcPr>
            <w:tcW w:w="1620" w:type="dxa"/>
            <w:vAlign w:val="center"/>
          </w:tcPr>
          <w:p w:rsidR="00361A5C" w:rsidRPr="00FE2A32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FE2A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des</w:t>
            </w: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 xml:space="preserve"> ω</w:t>
            </w:r>
            <w:r w:rsidRPr="00FE2A3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 xml:space="preserve"> (%CV)</w:t>
            </w:r>
          </w:p>
        </w:tc>
        <w:tc>
          <w:tcPr>
            <w:tcW w:w="3060" w:type="dxa"/>
          </w:tcPr>
          <w:p w:rsidR="00361A5C" w:rsidRPr="00FE2A32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TableText9"/>
                <w:sz w:val="20"/>
              </w:rPr>
              <w:t xml:space="preserve">Variance-covariance matrix of the interindividual effects in </w:t>
            </w: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FE2A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des</w:t>
            </w:r>
          </w:p>
        </w:tc>
        <w:tc>
          <w:tcPr>
            <w:tcW w:w="1890" w:type="dxa"/>
            <w:tcBorders>
              <w:right w:val="nil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0.184 (42.9)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(0.0915 to 0.277)</w:t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60.7</w:t>
            </w:r>
          </w:p>
        </w:tc>
        <w:tc>
          <w:tcPr>
            <w:tcW w:w="1890" w:type="dxa"/>
            <w:tcBorders>
              <w:left w:val="nil"/>
              <w:right w:val="single" w:sz="4" w:space="0" w:color="auto"/>
            </w:tcBorders>
            <w:vAlign w:val="center"/>
          </w:tcPr>
          <w:p w:rsidR="00361A5C" w:rsidRPr="003939E7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E7">
              <w:rPr>
                <w:rFonts w:ascii="Times New Roman" w:hAnsi="Times New Roman" w:cs="Times New Roman"/>
                <w:sz w:val="20"/>
                <w:szCs w:val="20"/>
              </w:rPr>
              <w:t>0.189 (43.5)</w:t>
            </w:r>
          </w:p>
          <w:p w:rsidR="00361A5C" w:rsidRPr="003939E7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E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82188">
              <w:rPr>
                <w:rFonts w:ascii="Times New Roman" w:hAnsi="Times New Roman" w:cs="Times New Roman"/>
                <w:sz w:val="20"/>
                <w:szCs w:val="20"/>
              </w:rPr>
              <w:t>0.0980 to 0.346</w:t>
            </w:r>
            <w:r w:rsidRPr="003939E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vAlign w:val="center"/>
          </w:tcPr>
          <w:p w:rsidR="00361A5C" w:rsidRPr="003939E7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E7">
              <w:rPr>
                <w:rFonts w:ascii="Times New Roman" w:hAnsi="Times New Roman" w:cs="Times New Roman"/>
                <w:sz w:val="20"/>
                <w:szCs w:val="20"/>
              </w:rPr>
              <w:t>0.255 (50.5)</w:t>
            </w:r>
          </w:p>
          <w:p w:rsidR="00361A5C" w:rsidRPr="003939E7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E7">
              <w:rPr>
                <w:rFonts w:ascii="Times New Roman" w:hAnsi="Times New Roman" w:cs="Times New Roman"/>
                <w:sz w:val="20"/>
                <w:szCs w:val="20"/>
              </w:rPr>
              <w:t>(0.181 to 0.329)</w:t>
            </w:r>
          </w:p>
        </w:tc>
        <w:tc>
          <w:tcPr>
            <w:tcW w:w="1440" w:type="dxa"/>
            <w:vAlign w:val="center"/>
          </w:tcPr>
          <w:p w:rsidR="00361A5C" w:rsidRPr="003939E7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E7">
              <w:rPr>
                <w:rFonts w:ascii="Times New Roman" w:hAnsi="Times New Roman" w:cs="Times New Roman"/>
                <w:sz w:val="20"/>
                <w:szCs w:val="20"/>
              </w:rPr>
              <w:t>59.1</w:t>
            </w:r>
          </w:p>
        </w:tc>
        <w:tc>
          <w:tcPr>
            <w:tcW w:w="1767" w:type="dxa"/>
            <w:vAlign w:val="center"/>
          </w:tcPr>
          <w:p w:rsidR="00361A5C" w:rsidRPr="003939E7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E7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  <w:r w:rsidRPr="00F8218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39E7">
              <w:rPr>
                <w:rFonts w:ascii="Times New Roman" w:hAnsi="Times New Roman" w:cs="Times New Roman"/>
                <w:sz w:val="20"/>
                <w:szCs w:val="20"/>
              </w:rPr>
              <w:t xml:space="preserve"> (49.7)</w:t>
            </w:r>
          </w:p>
          <w:p w:rsidR="00361A5C" w:rsidRPr="003939E7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E7">
              <w:rPr>
                <w:rFonts w:ascii="Times New Roman" w:hAnsi="Times New Roman" w:cs="Times New Roman"/>
                <w:sz w:val="20"/>
                <w:szCs w:val="20"/>
              </w:rPr>
              <w:t>(0.129 to 0.447)</w:t>
            </w:r>
          </w:p>
        </w:tc>
      </w:tr>
      <w:tr w:rsidR="00361A5C" w:rsidRPr="009B5320" w:rsidTr="007E1D11">
        <w:trPr>
          <w:trHeight w:val="145"/>
        </w:trPr>
        <w:tc>
          <w:tcPr>
            <w:tcW w:w="1620" w:type="dxa"/>
            <w:vAlign w:val="center"/>
          </w:tcPr>
          <w:p w:rsidR="00361A5C" w:rsidRPr="00FE2A32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CL</w:t>
            </w:r>
            <w:r w:rsidRPr="00FE2A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‒V</w:t>
            </w:r>
            <w:r w:rsidRPr="00FE2A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 xml:space="preserve"> ω, covariance</w:t>
            </w:r>
          </w:p>
        </w:tc>
        <w:tc>
          <w:tcPr>
            <w:tcW w:w="3060" w:type="dxa"/>
            <w:vAlign w:val="center"/>
          </w:tcPr>
          <w:p w:rsidR="00361A5C" w:rsidRPr="00FE2A32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890" w:type="dxa"/>
            <w:tcBorders>
              <w:right w:val="nil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0.183</w:t>
            </w:r>
            <w:r w:rsidRPr="00FE2A3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(0.125 to 0.241)</w:t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</w:p>
        </w:tc>
        <w:tc>
          <w:tcPr>
            <w:tcW w:w="1890" w:type="dxa"/>
            <w:tcBorders>
              <w:left w:val="nil"/>
              <w:right w:val="single" w:sz="4" w:space="0" w:color="auto"/>
            </w:tcBorders>
            <w:vAlign w:val="center"/>
          </w:tcPr>
          <w:p w:rsidR="00361A5C" w:rsidRPr="003939E7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E7">
              <w:rPr>
                <w:rFonts w:ascii="Times New Roman" w:hAnsi="Times New Roman" w:cs="Times New Roman"/>
                <w:sz w:val="20"/>
                <w:szCs w:val="20"/>
              </w:rPr>
              <w:t>0.179</w:t>
            </w:r>
          </w:p>
          <w:p w:rsidR="00361A5C" w:rsidRPr="003939E7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E7">
              <w:rPr>
                <w:rFonts w:ascii="Times New Roman" w:hAnsi="Times New Roman" w:cs="Times New Roman"/>
                <w:sz w:val="20"/>
                <w:szCs w:val="20"/>
              </w:rPr>
              <w:t>(0.126 to 0.244)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vAlign w:val="center"/>
          </w:tcPr>
          <w:p w:rsidR="00361A5C" w:rsidRPr="003939E7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E7">
              <w:rPr>
                <w:rFonts w:ascii="Times New Roman" w:hAnsi="Times New Roman" w:cs="Times New Roman"/>
                <w:sz w:val="20"/>
                <w:szCs w:val="20"/>
              </w:rPr>
              <w:t>0.216</w:t>
            </w:r>
            <w:r w:rsidRPr="003939E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  <w:p w:rsidR="00361A5C" w:rsidRPr="003939E7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E7">
              <w:rPr>
                <w:rFonts w:ascii="Times New Roman" w:hAnsi="Times New Roman" w:cs="Times New Roman"/>
                <w:sz w:val="20"/>
                <w:szCs w:val="20"/>
              </w:rPr>
              <w:t>(0.187 to 0.245)</w:t>
            </w:r>
          </w:p>
        </w:tc>
        <w:tc>
          <w:tcPr>
            <w:tcW w:w="1440" w:type="dxa"/>
            <w:vAlign w:val="center"/>
          </w:tcPr>
          <w:p w:rsidR="00361A5C" w:rsidRPr="003939E7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E7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</w:p>
        </w:tc>
        <w:tc>
          <w:tcPr>
            <w:tcW w:w="1767" w:type="dxa"/>
            <w:vAlign w:val="center"/>
          </w:tcPr>
          <w:p w:rsidR="00361A5C" w:rsidRPr="003939E7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E7">
              <w:rPr>
                <w:rFonts w:ascii="Times New Roman" w:hAnsi="Times New Roman" w:cs="Times New Roman"/>
                <w:sz w:val="20"/>
                <w:szCs w:val="20"/>
              </w:rPr>
              <w:t>0.214</w:t>
            </w:r>
          </w:p>
          <w:p w:rsidR="00361A5C" w:rsidRPr="003939E7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E7">
              <w:rPr>
                <w:rFonts w:ascii="Times New Roman" w:hAnsi="Times New Roman" w:cs="Times New Roman"/>
                <w:sz w:val="20"/>
                <w:szCs w:val="20"/>
              </w:rPr>
              <w:t>(0.167 to 0.274)</w:t>
            </w:r>
          </w:p>
        </w:tc>
      </w:tr>
      <w:tr w:rsidR="00361A5C" w:rsidRPr="009B5320" w:rsidTr="007E1D11">
        <w:trPr>
          <w:trHeight w:val="145"/>
        </w:trPr>
        <w:tc>
          <w:tcPr>
            <w:tcW w:w="1620" w:type="dxa"/>
            <w:vAlign w:val="center"/>
          </w:tcPr>
          <w:p w:rsidR="00361A5C" w:rsidRPr="00FE2A32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CL</w:t>
            </w:r>
            <w:r w:rsidRPr="00FE2A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‒CL</w:t>
            </w:r>
            <w:r w:rsidRPr="00FE2A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 xml:space="preserve"> ω, covariance</w:t>
            </w:r>
          </w:p>
        </w:tc>
        <w:tc>
          <w:tcPr>
            <w:tcW w:w="3060" w:type="dxa"/>
            <w:vAlign w:val="center"/>
          </w:tcPr>
          <w:p w:rsidR="00361A5C" w:rsidRPr="00FE2A32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890" w:type="dxa"/>
            <w:tcBorders>
              <w:right w:val="nil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0.135</w:t>
            </w:r>
            <w:r w:rsidRPr="00FE2A3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(0.0401 to 0.230)</w:t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</w:p>
        </w:tc>
        <w:tc>
          <w:tcPr>
            <w:tcW w:w="1890" w:type="dxa"/>
            <w:tcBorders>
              <w:left w:val="nil"/>
              <w:right w:val="single" w:sz="4" w:space="0" w:color="auto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0.140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(0.0374 to 0.248)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0.327</w:t>
            </w:r>
            <w:r w:rsidRPr="00FE2A3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(0.280 to 0.374)</w:t>
            </w:r>
          </w:p>
        </w:tc>
        <w:tc>
          <w:tcPr>
            <w:tcW w:w="1440" w:type="dxa"/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</w:p>
        </w:tc>
        <w:tc>
          <w:tcPr>
            <w:tcW w:w="1767" w:type="dxa"/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0.317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(0.220 to 0.437)</w:t>
            </w:r>
          </w:p>
        </w:tc>
      </w:tr>
      <w:tr w:rsidR="00361A5C" w:rsidRPr="009B5320" w:rsidTr="007E1D11">
        <w:trPr>
          <w:trHeight w:val="145"/>
        </w:trPr>
        <w:tc>
          <w:tcPr>
            <w:tcW w:w="1620" w:type="dxa"/>
            <w:vAlign w:val="center"/>
          </w:tcPr>
          <w:p w:rsidR="00361A5C" w:rsidRPr="00FE2A32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CL</w:t>
            </w:r>
            <w:r w:rsidRPr="00FE2A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‒V</w:t>
            </w:r>
            <w:r w:rsidRPr="00FE2A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 xml:space="preserve"> ω, covariance</w:t>
            </w:r>
          </w:p>
        </w:tc>
        <w:tc>
          <w:tcPr>
            <w:tcW w:w="3060" w:type="dxa"/>
            <w:vAlign w:val="center"/>
          </w:tcPr>
          <w:p w:rsidR="00361A5C" w:rsidRPr="00FE2A32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890" w:type="dxa"/>
            <w:tcBorders>
              <w:right w:val="nil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0.178</w:t>
            </w:r>
            <w:r w:rsidRPr="00FE2A3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(0.107 to 0.249)</w:t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</w:p>
        </w:tc>
        <w:tc>
          <w:tcPr>
            <w:tcW w:w="1890" w:type="dxa"/>
            <w:tcBorders>
              <w:left w:val="nil"/>
              <w:right w:val="single" w:sz="4" w:space="0" w:color="auto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0.183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(0.107 to 0.250)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0.291</w:t>
            </w:r>
            <w:r w:rsidRPr="00FE2A3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(0.250 to 0.332)</w:t>
            </w:r>
          </w:p>
        </w:tc>
        <w:tc>
          <w:tcPr>
            <w:tcW w:w="1440" w:type="dxa"/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</w:p>
        </w:tc>
        <w:tc>
          <w:tcPr>
            <w:tcW w:w="1767" w:type="dxa"/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0.278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(0.206 to 0.361)</w:t>
            </w:r>
          </w:p>
        </w:tc>
      </w:tr>
      <w:tr w:rsidR="00361A5C" w:rsidRPr="009B5320" w:rsidTr="007E1D11">
        <w:trPr>
          <w:trHeight w:val="145"/>
        </w:trPr>
        <w:tc>
          <w:tcPr>
            <w:tcW w:w="1620" w:type="dxa"/>
            <w:vAlign w:val="center"/>
          </w:tcPr>
          <w:p w:rsidR="00361A5C" w:rsidRPr="00FE2A32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Res Err – NHL</w:t>
            </w:r>
            <w:r w:rsidRPr="00FE2A3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3060" w:type="dxa"/>
            <w:vAlign w:val="center"/>
          </w:tcPr>
          <w:p w:rsidR="00361A5C" w:rsidRPr="00FE2A32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890" w:type="dxa"/>
            <w:tcBorders>
              <w:right w:val="nil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0.367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(0.323 to 0.411)</w:t>
            </w:r>
          </w:p>
        </w:tc>
        <w:tc>
          <w:tcPr>
            <w:tcW w:w="1350" w:type="dxa"/>
            <w:vMerge w:val="restart"/>
            <w:tcBorders>
              <w:left w:val="nil"/>
              <w:right w:val="nil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11.2</w:t>
            </w:r>
          </w:p>
        </w:tc>
        <w:tc>
          <w:tcPr>
            <w:tcW w:w="1890" w:type="dxa"/>
            <w:tcBorders>
              <w:left w:val="nil"/>
              <w:right w:val="single" w:sz="4" w:space="0" w:color="auto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0.367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(0.325 to 0.413)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0.453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(0.447 to 0.459)</w:t>
            </w:r>
          </w:p>
        </w:tc>
        <w:tc>
          <w:tcPr>
            <w:tcW w:w="1440" w:type="dxa"/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18.7</w:t>
            </w:r>
          </w:p>
        </w:tc>
        <w:tc>
          <w:tcPr>
            <w:tcW w:w="1767" w:type="dxa"/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0.452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(0.400 to 0.502)</w:t>
            </w:r>
          </w:p>
        </w:tc>
      </w:tr>
      <w:tr w:rsidR="00361A5C" w:rsidRPr="009B5320" w:rsidTr="007E1D11">
        <w:trPr>
          <w:trHeight w:val="145"/>
        </w:trPr>
        <w:tc>
          <w:tcPr>
            <w:tcW w:w="1620" w:type="dxa"/>
            <w:vAlign w:val="center"/>
          </w:tcPr>
          <w:p w:rsidR="00361A5C" w:rsidRPr="00FE2A32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Res Err – ALL</w:t>
            </w:r>
            <w:r w:rsidRPr="00FE2A3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3060" w:type="dxa"/>
            <w:vAlign w:val="center"/>
          </w:tcPr>
          <w:p w:rsidR="00361A5C" w:rsidRPr="00FE2A32" w:rsidRDefault="00361A5C" w:rsidP="007E1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890" w:type="dxa"/>
            <w:tcBorders>
              <w:bottom w:val="single" w:sz="4" w:space="0" w:color="auto"/>
              <w:right w:val="nil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0.539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(0.493 to 0.585)</w:t>
            </w:r>
          </w:p>
        </w:tc>
        <w:tc>
          <w:tcPr>
            <w:tcW w:w="135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0.540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(0.490 to 0.587)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0.641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(0.634 to 0.648)</w:t>
            </w:r>
          </w:p>
        </w:tc>
        <w:tc>
          <w:tcPr>
            <w:tcW w:w="1440" w:type="dxa"/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</w:p>
        </w:tc>
        <w:tc>
          <w:tcPr>
            <w:tcW w:w="1767" w:type="dxa"/>
            <w:vAlign w:val="center"/>
          </w:tcPr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0.634</w:t>
            </w:r>
          </w:p>
          <w:p w:rsidR="00361A5C" w:rsidRPr="00FE2A32" w:rsidRDefault="00361A5C" w:rsidP="007E1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A32">
              <w:rPr>
                <w:rFonts w:ascii="Times New Roman" w:hAnsi="Times New Roman" w:cs="Times New Roman"/>
                <w:sz w:val="20"/>
                <w:szCs w:val="20"/>
              </w:rPr>
              <w:t>(0.572 to 0.704)</w:t>
            </w:r>
          </w:p>
        </w:tc>
      </w:tr>
    </w:tbl>
    <w:p w:rsidR="00361A5C" w:rsidRPr="00FE2A32" w:rsidRDefault="00361A5C" w:rsidP="00361A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E2A32">
        <w:rPr>
          <w:rFonts w:ascii="Times New Roman" w:hAnsi="Times New Roman" w:cs="Times New Roman"/>
          <w:sz w:val="20"/>
          <w:szCs w:val="20"/>
        </w:rPr>
        <w:t>Res Prop Err=residual proportional error; SE=standard error.</w:t>
      </w:r>
    </w:p>
    <w:p w:rsidR="00361A5C" w:rsidRPr="00491612" w:rsidRDefault="00361A5C" w:rsidP="00361A5C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361A5C" w:rsidRPr="00491612" w:rsidSect="007E1D1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FE2A32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FE2A32">
        <w:rPr>
          <w:rFonts w:ascii="Times New Roman" w:hAnsi="Times New Roman" w:cs="Times New Roman"/>
          <w:sz w:val="20"/>
          <w:szCs w:val="20"/>
        </w:rPr>
        <w:t xml:space="preserve">The 95% CI was manually calculated using the following equation: Estimate ± 1.96 × SE. SE was obtained from the covariance step using the R/S Matrix in NONMEM; </w:t>
      </w:r>
      <w:r w:rsidRPr="00FE2A32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FE2A32">
        <w:rPr>
          <w:rFonts w:ascii="Times New Roman" w:hAnsi="Times New Roman" w:cs="Times New Roman"/>
          <w:sz w:val="20"/>
          <w:szCs w:val="20"/>
        </w:rPr>
        <w:t xml:space="preserve">999 of 1000 bootstraps had successful minimization, with 89 of those bootstraps with estimates near boundary; hence, a total of 910 bootstraps were included in the calculation of the 95% CI; </w:t>
      </w:r>
      <w:r w:rsidRPr="009B5320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FE2A32">
        <w:rPr>
          <w:rFonts w:ascii="Times New Roman" w:hAnsi="Times New Roman" w:cs="Times New Roman"/>
          <w:sz w:val="20"/>
          <w:szCs w:val="20"/>
        </w:rPr>
        <w:t xml:space="preserve">the 95% CI was manually calculated using equation: Estimate ± 1.96 × SE. SE was obtained from the covariance step using the S Matrix in NONMEM (R and R/S Matrix had unsuccessful covariance steps; </w:t>
      </w:r>
      <w:r w:rsidRPr="00FE2A32"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r w:rsidRPr="00FE2A32">
        <w:rPr>
          <w:rFonts w:ascii="Times New Roman" w:hAnsi="Times New Roman" w:cs="Times New Roman"/>
          <w:sz w:val="20"/>
          <w:szCs w:val="20"/>
        </w:rPr>
        <w:t xml:space="preserve">640 of 1000 bootstraps had successful minimization, with 7 of those bootstraps with estimates near boundary; hence, a total of 633 bootstraps were included in the calculation of the 95% CI; </w:t>
      </w:r>
      <w:r w:rsidRPr="00FE2A32">
        <w:rPr>
          <w:rFonts w:ascii="Times New Roman" w:hAnsi="Times New Roman" w:cs="Times New Roman"/>
          <w:sz w:val="20"/>
          <w:szCs w:val="20"/>
          <w:vertAlign w:val="superscript"/>
        </w:rPr>
        <w:t>e</w:t>
      </w:r>
      <w:r w:rsidRPr="00FE2A32">
        <w:rPr>
          <w:rFonts w:ascii="Times New Roman" w:hAnsi="Times New Roman" w:cs="Times New Roman"/>
          <w:sz w:val="20"/>
          <w:szCs w:val="20"/>
        </w:rPr>
        <w:t>ALL effects on CL</w:t>
      </w:r>
      <w:r w:rsidRPr="00FE2A32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FE2A32">
        <w:rPr>
          <w:rFonts w:ascii="Times New Roman" w:hAnsi="Times New Roman" w:cs="Times New Roman"/>
          <w:sz w:val="20"/>
          <w:szCs w:val="20"/>
        </w:rPr>
        <w:t xml:space="preserve"> and k</w:t>
      </w:r>
      <w:r w:rsidRPr="00FE2A32">
        <w:rPr>
          <w:rFonts w:ascii="Times New Roman" w:hAnsi="Times New Roman" w:cs="Times New Roman"/>
          <w:sz w:val="20"/>
          <w:szCs w:val="20"/>
          <w:vertAlign w:val="subscript"/>
        </w:rPr>
        <w:t>des</w:t>
      </w:r>
      <w:r w:rsidRPr="00FE2A32">
        <w:rPr>
          <w:rFonts w:ascii="Times New Roman" w:hAnsi="Times New Roman" w:cs="Times New Roman"/>
          <w:sz w:val="20"/>
          <w:szCs w:val="20"/>
        </w:rPr>
        <w:t xml:space="preserve"> accounted for the different diseases (ie, ALL vs NHL) and/or bioanalytical assay methods (ie, HPLC/MS/MS for ALL studies and ELISA for NHL studies); </w:t>
      </w:r>
      <w:r w:rsidRPr="00FE2A32">
        <w:rPr>
          <w:rFonts w:ascii="Times New Roman" w:hAnsi="Times New Roman" w:cs="Times New Roman"/>
          <w:sz w:val="20"/>
          <w:szCs w:val="20"/>
          <w:vertAlign w:val="superscript"/>
        </w:rPr>
        <w:t>f</w:t>
      </w:r>
      <w:r w:rsidRPr="00FE2A32">
        <w:rPr>
          <w:rFonts w:ascii="Times New Roman" w:hAnsi="Times New Roman" w:cs="Times New Roman"/>
          <w:sz w:val="20"/>
          <w:szCs w:val="20"/>
        </w:rPr>
        <w:t xml:space="preserve">correlation </w:t>
      </w:r>
      <w:r>
        <w:rPr>
          <w:rFonts w:ascii="Times New Roman" w:hAnsi="Times New Roman" w:cs="Times New Roman"/>
          <w:sz w:val="20"/>
          <w:szCs w:val="20"/>
        </w:rPr>
        <w:t xml:space="preserve">was estimated to be 87.0% </w:t>
      </w:r>
      <w:r w:rsidRPr="00FE2A32">
        <w:rPr>
          <w:rFonts w:ascii="Times New Roman" w:hAnsi="Times New Roman" w:cs="Times New Roman"/>
          <w:sz w:val="20"/>
          <w:szCs w:val="20"/>
        </w:rPr>
        <w:t>for CL</w:t>
      </w:r>
      <w:r w:rsidRPr="00FE2A32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FE2A32">
        <w:rPr>
          <w:rFonts w:ascii="Times New Roman" w:hAnsi="Times New Roman" w:cs="Times New Roman"/>
          <w:sz w:val="20"/>
          <w:szCs w:val="20"/>
        </w:rPr>
        <w:t>−V</w:t>
      </w:r>
      <w:r w:rsidRPr="00FE2A32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FE2A32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38.1% for </w:t>
      </w:r>
      <w:r w:rsidRPr="00FE2A32">
        <w:rPr>
          <w:rFonts w:ascii="Times New Roman" w:hAnsi="Times New Roman" w:cs="Times New Roman"/>
          <w:sz w:val="20"/>
          <w:szCs w:val="20"/>
        </w:rPr>
        <w:t>CL</w:t>
      </w:r>
      <w:r w:rsidRPr="00FE2A32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FE2A32">
        <w:rPr>
          <w:rFonts w:ascii="Times New Roman" w:hAnsi="Times New Roman" w:cs="Times New Roman"/>
          <w:sz w:val="20"/>
          <w:szCs w:val="20"/>
        </w:rPr>
        <w:t>−CL</w:t>
      </w:r>
      <w:r w:rsidRPr="00FE2A3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FE2A32">
        <w:rPr>
          <w:rFonts w:ascii="Times New Roman" w:hAnsi="Times New Roman" w:cs="Times New Roman"/>
          <w:sz w:val="20"/>
          <w:szCs w:val="20"/>
        </w:rPr>
        <w:t xml:space="preserve">, and </w:t>
      </w:r>
      <w:r>
        <w:rPr>
          <w:rFonts w:ascii="Times New Roman" w:hAnsi="Times New Roman" w:cs="Times New Roman"/>
          <w:sz w:val="20"/>
          <w:szCs w:val="20"/>
        </w:rPr>
        <w:t xml:space="preserve">57.7% for </w:t>
      </w:r>
      <w:r w:rsidRPr="00FE2A32">
        <w:rPr>
          <w:rFonts w:ascii="Times New Roman" w:hAnsi="Times New Roman" w:cs="Times New Roman"/>
          <w:sz w:val="20"/>
          <w:szCs w:val="20"/>
        </w:rPr>
        <w:t>CL</w:t>
      </w:r>
      <w:r w:rsidRPr="00FE2A3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FE2A32">
        <w:rPr>
          <w:rFonts w:ascii="Times New Roman" w:hAnsi="Times New Roman" w:cs="Times New Roman"/>
          <w:sz w:val="20"/>
          <w:szCs w:val="20"/>
        </w:rPr>
        <w:t>−V</w:t>
      </w:r>
      <w:r w:rsidRPr="00FE2A32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FE2A32">
        <w:rPr>
          <w:rFonts w:ascii="Times New Roman" w:hAnsi="Times New Roman" w:cs="Times New Roman"/>
          <w:sz w:val="20"/>
          <w:szCs w:val="20"/>
        </w:rPr>
        <w:t xml:space="preserve">; </w:t>
      </w:r>
      <w:r w:rsidRPr="00FE2A32">
        <w:rPr>
          <w:rFonts w:ascii="Times New Roman" w:hAnsi="Times New Roman" w:cs="Times New Roman"/>
          <w:sz w:val="20"/>
          <w:szCs w:val="20"/>
          <w:vertAlign w:val="superscript"/>
        </w:rPr>
        <w:t>g</w:t>
      </w:r>
      <w:r w:rsidRPr="00FE2A32">
        <w:rPr>
          <w:rFonts w:ascii="Times New Roman" w:hAnsi="Times New Roman" w:cs="Times New Roman"/>
          <w:sz w:val="20"/>
          <w:szCs w:val="20"/>
        </w:rPr>
        <w:t xml:space="preserve">correlation </w:t>
      </w:r>
      <w:r>
        <w:rPr>
          <w:rFonts w:ascii="Times New Roman" w:hAnsi="Times New Roman" w:cs="Times New Roman"/>
          <w:sz w:val="20"/>
          <w:szCs w:val="20"/>
        </w:rPr>
        <w:t xml:space="preserve">was estimated to be 93.8% </w:t>
      </w:r>
      <w:r w:rsidRPr="00FE2A32">
        <w:rPr>
          <w:rFonts w:ascii="Times New Roman" w:hAnsi="Times New Roman" w:cs="Times New Roman"/>
          <w:sz w:val="20"/>
          <w:szCs w:val="20"/>
        </w:rPr>
        <w:t>for CL</w:t>
      </w:r>
      <w:r w:rsidRPr="00FE2A32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FE2A32">
        <w:rPr>
          <w:rFonts w:ascii="Times New Roman" w:hAnsi="Times New Roman" w:cs="Times New Roman"/>
          <w:sz w:val="20"/>
          <w:szCs w:val="20"/>
        </w:rPr>
        <w:t>−V</w:t>
      </w:r>
      <w:r w:rsidRPr="00FE2A32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FE2A32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83.0% for </w:t>
      </w:r>
      <w:r w:rsidRPr="00FE2A32">
        <w:rPr>
          <w:rFonts w:ascii="Times New Roman" w:hAnsi="Times New Roman" w:cs="Times New Roman"/>
          <w:sz w:val="20"/>
          <w:szCs w:val="20"/>
        </w:rPr>
        <w:t>CL</w:t>
      </w:r>
      <w:r w:rsidRPr="00FE2A32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FE2A32">
        <w:rPr>
          <w:rFonts w:ascii="Times New Roman" w:hAnsi="Times New Roman" w:cs="Times New Roman"/>
          <w:sz w:val="20"/>
          <w:szCs w:val="20"/>
        </w:rPr>
        <w:t>−CL</w:t>
      </w:r>
      <w:r w:rsidRPr="00FE2A3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FE2A32">
        <w:rPr>
          <w:rFonts w:ascii="Times New Roman" w:hAnsi="Times New Roman" w:cs="Times New Roman"/>
          <w:sz w:val="20"/>
          <w:szCs w:val="20"/>
        </w:rPr>
        <w:t xml:space="preserve">, and </w:t>
      </w:r>
      <w:r>
        <w:rPr>
          <w:rFonts w:ascii="Times New Roman" w:hAnsi="Times New Roman" w:cs="Times New Roman"/>
          <w:sz w:val="20"/>
          <w:szCs w:val="20"/>
        </w:rPr>
        <w:t xml:space="preserve">82.9% for </w:t>
      </w:r>
      <w:r w:rsidRPr="00FE2A32">
        <w:rPr>
          <w:rFonts w:ascii="Times New Roman" w:hAnsi="Times New Roman" w:cs="Times New Roman"/>
          <w:sz w:val="20"/>
          <w:szCs w:val="20"/>
        </w:rPr>
        <w:t>CL</w:t>
      </w:r>
      <w:r w:rsidRPr="00FE2A3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FE2A32">
        <w:rPr>
          <w:rFonts w:ascii="Times New Roman" w:hAnsi="Times New Roman" w:cs="Times New Roman"/>
          <w:sz w:val="20"/>
          <w:szCs w:val="20"/>
        </w:rPr>
        <w:t>-V</w:t>
      </w:r>
      <w:r w:rsidRPr="00FE2A32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FE2A32">
        <w:rPr>
          <w:rFonts w:ascii="Times New Roman" w:hAnsi="Times New Roman" w:cs="Times New Roman"/>
          <w:sz w:val="20"/>
          <w:szCs w:val="20"/>
        </w:rPr>
        <w:t xml:space="preserve">; </w:t>
      </w:r>
      <w:r w:rsidRPr="00FE2A32">
        <w:rPr>
          <w:rFonts w:ascii="Times New Roman" w:hAnsi="Times New Roman" w:cs="Times New Roman"/>
          <w:sz w:val="20"/>
          <w:szCs w:val="20"/>
          <w:vertAlign w:val="superscript"/>
        </w:rPr>
        <w:t>h</w:t>
      </w:r>
      <w:r w:rsidRPr="00FE2A32">
        <w:rPr>
          <w:rFonts w:ascii="Times New Roman" w:hAnsi="Times New Roman" w:cs="Times New Roman"/>
          <w:sz w:val="20"/>
          <w:szCs w:val="20"/>
        </w:rPr>
        <w:t xml:space="preserve">2 residual errors were included in the model for the type of disease (ie, ALL vs NHL) and/or bioanalytical assay method (ie, HPLC/MS/MS for ALL studies and ELISA for NHL studies). </w:t>
      </w:r>
    </w:p>
    <w:p w:rsidR="00361A5C" w:rsidRPr="00DA788B" w:rsidRDefault="00361A5C" w:rsidP="00361A5C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DA788B">
        <w:rPr>
          <w:rFonts w:ascii="Times New Roman" w:hAnsi="Times New Roman" w:cs="Times New Roman"/>
          <w:b/>
          <w:sz w:val="20"/>
          <w:szCs w:val="20"/>
        </w:rPr>
        <w:t>Online Resource</w:t>
      </w:r>
      <w:r w:rsidRPr="001B21EA">
        <w:rPr>
          <w:rFonts w:ascii="Times New Roman" w:hAnsi="Times New Roman" w:cs="Times New Roman"/>
          <w:b/>
          <w:sz w:val="20"/>
          <w:szCs w:val="20"/>
        </w:rPr>
        <w:t xml:space="preserve"> 6. </w:t>
      </w:r>
      <w:r w:rsidRPr="00926C1C">
        <w:rPr>
          <w:rFonts w:ascii="Times New Roman" w:hAnsi="Times New Roman" w:cs="Times New Roman"/>
          <w:b/>
          <w:sz w:val="20"/>
          <w:szCs w:val="20"/>
        </w:rPr>
        <w:t>Visual predictive checks M3 final model.</w:t>
      </w:r>
    </w:p>
    <w:p w:rsidR="00361A5C" w:rsidRDefault="00361A5C" w:rsidP="00361A5C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A415AEA" wp14:editId="3849C90E">
            <wp:simplePos x="0" y="0"/>
            <wp:positionH relativeFrom="column">
              <wp:posOffset>0</wp:posOffset>
            </wp:positionH>
            <wp:positionV relativeFrom="paragraph">
              <wp:posOffset>1314</wp:posOffset>
            </wp:positionV>
            <wp:extent cx="5231219" cy="6629769"/>
            <wp:effectExtent l="0" t="0" r="762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4159" cy="6633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1A5C" w:rsidRDefault="00361A5C" w:rsidP="00361A5C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:rsidR="00361A5C" w:rsidRDefault="00361A5C" w:rsidP="00361A5C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:rsidR="00361A5C" w:rsidRDefault="00361A5C" w:rsidP="00361A5C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:rsidR="00361A5C" w:rsidRDefault="00361A5C" w:rsidP="00361A5C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:rsidR="00361A5C" w:rsidRDefault="00361A5C" w:rsidP="00361A5C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:rsidR="00361A5C" w:rsidRDefault="00361A5C" w:rsidP="00361A5C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:rsidR="00361A5C" w:rsidRDefault="00361A5C" w:rsidP="00361A5C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:rsidR="00361A5C" w:rsidRDefault="00361A5C" w:rsidP="00361A5C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:rsidR="00361A5C" w:rsidRDefault="00361A5C" w:rsidP="00361A5C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:rsidR="00361A5C" w:rsidRDefault="00361A5C" w:rsidP="00361A5C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:rsidR="00361A5C" w:rsidRDefault="00361A5C" w:rsidP="00361A5C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:rsidR="00361A5C" w:rsidRDefault="00361A5C" w:rsidP="00361A5C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:rsidR="00361A5C" w:rsidRDefault="00361A5C" w:rsidP="00361A5C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:rsidR="00361A5C" w:rsidRDefault="00361A5C" w:rsidP="00361A5C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:rsidR="00361A5C" w:rsidRDefault="00361A5C" w:rsidP="00361A5C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:rsidR="00361A5C" w:rsidRDefault="00361A5C" w:rsidP="00361A5C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:rsidR="00361A5C" w:rsidRDefault="00361A5C" w:rsidP="00361A5C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:rsidR="00361A5C" w:rsidRDefault="00361A5C" w:rsidP="00361A5C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:rsidR="00361A5C" w:rsidRDefault="00361A5C" w:rsidP="00361A5C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:rsidR="00361A5C" w:rsidRDefault="00361A5C" w:rsidP="00361A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61A5C" w:rsidRDefault="00361A5C" w:rsidP="00361A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61A5C" w:rsidRDefault="00361A5C" w:rsidP="00361A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61A5C" w:rsidRDefault="00361A5C" w:rsidP="00361A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61A5C" w:rsidRDefault="00361A5C" w:rsidP="00361A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61A5C" w:rsidRDefault="00361A5C" w:rsidP="00361A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61A5C" w:rsidRPr="00DA788B" w:rsidRDefault="00361A5C" w:rsidP="00361A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For plots on the left, b</w:t>
      </w:r>
      <w:r w:rsidRPr="00DA788B">
        <w:rPr>
          <w:rFonts w:ascii="Times New Roman" w:hAnsi="Times New Roman" w:cs="Times New Roman"/>
          <w:sz w:val="20"/>
          <w:szCs w:val="20"/>
        </w:rPr>
        <w:t>lue circles are observed data. Red lines are the 50th (solid), 5th (dash), and 95th (dash) percentiles of observed data. Gray lines are LLOQ values. The 50th, 5th, and 95th</w:t>
      </w:r>
      <w:r w:rsidRPr="00DA788B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DA788B">
        <w:rPr>
          <w:rFonts w:ascii="Times New Roman" w:hAnsi="Times New Roman" w:cs="Times New Roman"/>
          <w:sz w:val="20"/>
          <w:szCs w:val="20"/>
        </w:rPr>
        <w:t xml:space="preserve">percentiles of simulated data (black lines) are calculated for each time bin. The 95% CIs </w:t>
      </w:r>
      <w:r>
        <w:rPr>
          <w:rFonts w:ascii="Times New Roman" w:hAnsi="Times New Roman" w:cs="Times New Roman"/>
          <w:sz w:val="20"/>
          <w:szCs w:val="20"/>
        </w:rPr>
        <w:t xml:space="preserve">are shown by pink shaded areas </w:t>
      </w:r>
      <w:r w:rsidRPr="00DA788B">
        <w:rPr>
          <w:rFonts w:ascii="Times New Roman" w:hAnsi="Times New Roman" w:cs="Times New Roman"/>
          <w:sz w:val="20"/>
          <w:szCs w:val="20"/>
        </w:rPr>
        <w:t xml:space="preserve">for </w:t>
      </w:r>
      <w:r>
        <w:rPr>
          <w:rFonts w:ascii="Times New Roman" w:hAnsi="Times New Roman" w:cs="Times New Roman"/>
          <w:sz w:val="20"/>
          <w:szCs w:val="20"/>
        </w:rPr>
        <w:t xml:space="preserve">the </w:t>
      </w:r>
      <w:r w:rsidRPr="00DA788B">
        <w:rPr>
          <w:rFonts w:ascii="Times New Roman" w:hAnsi="Times New Roman" w:cs="Times New Roman"/>
          <w:sz w:val="20"/>
          <w:szCs w:val="20"/>
        </w:rPr>
        <w:t>simulated 50</w:t>
      </w:r>
      <w:r w:rsidRPr="0050679E">
        <w:rPr>
          <w:rFonts w:ascii="Times New Roman" w:hAnsi="Times New Roman" w:cs="Times New Roman"/>
          <w:sz w:val="20"/>
          <w:szCs w:val="20"/>
        </w:rPr>
        <w:t>th</w:t>
      </w:r>
      <w:r>
        <w:rPr>
          <w:rFonts w:ascii="Times New Roman" w:hAnsi="Times New Roman" w:cs="Times New Roman"/>
          <w:sz w:val="20"/>
          <w:szCs w:val="20"/>
        </w:rPr>
        <w:t xml:space="preserve"> percentile</w:t>
      </w:r>
      <w:r w:rsidRPr="00DA788B">
        <w:rPr>
          <w:rFonts w:ascii="Times New Roman" w:hAnsi="Times New Roman" w:cs="Times New Roman"/>
          <w:sz w:val="20"/>
          <w:szCs w:val="20"/>
        </w:rPr>
        <w:t xml:space="preserve"> and </w:t>
      </w:r>
      <w:r>
        <w:rPr>
          <w:rFonts w:ascii="Times New Roman" w:hAnsi="Times New Roman" w:cs="Times New Roman"/>
          <w:sz w:val="20"/>
          <w:szCs w:val="20"/>
        </w:rPr>
        <w:t>in shaded blue areas for the simulated 5th and 95</w:t>
      </w:r>
      <w:r w:rsidRPr="0058404B">
        <w:rPr>
          <w:rFonts w:ascii="Times New Roman" w:hAnsi="Times New Roman" w:cs="Times New Roman"/>
          <w:sz w:val="20"/>
          <w:szCs w:val="20"/>
        </w:rPr>
        <w:t>th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A788B">
        <w:rPr>
          <w:rFonts w:ascii="Times New Roman" w:hAnsi="Times New Roman" w:cs="Times New Roman"/>
          <w:sz w:val="20"/>
          <w:szCs w:val="20"/>
        </w:rPr>
        <w:t xml:space="preserve">each percentile. </w:t>
      </w:r>
      <w:r>
        <w:rPr>
          <w:rFonts w:ascii="Times New Roman" w:hAnsi="Times New Roman" w:cs="Times New Roman"/>
          <w:sz w:val="20"/>
          <w:szCs w:val="20"/>
        </w:rPr>
        <w:t xml:space="preserve">For plots on the right, the blue solid lines are the fraction of observed data &lt;LLOQ and the pink shaded areas are the 95% CI for fraction of observed data &lt;LLOQ. </w:t>
      </w:r>
      <w:r w:rsidRPr="00DA788B">
        <w:rPr>
          <w:rFonts w:ascii="Times New Roman" w:hAnsi="Times New Roman" w:cs="Times New Roman"/>
          <w:sz w:val="20"/>
          <w:szCs w:val="20"/>
        </w:rPr>
        <w:t>The full x-axis ranges are not shown for better visualization.</w:t>
      </w:r>
    </w:p>
    <w:p w:rsidR="007E1D11" w:rsidRDefault="007E1D11" w:rsidP="00361A5C">
      <w:pPr>
        <w:spacing w:after="0" w:line="240" w:lineRule="auto"/>
        <w:rPr>
          <w:rFonts w:ascii="Times New Roman" w:hAnsi="Times New Roman" w:cs="Times New Roman"/>
          <w:b/>
          <w:sz w:val="20"/>
          <w:szCs w:val="24"/>
        </w:rPr>
      </w:pPr>
    </w:p>
    <w:p w:rsidR="00361A5C" w:rsidRDefault="00361A5C" w:rsidP="00361A5C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1B2F648" wp14:editId="499ED39D">
            <wp:simplePos x="0" y="0"/>
            <wp:positionH relativeFrom="column">
              <wp:posOffset>1146810</wp:posOffset>
            </wp:positionH>
            <wp:positionV relativeFrom="paragraph">
              <wp:posOffset>123190</wp:posOffset>
            </wp:positionV>
            <wp:extent cx="2691130" cy="6914515"/>
            <wp:effectExtent l="0" t="0" r="0" b="63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1130" cy="6914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4D8B">
        <w:rPr>
          <w:rFonts w:ascii="Times New Roman" w:hAnsi="Times New Roman" w:cs="Times New Roman"/>
          <w:b/>
          <w:sz w:val="20"/>
          <w:szCs w:val="24"/>
        </w:rPr>
        <w:t xml:space="preserve">Online Resource </w:t>
      </w:r>
      <w:r>
        <w:rPr>
          <w:rFonts w:ascii="Times New Roman" w:hAnsi="Times New Roman" w:cs="Times New Roman"/>
          <w:b/>
          <w:sz w:val="20"/>
          <w:szCs w:val="24"/>
        </w:rPr>
        <w:t>7</w:t>
      </w:r>
      <w:r w:rsidRPr="001B21EA">
        <w:rPr>
          <w:rFonts w:ascii="Times New Roman" w:hAnsi="Times New Roman" w:cs="Times New Roman"/>
          <w:b/>
          <w:sz w:val="20"/>
          <w:szCs w:val="24"/>
        </w:rPr>
        <w:t xml:space="preserve">. </w:t>
      </w:r>
      <w:r w:rsidRPr="00926C1C">
        <w:rPr>
          <w:rFonts w:ascii="Times New Roman" w:hAnsi="Times New Roman" w:cs="Times New Roman"/>
          <w:b/>
          <w:sz w:val="20"/>
          <w:szCs w:val="24"/>
        </w:rPr>
        <w:t xml:space="preserve">Final model empirical Bayes estimate of the interindividual random effect in a pharmacokinetic parameter versus </w:t>
      </w:r>
      <w:r w:rsidRPr="001B21EA">
        <w:rPr>
          <w:rFonts w:ascii="Times New Roman" w:hAnsi="Times New Roman" w:cs="Times New Roman"/>
          <w:b/>
          <w:sz w:val="20"/>
          <w:szCs w:val="24"/>
        </w:rPr>
        <w:t>A)</w:t>
      </w:r>
      <w:r w:rsidRPr="00926C1C">
        <w:rPr>
          <w:rFonts w:ascii="Times New Roman" w:hAnsi="Times New Roman" w:cs="Times New Roman"/>
          <w:b/>
          <w:sz w:val="20"/>
          <w:szCs w:val="24"/>
        </w:rPr>
        <w:t xml:space="preserve"> baseline weight and </w:t>
      </w:r>
      <w:r w:rsidRPr="001B21EA">
        <w:rPr>
          <w:rFonts w:ascii="Times New Roman" w:hAnsi="Times New Roman" w:cs="Times New Roman"/>
          <w:b/>
          <w:sz w:val="20"/>
          <w:szCs w:val="24"/>
        </w:rPr>
        <w:t xml:space="preserve">B) </w:t>
      </w:r>
      <w:r w:rsidRPr="00926C1C">
        <w:rPr>
          <w:rFonts w:ascii="Times New Roman" w:hAnsi="Times New Roman" w:cs="Times New Roman"/>
          <w:b/>
          <w:sz w:val="20"/>
          <w:szCs w:val="24"/>
        </w:rPr>
        <w:t>gender.</w:t>
      </w:r>
    </w:p>
    <w:p w:rsidR="00361A5C" w:rsidRPr="00926C1C" w:rsidRDefault="00361A5C" w:rsidP="00361A5C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>A)</w:t>
      </w:r>
      <w:r w:rsidRPr="008C3D98">
        <w:rPr>
          <w:noProof/>
        </w:rPr>
        <w:t xml:space="preserve"> </w:t>
      </w:r>
    </w:p>
    <w:p w:rsidR="00361A5C" w:rsidRDefault="00361A5C" w:rsidP="00361A5C">
      <w:pPr>
        <w:rPr>
          <w:rFonts w:ascii="Times New Roman" w:hAnsi="Times New Roman" w:cs="Times New Roman"/>
          <w:sz w:val="24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sz w:val="24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sz w:val="24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sz w:val="24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sz w:val="24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sz w:val="24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sz w:val="24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sz w:val="24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sz w:val="24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sz w:val="24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sz w:val="24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sz w:val="24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sz w:val="24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sz w:val="24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sz w:val="24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sz w:val="24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sz w:val="24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sz w:val="24"/>
          <w:szCs w:val="24"/>
        </w:rPr>
      </w:pPr>
    </w:p>
    <w:p w:rsidR="00361A5C" w:rsidRDefault="00361A5C" w:rsidP="00361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1A5C" w:rsidRDefault="00361A5C" w:rsidP="00361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1A5C" w:rsidRDefault="00361A5C" w:rsidP="00361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1A5C" w:rsidRDefault="00361A5C" w:rsidP="00361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6C1C">
        <w:rPr>
          <w:rStyle w:val="TableText9"/>
          <w:sz w:val="20"/>
          <w:szCs w:val="18"/>
        </w:rPr>
        <w:t>The black dots are the baseli</w:t>
      </w:r>
      <w:r w:rsidRPr="003F308C">
        <w:rPr>
          <w:rStyle w:val="TableText9"/>
          <w:sz w:val="20"/>
          <w:szCs w:val="18"/>
        </w:rPr>
        <w:t>ne individual observed values.</w:t>
      </w:r>
      <w:r>
        <w:rPr>
          <w:rStyle w:val="TableText9"/>
          <w:sz w:val="20"/>
          <w:szCs w:val="18"/>
        </w:rPr>
        <w:t xml:space="preserve"> </w:t>
      </w:r>
      <w:r w:rsidRPr="00926C1C">
        <w:rPr>
          <w:rStyle w:val="TableText9"/>
          <w:sz w:val="20"/>
          <w:szCs w:val="18"/>
        </w:rPr>
        <w:t xml:space="preserve">The blue solid </w:t>
      </w:r>
      <w:r>
        <w:rPr>
          <w:rStyle w:val="TableText9"/>
          <w:sz w:val="20"/>
          <w:szCs w:val="18"/>
        </w:rPr>
        <w:t xml:space="preserve">lines </w:t>
      </w:r>
      <w:r w:rsidRPr="00926C1C">
        <w:rPr>
          <w:rStyle w:val="TableText9"/>
          <w:sz w:val="20"/>
          <w:szCs w:val="18"/>
        </w:rPr>
        <w:t>are the reference line (y=0) and</w:t>
      </w:r>
      <w:r>
        <w:rPr>
          <w:rStyle w:val="TableText9"/>
          <w:sz w:val="20"/>
          <w:szCs w:val="18"/>
        </w:rPr>
        <w:t xml:space="preserve"> the </w:t>
      </w:r>
      <w:r w:rsidRPr="00926C1C">
        <w:rPr>
          <w:rStyle w:val="TableText9"/>
          <w:sz w:val="20"/>
          <w:szCs w:val="18"/>
        </w:rPr>
        <w:t>red dotted lines</w:t>
      </w:r>
      <w:r>
        <w:rPr>
          <w:rStyle w:val="TableText9"/>
          <w:sz w:val="20"/>
          <w:szCs w:val="18"/>
        </w:rPr>
        <w:t xml:space="preserve"> are the </w:t>
      </w:r>
      <w:r w:rsidRPr="00926C1C">
        <w:rPr>
          <w:rStyle w:val="TableText9"/>
          <w:sz w:val="20"/>
          <w:szCs w:val="18"/>
        </w:rPr>
        <w:t>locally weighted scatterplot smoothing trend line (LOESS).</w:t>
      </w:r>
      <w:r>
        <w:rPr>
          <w:rStyle w:val="TableText9"/>
          <w:sz w:val="20"/>
          <w:szCs w:val="18"/>
        </w:rPr>
        <w:t xml:space="preserve"> Data are represented on the natural number scale.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61A5C" w:rsidRDefault="00361A5C" w:rsidP="00361A5C">
      <w:pPr>
        <w:rPr>
          <w:rFonts w:ascii="Times New Roman" w:hAnsi="Times New Roman" w:cs="Times New Roman"/>
          <w:b/>
          <w:sz w:val="20"/>
          <w:szCs w:val="24"/>
        </w:rPr>
      </w:pPr>
      <w:r w:rsidRPr="001A7660">
        <w:rPr>
          <w:noProof/>
        </w:rPr>
        <w:drawing>
          <wp:anchor distT="0" distB="0" distL="114300" distR="114300" simplePos="0" relativeHeight="251660288" behindDoc="1" locked="0" layoutInCell="1" allowOverlap="1" wp14:anchorId="6D29155C" wp14:editId="5C256DC5">
            <wp:simplePos x="0" y="0"/>
            <wp:positionH relativeFrom="column">
              <wp:posOffset>1216025</wp:posOffset>
            </wp:positionH>
            <wp:positionV relativeFrom="paragraph">
              <wp:posOffset>119380</wp:posOffset>
            </wp:positionV>
            <wp:extent cx="2872105" cy="6695440"/>
            <wp:effectExtent l="0" t="0" r="444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2105" cy="6695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4D8B">
        <w:rPr>
          <w:rFonts w:ascii="Times New Roman" w:hAnsi="Times New Roman" w:cs="Times New Roman"/>
          <w:b/>
          <w:sz w:val="20"/>
          <w:szCs w:val="24"/>
        </w:rPr>
        <w:t>B)</w:t>
      </w:r>
    </w:p>
    <w:p w:rsidR="00361A5C" w:rsidRPr="00354D8B" w:rsidRDefault="00361A5C" w:rsidP="00361A5C">
      <w:pPr>
        <w:rPr>
          <w:rFonts w:ascii="Times New Roman" w:hAnsi="Times New Roman" w:cs="Times New Roman"/>
          <w:b/>
          <w:sz w:val="20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b/>
          <w:sz w:val="24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b/>
          <w:sz w:val="24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b/>
          <w:sz w:val="24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b/>
          <w:sz w:val="24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b/>
          <w:sz w:val="24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b/>
          <w:sz w:val="24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b/>
          <w:sz w:val="24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b/>
          <w:sz w:val="24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b/>
          <w:sz w:val="24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b/>
          <w:sz w:val="24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b/>
          <w:sz w:val="24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b/>
          <w:sz w:val="24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b/>
          <w:sz w:val="24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b/>
          <w:sz w:val="24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b/>
          <w:sz w:val="24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b/>
          <w:sz w:val="24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b/>
          <w:sz w:val="24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b/>
          <w:sz w:val="24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b/>
          <w:sz w:val="24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b/>
          <w:sz w:val="24"/>
          <w:szCs w:val="24"/>
        </w:rPr>
      </w:pPr>
    </w:p>
    <w:p w:rsidR="00361A5C" w:rsidRPr="00926C1C" w:rsidRDefault="00361A5C" w:rsidP="00361A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26C1C">
        <w:rPr>
          <w:rStyle w:val="TableText9"/>
          <w:sz w:val="20"/>
          <w:szCs w:val="20"/>
        </w:rPr>
        <w:t>Medians for each group are represented by a black solid line, a red line shows the reference line (y=0), and blue circles are individuals ETAs.</w:t>
      </w:r>
      <w:r>
        <w:rPr>
          <w:rStyle w:val="TableText9"/>
          <w:sz w:val="20"/>
          <w:szCs w:val="20"/>
        </w:rPr>
        <w:t xml:space="preserve"> </w:t>
      </w:r>
      <w:r>
        <w:rPr>
          <w:rStyle w:val="TableText9"/>
          <w:sz w:val="20"/>
          <w:szCs w:val="18"/>
        </w:rPr>
        <w:t>Data are represented on the natural number scale.</w:t>
      </w:r>
      <w:r w:rsidRPr="00926C1C">
        <w:rPr>
          <w:rFonts w:ascii="Times New Roman" w:hAnsi="Times New Roman" w:cs="Times New Roman"/>
          <w:sz w:val="20"/>
          <w:szCs w:val="20"/>
        </w:rPr>
        <w:br w:type="page"/>
      </w:r>
    </w:p>
    <w:p w:rsidR="00361A5C" w:rsidRDefault="00361A5C" w:rsidP="00361A5C">
      <w:pPr>
        <w:rPr>
          <w:rFonts w:ascii="Times New Roman" w:hAnsi="Times New Roman" w:cs="Times New Roman"/>
          <w:sz w:val="20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2F10871" wp14:editId="13DDA3C8">
            <wp:simplePos x="0" y="0"/>
            <wp:positionH relativeFrom="column">
              <wp:posOffset>1538915</wp:posOffset>
            </wp:positionH>
            <wp:positionV relativeFrom="paragraph">
              <wp:posOffset>166917</wp:posOffset>
            </wp:positionV>
            <wp:extent cx="2570672" cy="6714118"/>
            <wp:effectExtent l="0" t="0" r="127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0672" cy="67141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6C1C">
        <w:rPr>
          <w:rFonts w:ascii="Times New Roman" w:hAnsi="Times New Roman" w:cs="Times New Roman"/>
          <w:b/>
          <w:sz w:val="20"/>
          <w:szCs w:val="24"/>
        </w:rPr>
        <w:t>Online Resource 8.</w:t>
      </w:r>
      <w:r w:rsidRPr="001B21EA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Pr="00926C1C">
        <w:rPr>
          <w:rFonts w:ascii="Times New Roman" w:hAnsi="Times New Roman" w:cs="Times New Roman"/>
          <w:b/>
          <w:sz w:val="20"/>
          <w:szCs w:val="24"/>
        </w:rPr>
        <w:t>Final model empirical Bayes estimate of the interindividual random effect in a pharmacokinetic parameter versus baseline body surface area.</w:t>
      </w:r>
    </w:p>
    <w:p w:rsidR="00361A5C" w:rsidRDefault="00361A5C" w:rsidP="00361A5C">
      <w:pPr>
        <w:rPr>
          <w:rFonts w:ascii="Times New Roman" w:hAnsi="Times New Roman" w:cs="Times New Roman"/>
          <w:sz w:val="20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sz w:val="20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sz w:val="20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sz w:val="20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sz w:val="20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sz w:val="20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sz w:val="20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sz w:val="20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sz w:val="20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sz w:val="20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sz w:val="20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sz w:val="20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sz w:val="20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sz w:val="20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sz w:val="20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sz w:val="20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sz w:val="20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sz w:val="20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sz w:val="20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sz w:val="20"/>
          <w:szCs w:val="24"/>
        </w:rPr>
      </w:pPr>
    </w:p>
    <w:p w:rsidR="00361A5C" w:rsidRDefault="00361A5C" w:rsidP="00361A5C">
      <w:pPr>
        <w:rPr>
          <w:rFonts w:ascii="Times New Roman" w:hAnsi="Times New Roman" w:cs="Times New Roman"/>
          <w:sz w:val="20"/>
          <w:szCs w:val="24"/>
        </w:rPr>
      </w:pPr>
    </w:p>
    <w:p w:rsidR="00361A5C" w:rsidRPr="006462A0" w:rsidRDefault="00361A5C" w:rsidP="00361A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61A5C" w:rsidRDefault="00361A5C" w:rsidP="00361A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61A5C" w:rsidRDefault="00361A5C" w:rsidP="00361A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61A5C" w:rsidRDefault="00361A5C" w:rsidP="00361A5C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926C1C">
        <w:rPr>
          <w:rStyle w:val="TableText9"/>
          <w:sz w:val="20"/>
          <w:szCs w:val="20"/>
        </w:rPr>
        <w:t>The black dots are the baseline individual observed values.  The blue solid</w:t>
      </w:r>
      <w:r>
        <w:rPr>
          <w:rStyle w:val="TableText9"/>
          <w:sz w:val="20"/>
          <w:szCs w:val="20"/>
        </w:rPr>
        <w:t xml:space="preserve"> lines</w:t>
      </w:r>
      <w:r w:rsidRPr="00926C1C">
        <w:rPr>
          <w:rStyle w:val="TableText9"/>
          <w:sz w:val="20"/>
          <w:szCs w:val="20"/>
        </w:rPr>
        <w:t xml:space="preserve"> </w:t>
      </w:r>
      <w:r>
        <w:rPr>
          <w:rStyle w:val="TableText9"/>
          <w:sz w:val="20"/>
          <w:szCs w:val="20"/>
        </w:rPr>
        <w:t xml:space="preserve">are </w:t>
      </w:r>
      <w:r w:rsidRPr="00926C1C">
        <w:rPr>
          <w:rStyle w:val="TableText9"/>
          <w:sz w:val="20"/>
          <w:szCs w:val="20"/>
        </w:rPr>
        <w:t xml:space="preserve">the reference line (y=0) and </w:t>
      </w:r>
      <w:r>
        <w:rPr>
          <w:rStyle w:val="TableText9"/>
          <w:sz w:val="20"/>
          <w:szCs w:val="20"/>
        </w:rPr>
        <w:t xml:space="preserve">the </w:t>
      </w:r>
      <w:r w:rsidRPr="00926C1C">
        <w:rPr>
          <w:rStyle w:val="TableText9"/>
          <w:sz w:val="20"/>
          <w:szCs w:val="20"/>
        </w:rPr>
        <w:t xml:space="preserve">red dotted lines are </w:t>
      </w:r>
      <w:r>
        <w:rPr>
          <w:rStyle w:val="TableText9"/>
          <w:sz w:val="20"/>
          <w:szCs w:val="20"/>
        </w:rPr>
        <w:t xml:space="preserve">the </w:t>
      </w:r>
      <w:r w:rsidRPr="00926C1C">
        <w:rPr>
          <w:rStyle w:val="TableText9"/>
          <w:sz w:val="20"/>
          <w:szCs w:val="20"/>
        </w:rPr>
        <w:t>locally weighted scatterplot smoothing trend line (LOESS).</w:t>
      </w:r>
      <w:r>
        <w:rPr>
          <w:rStyle w:val="TableText9"/>
          <w:sz w:val="20"/>
          <w:szCs w:val="20"/>
        </w:rPr>
        <w:t xml:space="preserve"> </w:t>
      </w:r>
      <w:r>
        <w:rPr>
          <w:rStyle w:val="TableText9"/>
          <w:sz w:val="20"/>
          <w:szCs w:val="18"/>
        </w:rPr>
        <w:t>Data are represented on the natural number scale.</w:t>
      </w:r>
      <w:r>
        <w:rPr>
          <w:rFonts w:ascii="Times New Roman" w:hAnsi="Times New Roman" w:cs="Times New Roman"/>
          <w:sz w:val="20"/>
          <w:szCs w:val="24"/>
        </w:rPr>
        <w:br w:type="page"/>
      </w:r>
    </w:p>
    <w:p w:rsidR="00361A5C" w:rsidRDefault="00361A5C" w:rsidP="00361A5C">
      <w:pPr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>Online Reso</w:t>
      </w:r>
      <w:r w:rsidRPr="001B21EA">
        <w:rPr>
          <w:rFonts w:ascii="Times New Roman" w:hAnsi="Times New Roman" w:cs="Times New Roman"/>
          <w:b/>
          <w:sz w:val="20"/>
          <w:szCs w:val="24"/>
        </w:rPr>
        <w:t xml:space="preserve">urce 9. </w:t>
      </w:r>
      <w:r>
        <w:rPr>
          <w:rFonts w:ascii="Times New Roman" w:hAnsi="Times New Roman" w:cs="Times New Roman"/>
          <w:b/>
          <w:sz w:val="20"/>
          <w:szCs w:val="24"/>
        </w:rPr>
        <w:t>A) Linear clearance and B) f</w:t>
      </w:r>
      <w:r w:rsidRPr="00926C1C">
        <w:rPr>
          <w:rFonts w:ascii="Times New Roman" w:hAnsi="Times New Roman" w:cs="Times New Roman"/>
          <w:b/>
          <w:sz w:val="20"/>
          <w:szCs w:val="24"/>
        </w:rPr>
        <w:t>inal model empirical Bayes estimate of the interindividual random effect on the decay coefficient associated with time-dependent clearance versus rituximab administered with inotuzumab ozogamicin.</w:t>
      </w:r>
    </w:p>
    <w:p w:rsidR="00361A5C" w:rsidRDefault="00361A5C" w:rsidP="00361A5C">
      <w:pPr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>A)</w:t>
      </w:r>
    </w:p>
    <w:p w:rsidR="00361A5C" w:rsidRDefault="00361A5C" w:rsidP="00361A5C">
      <w:pPr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noProof/>
          <w:sz w:val="20"/>
          <w:szCs w:val="24"/>
        </w:rPr>
        <w:drawing>
          <wp:inline distT="0" distB="0" distL="0" distR="0" wp14:anchorId="38E0E322" wp14:editId="26766106">
            <wp:extent cx="3614518" cy="2613804"/>
            <wp:effectExtent l="0" t="0" r="508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O1020 Figures_Page_1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7621" cy="261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A5C" w:rsidRPr="0058404B" w:rsidRDefault="00361A5C" w:rsidP="00361A5C">
      <w:pPr>
        <w:rPr>
          <w:rFonts w:ascii="Times New Roman" w:hAnsi="Times New Roman" w:cs="Times New Roman"/>
          <w:b/>
          <w:sz w:val="20"/>
          <w:szCs w:val="20"/>
        </w:rPr>
      </w:pPr>
      <w:r w:rsidRPr="0058404B">
        <w:rPr>
          <w:rFonts w:ascii="Times New Roman" w:hAnsi="Times New Roman" w:cs="Times New Roman"/>
          <w:b/>
          <w:sz w:val="20"/>
          <w:szCs w:val="20"/>
        </w:rPr>
        <w:t>B)</w:t>
      </w:r>
    </w:p>
    <w:p w:rsidR="00361A5C" w:rsidRDefault="00361A5C" w:rsidP="00361A5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674FC92" wp14:editId="710A3B43">
            <wp:extent cx="3559926" cy="2786333"/>
            <wp:effectExtent l="0" t="0" r="254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O1020 Figures_Page_12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500" cy="2788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A5C" w:rsidRPr="00926C1C" w:rsidRDefault="00361A5C" w:rsidP="00361A5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26C1C">
        <w:rPr>
          <w:rStyle w:val="TableText9"/>
          <w:sz w:val="20"/>
          <w:szCs w:val="20"/>
        </w:rPr>
        <w:t>Medians for each group are represented by a black solid line, a red line shows the reference line (y=0), and blue circles are individuals ETAs.</w:t>
      </w:r>
      <w:r>
        <w:rPr>
          <w:rStyle w:val="TableText9"/>
          <w:sz w:val="20"/>
          <w:szCs w:val="20"/>
        </w:rPr>
        <w:t xml:space="preserve"> </w:t>
      </w:r>
      <w:r>
        <w:rPr>
          <w:rStyle w:val="TableText9"/>
          <w:sz w:val="20"/>
          <w:szCs w:val="18"/>
        </w:rPr>
        <w:t>Data are represented on the natural number scale.</w:t>
      </w:r>
    </w:p>
    <w:p w:rsidR="006C01B5" w:rsidRDefault="006C01B5"/>
    <w:sectPr w:rsidR="006C01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17B" w:rsidRDefault="00E2117B" w:rsidP="003B5428">
      <w:pPr>
        <w:spacing w:after="0" w:line="240" w:lineRule="auto"/>
      </w:pPr>
      <w:r>
        <w:separator/>
      </w:r>
    </w:p>
  </w:endnote>
  <w:endnote w:type="continuationSeparator" w:id="0">
    <w:p w:rsidR="00E2117B" w:rsidRDefault="00E2117B" w:rsidP="003B5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Ne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17B" w:rsidRDefault="00E2117B" w:rsidP="003B5428">
      <w:pPr>
        <w:spacing w:after="0" w:line="240" w:lineRule="auto"/>
      </w:pPr>
      <w:r>
        <w:separator/>
      </w:r>
    </w:p>
  </w:footnote>
  <w:footnote w:type="continuationSeparator" w:id="0">
    <w:p w:rsidR="00E2117B" w:rsidRDefault="00E2117B" w:rsidP="003B54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069EE"/>
    <w:multiLevelType w:val="hybridMultilevel"/>
    <w:tmpl w:val="A65CAB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31FE6D7A">
      <w:start w:val="1"/>
      <w:numFmt w:val="bullet"/>
      <w:lvlText w:val="­"/>
      <w:lvlJc w:val="left"/>
      <w:pPr>
        <w:ind w:left="2880" w:hanging="360"/>
      </w:pPr>
      <w:rPr>
        <w:rFonts w:ascii="Courier New" w:hAnsi="Courier New" w:hint="default"/>
        <w:color w:val="auto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A5C"/>
    <w:rsid w:val="00361A5C"/>
    <w:rsid w:val="003B5428"/>
    <w:rsid w:val="006C01B5"/>
    <w:rsid w:val="007E1D11"/>
    <w:rsid w:val="00B03A9F"/>
    <w:rsid w:val="00E2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A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61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NormalSingle-Spaced">
    <w:name w:val="Normal Single-Spaced"/>
    <w:basedOn w:val="Normal"/>
    <w:rsid w:val="00361A5C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1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A5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61A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A5C"/>
  </w:style>
  <w:style w:type="paragraph" w:styleId="Footer">
    <w:name w:val="footer"/>
    <w:basedOn w:val="Normal"/>
    <w:link w:val="FooterChar"/>
    <w:uiPriority w:val="99"/>
    <w:unhideWhenUsed/>
    <w:rsid w:val="00361A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A5C"/>
  </w:style>
  <w:style w:type="character" w:styleId="CommentReference">
    <w:name w:val="annotation reference"/>
    <w:basedOn w:val="DefaultParagraphFont"/>
    <w:uiPriority w:val="99"/>
    <w:semiHidden/>
    <w:unhideWhenUsed/>
    <w:rsid w:val="00361A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1A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1A5C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1A5C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1A5C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har"/>
    <w:rsid w:val="00361A5C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61A5C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361A5C"/>
    <w:pPr>
      <w:spacing w:line="48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361A5C"/>
    <w:rPr>
      <w:rFonts w:ascii="Times New Roman" w:hAnsi="Times New Roman" w:cs="Times New Roman"/>
      <w:noProof/>
      <w:sz w:val="24"/>
    </w:rPr>
  </w:style>
  <w:style w:type="character" w:styleId="Hyperlink">
    <w:name w:val="Hyperlink"/>
    <w:basedOn w:val="DefaultParagraphFont"/>
    <w:uiPriority w:val="99"/>
    <w:unhideWhenUsed/>
    <w:rsid w:val="00361A5C"/>
    <w:rPr>
      <w:color w:val="0000FF" w:themeColor="hyperlink"/>
      <w:u w:val="single"/>
    </w:rPr>
  </w:style>
  <w:style w:type="character" w:styleId="FootnoteReference">
    <w:name w:val="footnote reference"/>
    <w:rsid w:val="00361A5C"/>
    <w:rPr>
      <w:vertAlign w:val="superscript"/>
    </w:rPr>
  </w:style>
  <w:style w:type="paragraph" w:customStyle="1" w:styleId="TableTextColHeadSpace">
    <w:name w:val="TableText Col Head Space"/>
    <w:next w:val="Normal"/>
    <w:rsid w:val="00361A5C"/>
    <w:pPr>
      <w:spacing w:before="60" w:after="60" w:line="240" w:lineRule="auto"/>
      <w:jc w:val="center"/>
    </w:pPr>
    <w:rPr>
      <w:rFonts w:ascii="Times New Roman" w:eastAsiaTheme="minorEastAsia" w:hAnsi="Times New Roman" w:cs="Times New Roman"/>
      <w:b/>
      <w:sz w:val="20"/>
      <w:szCs w:val="20"/>
    </w:rPr>
  </w:style>
  <w:style w:type="paragraph" w:customStyle="1" w:styleId="TableTextSpace">
    <w:name w:val="TableText Space"/>
    <w:rsid w:val="00361A5C"/>
    <w:pPr>
      <w:spacing w:before="60" w:after="6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TableText9">
    <w:name w:val="TableText 9"/>
    <w:basedOn w:val="DefaultParagraphFont"/>
    <w:rsid w:val="00361A5C"/>
    <w:rPr>
      <w:rFonts w:ascii="Times New Roman" w:hAnsi="Times New Roman"/>
      <w:sz w:val="18"/>
    </w:rPr>
  </w:style>
  <w:style w:type="paragraph" w:customStyle="1" w:styleId="TableText">
    <w:name w:val="TableText"/>
    <w:link w:val="TableTextChar"/>
    <w:rsid w:val="00361A5C"/>
    <w:pPr>
      <w:spacing w:after="0" w:line="240" w:lineRule="auto"/>
    </w:pPr>
    <w:rPr>
      <w:rFonts w:ascii="Times New Roman" w:eastAsiaTheme="minorEastAsia" w:hAnsi="Times New Roman" w:cs="Arial"/>
      <w:sz w:val="20"/>
      <w:szCs w:val="20"/>
    </w:rPr>
  </w:style>
  <w:style w:type="character" w:customStyle="1" w:styleId="TableTextChar">
    <w:name w:val="TableText Char"/>
    <w:link w:val="TableText"/>
    <w:rsid w:val="00361A5C"/>
    <w:rPr>
      <w:rFonts w:ascii="Times New Roman" w:eastAsiaTheme="minorEastAsia" w:hAnsi="Times New Roman" w:cs="Arial"/>
      <w:sz w:val="20"/>
      <w:szCs w:val="20"/>
    </w:rPr>
  </w:style>
  <w:style w:type="table" w:styleId="TableGrid">
    <w:name w:val="Table Grid"/>
    <w:basedOn w:val="TableNormal"/>
    <w:uiPriority w:val="59"/>
    <w:rsid w:val="00361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Centered">
    <w:name w:val="TableText Centered"/>
    <w:rsid w:val="00361A5C"/>
    <w:pPr>
      <w:spacing w:after="0" w:line="240" w:lineRule="auto"/>
      <w:jc w:val="center"/>
    </w:pPr>
    <w:rPr>
      <w:rFonts w:ascii="Times New Roman" w:eastAsiaTheme="minorEastAsia" w:hAnsi="Times New Roman" w:cs="Times New Roman"/>
      <w:sz w:val="20"/>
      <w:szCs w:val="20"/>
    </w:rPr>
  </w:style>
  <w:style w:type="paragraph" w:customStyle="1" w:styleId="TableTextColHead">
    <w:name w:val="TableText Col Head"/>
    <w:rsid w:val="00361A5C"/>
    <w:pPr>
      <w:spacing w:after="0" w:line="240" w:lineRule="auto"/>
      <w:jc w:val="center"/>
    </w:pPr>
    <w:rPr>
      <w:rFonts w:ascii="Times New Roman" w:eastAsiaTheme="minorEastAsia" w:hAnsi="Times New Roman" w:cs="Times New Roman"/>
      <w:b/>
      <w:sz w:val="20"/>
      <w:szCs w:val="20"/>
    </w:rPr>
  </w:style>
  <w:style w:type="paragraph" w:customStyle="1" w:styleId="TableTextFootnote">
    <w:name w:val="TableText Footnote"/>
    <w:link w:val="TableTextFootnoteChar"/>
    <w:rsid w:val="00361A5C"/>
    <w:pPr>
      <w:tabs>
        <w:tab w:val="left" w:pos="360"/>
      </w:tabs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TableTextFootnoteChar">
    <w:name w:val="TableText Footnote Char"/>
    <w:basedOn w:val="DefaultParagraphFont"/>
    <w:link w:val="TableTextFootnote"/>
    <w:rsid w:val="00361A5C"/>
    <w:rPr>
      <w:rFonts w:ascii="Times New Roman" w:eastAsiaTheme="minorEastAsia" w:hAnsi="Times New Roman" w:cs="Times New Roman"/>
      <w:sz w:val="20"/>
      <w:szCs w:val="20"/>
    </w:rPr>
  </w:style>
  <w:style w:type="character" w:customStyle="1" w:styleId="ExampleText">
    <w:name w:val="Example Text"/>
    <w:rsid w:val="00361A5C"/>
    <w:rPr>
      <w:color w:val="FF0000"/>
    </w:rPr>
  </w:style>
  <w:style w:type="paragraph" w:styleId="BodyText">
    <w:name w:val="Body Text"/>
    <w:basedOn w:val="Normal"/>
    <w:link w:val="BodyTextChar"/>
    <w:uiPriority w:val="99"/>
    <w:unhideWhenUsed/>
    <w:rsid w:val="00361A5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61A5C"/>
  </w:style>
  <w:style w:type="paragraph" w:customStyle="1" w:styleId="TableTextCenterSpace">
    <w:name w:val="TableText Center Space"/>
    <w:rsid w:val="00361A5C"/>
    <w:pPr>
      <w:spacing w:before="60" w:after="60" w:line="240" w:lineRule="auto"/>
      <w:jc w:val="center"/>
    </w:pPr>
    <w:rPr>
      <w:rFonts w:ascii="Times New Roman" w:eastAsiaTheme="minorEastAsia" w:hAnsi="Times New Roman" w:cs="Times New Roman"/>
      <w:sz w:val="20"/>
      <w:szCs w:val="20"/>
    </w:rPr>
  </w:style>
  <w:style w:type="paragraph" w:customStyle="1" w:styleId="Paragraph">
    <w:name w:val="Paragraph"/>
    <w:link w:val="ParagraphChar"/>
    <w:rsid w:val="00361A5C"/>
    <w:pPr>
      <w:spacing w:after="24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ParagraphChar">
    <w:name w:val="Paragraph Char"/>
    <w:link w:val="Paragraph"/>
    <w:locked/>
    <w:rsid w:val="00361A5C"/>
    <w:rPr>
      <w:rFonts w:ascii="Times New Roman" w:eastAsiaTheme="minorEastAsia" w:hAnsi="Times New Roman" w:cs="Times New Roman"/>
      <w:sz w:val="24"/>
      <w:szCs w:val="24"/>
    </w:rPr>
  </w:style>
  <w:style w:type="paragraph" w:customStyle="1" w:styleId="FigureFootnote">
    <w:name w:val="Figure Footnote"/>
    <w:next w:val="Paragraph"/>
    <w:link w:val="FigureFootnoteChar"/>
    <w:rsid w:val="00361A5C"/>
    <w:pPr>
      <w:spacing w:after="24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FigureFootnoteChar">
    <w:name w:val="Figure Footnote Char"/>
    <w:basedOn w:val="DefaultParagraphFont"/>
    <w:link w:val="FigureFootnote"/>
    <w:locked/>
    <w:rsid w:val="00361A5C"/>
    <w:rPr>
      <w:rFonts w:ascii="Times New Roman" w:eastAsiaTheme="minorEastAsia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361A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A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61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NormalSingle-Spaced">
    <w:name w:val="Normal Single-Spaced"/>
    <w:basedOn w:val="Normal"/>
    <w:rsid w:val="00361A5C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1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A5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61A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A5C"/>
  </w:style>
  <w:style w:type="paragraph" w:styleId="Footer">
    <w:name w:val="footer"/>
    <w:basedOn w:val="Normal"/>
    <w:link w:val="FooterChar"/>
    <w:uiPriority w:val="99"/>
    <w:unhideWhenUsed/>
    <w:rsid w:val="00361A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A5C"/>
  </w:style>
  <w:style w:type="character" w:styleId="CommentReference">
    <w:name w:val="annotation reference"/>
    <w:basedOn w:val="DefaultParagraphFont"/>
    <w:uiPriority w:val="99"/>
    <w:semiHidden/>
    <w:unhideWhenUsed/>
    <w:rsid w:val="00361A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1A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1A5C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1A5C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1A5C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har"/>
    <w:rsid w:val="00361A5C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61A5C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361A5C"/>
    <w:pPr>
      <w:spacing w:line="48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361A5C"/>
    <w:rPr>
      <w:rFonts w:ascii="Times New Roman" w:hAnsi="Times New Roman" w:cs="Times New Roman"/>
      <w:noProof/>
      <w:sz w:val="24"/>
    </w:rPr>
  </w:style>
  <w:style w:type="character" w:styleId="Hyperlink">
    <w:name w:val="Hyperlink"/>
    <w:basedOn w:val="DefaultParagraphFont"/>
    <w:uiPriority w:val="99"/>
    <w:unhideWhenUsed/>
    <w:rsid w:val="00361A5C"/>
    <w:rPr>
      <w:color w:val="0000FF" w:themeColor="hyperlink"/>
      <w:u w:val="single"/>
    </w:rPr>
  </w:style>
  <w:style w:type="character" w:styleId="FootnoteReference">
    <w:name w:val="footnote reference"/>
    <w:rsid w:val="00361A5C"/>
    <w:rPr>
      <w:vertAlign w:val="superscript"/>
    </w:rPr>
  </w:style>
  <w:style w:type="paragraph" w:customStyle="1" w:styleId="TableTextColHeadSpace">
    <w:name w:val="TableText Col Head Space"/>
    <w:next w:val="Normal"/>
    <w:rsid w:val="00361A5C"/>
    <w:pPr>
      <w:spacing w:before="60" w:after="60" w:line="240" w:lineRule="auto"/>
      <w:jc w:val="center"/>
    </w:pPr>
    <w:rPr>
      <w:rFonts w:ascii="Times New Roman" w:eastAsiaTheme="minorEastAsia" w:hAnsi="Times New Roman" w:cs="Times New Roman"/>
      <w:b/>
      <w:sz w:val="20"/>
      <w:szCs w:val="20"/>
    </w:rPr>
  </w:style>
  <w:style w:type="paragraph" w:customStyle="1" w:styleId="TableTextSpace">
    <w:name w:val="TableText Space"/>
    <w:rsid w:val="00361A5C"/>
    <w:pPr>
      <w:spacing w:before="60" w:after="6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TableText9">
    <w:name w:val="TableText 9"/>
    <w:basedOn w:val="DefaultParagraphFont"/>
    <w:rsid w:val="00361A5C"/>
    <w:rPr>
      <w:rFonts w:ascii="Times New Roman" w:hAnsi="Times New Roman"/>
      <w:sz w:val="18"/>
    </w:rPr>
  </w:style>
  <w:style w:type="paragraph" w:customStyle="1" w:styleId="TableText">
    <w:name w:val="TableText"/>
    <w:link w:val="TableTextChar"/>
    <w:rsid w:val="00361A5C"/>
    <w:pPr>
      <w:spacing w:after="0" w:line="240" w:lineRule="auto"/>
    </w:pPr>
    <w:rPr>
      <w:rFonts w:ascii="Times New Roman" w:eastAsiaTheme="minorEastAsia" w:hAnsi="Times New Roman" w:cs="Arial"/>
      <w:sz w:val="20"/>
      <w:szCs w:val="20"/>
    </w:rPr>
  </w:style>
  <w:style w:type="character" w:customStyle="1" w:styleId="TableTextChar">
    <w:name w:val="TableText Char"/>
    <w:link w:val="TableText"/>
    <w:rsid w:val="00361A5C"/>
    <w:rPr>
      <w:rFonts w:ascii="Times New Roman" w:eastAsiaTheme="minorEastAsia" w:hAnsi="Times New Roman" w:cs="Arial"/>
      <w:sz w:val="20"/>
      <w:szCs w:val="20"/>
    </w:rPr>
  </w:style>
  <w:style w:type="table" w:styleId="TableGrid">
    <w:name w:val="Table Grid"/>
    <w:basedOn w:val="TableNormal"/>
    <w:uiPriority w:val="59"/>
    <w:rsid w:val="00361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Centered">
    <w:name w:val="TableText Centered"/>
    <w:rsid w:val="00361A5C"/>
    <w:pPr>
      <w:spacing w:after="0" w:line="240" w:lineRule="auto"/>
      <w:jc w:val="center"/>
    </w:pPr>
    <w:rPr>
      <w:rFonts w:ascii="Times New Roman" w:eastAsiaTheme="minorEastAsia" w:hAnsi="Times New Roman" w:cs="Times New Roman"/>
      <w:sz w:val="20"/>
      <w:szCs w:val="20"/>
    </w:rPr>
  </w:style>
  <w:style w:type="paragraph" w:customStyle="1" w:styleId="TableTextColHead">
    <w:name w:val="TableText Col Head"/>
    <w:rsid w:val="00361A5C"/>
    <w:pPr>
      <w:spacing w:after="0" w:line="240" w:lineRule="auto"/>
      <w:jc w:val="center"/>
    </w:pPr>
    <w:rPr>
      <w:rFonts w:ascii="Times New Roman" w:eastAsiaTheme="minorEastAsia" w:hAnsi="Times New Roman" w:cs="Times New Roman"/>
      <w:b/>
      <w:sz w:val="20"/>
      <w:szCs w:val="20"/>
    </w:rPr>
  </w:style>
  <w:style w:type="paragraph" w:customStyle="1" w:styleId="TableTextFootnote">
    <w:name w:val="TableText Footnote"/>
    <w:link w:val="TableTextFootnoteChar"/>
    <w:rsid w:val="00361A5C"/>
    <w:pPr>
      <w:tabs>
        <w:tab w:val="left" w:pos="360"/>
      </w:tabs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TableTextFootnoteChar">
    <w:name w:val="TableText Footnote Char"/>
    <w:basedOn w:val="DefaultParagraphFont"/>
    <w:link w:val="TableTextFootnote"/>
    <w:rsid w:val="00361A5C"/>
    <w:rPr>
      <w:rFonts w:ascii="Times New Roman" w:eastAsiaTheme="minorEastAsia" w:hAnsi="Times New Roman" w:cs="Times New Roman"/>
      <w:sz w:val="20"/>
      <w:szCs w:val="20"/>
    </w:rPr>
  </w:style>
  <w:style w:type="character" w:customStyle="1" w:styleId="ExampleText">
    <w:name w:val="Example Text"/>
    <w:rsid w:val="00361A5C"/>
    <w:rPr>
      <w:color w:val="FF0000"/>
    </w:rPr>
  </w:style>
  <w:style w:type="paragraph" w:styleId="BodyText">
    <w:name w:val="Body Text"/>
    <w:basedOn w:val="Normal"/>
    <w:link w:val="BodyTextChar"/>
    <w:uiPriority w:val="99"/>
    <w:unhideWhenUsed/>
    <w:rsid w:val="00361A5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61A5C"/>
  </w:style>
  <w:style w:type="paragraph" w:customStyle="1" w:styleId="TableTextCenterSpace">
    <w:name w:val="TableText Center Space"/>
    <w:rsid w:val="00361A5C"/>
    <w:pPr>
      <w:spacing w:before="60" w:after="60" w:line="240" w:lineRule="auto"/>
      <w:jc w:val="center"/>
    </w:pPr>
    <w:rPr>
      <w:rFonts w:ascii="Times New Roman" w:eastAsiaTheme="minorEastAsia" w:hAnsi="Times New Roman" w:cs="Times New Roman"/>
      <w:sz w:val="20"/>
      <w:szCs w:val="20"/>
    </w:rPr>
  </w:style>
  <w:style w:type="paragraph" w:customStyle="1" w:styleId="Paragraph">
    <w:name w:val="Paragraph"/>
    <w:link w:val="ParagraphChar"/>
    <w:rsid w:val="00361A5C"/>
    <w:pPr>
      <w:spacing w:after="24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ParagraphChar">
    <w:name w:val="Paragraph Char"/>
    <w:link w:val="Paragraph"/>
    <w:locked/>
    <w:rsid w:val="00361A5C"/>
    <w:rPr>
      <w:rFonts w:ascii="Times New Roman" w:eastAsiaTheme="minorEastAsia" w:hAnsi="Times New Roman" w:cs="Times New Roman"/>
      <w:sz w:val="24"/>
      <w:szCs w:val="24"/>
    </w:rPr>
  </w:style>
  <w:style w:type="paragraph" w:customStyle="1" w:styleId="FigureFootnote">
    <w:name w:val="Figure Footnote"/>
    <w:next w:val="Paragraph"/>
    <w:link w:val="FigureFootnoteChar"/>
    <w:rsid w:val="00361A5C"/>
    <w:pPr>
      <w:spacing w:after="24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FigureFootnoteChar">
    <w:name w:val="Figure Footnote Char"/>
    <w:basedOn w:val="DefaultParagraphFont"/>
    <w:link w:val="FigureFootnote"/>
    <w:locked/>
    <w:rsid w:val="00361A5C"/>
    <w:rPr>
      <w:rFonts w:ascii="Times New Roman" w:eastAsiaTheme="minorEastAsia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361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image" Target="media/image5.jpe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customXml" Target="../customXml/item9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23" Type="http://schemas.openxmlformats.org/officeDocument/2006/relationships/customXml" Target="../customXml/item8.xml"/><Relationship Id="rId10" Type="http://schemas.openxmlformats.org/officeDocument/2006/relationships/settings" Target="settings.xml"/><Relationship Id="rId19" Type="http://schemas.openxmlformats.org/officeDocument/2006/relationships/image" Target="media/image6.jpg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image" Target="media/image1.png"/><Relationship Id="rId22" Type="http://schemas.openxmlformats.org/officeDocument/2006/relationships/customXml" Target="../customXml/item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XMLData TextToDisplay="%HOSTNAME%">HBUS-447HXZ1.iconcr.com</XMLData>
</file>

<file path=customXml/item2.xml><?xml version="1.0" encoding="utf-8"?>
<XMLData TextToDisplay="%USERNAME%">WuA</XMLData>
</file>

<file path=customXml/item3.xml><?xml version="1.0" encoding="utf-8"?>
<XMLData TextToDisplay="%EMAILADDRESS%">Anny.Wu@iconplc.com</XMLData>
</file>

<file path=customXml/item4.xml><?xml version="1.0" encoding="utf-8"?>
<XMLData TextToDisplay="%DOCUMENTGUID%">{00000000-0000-0000-0000-000000000000}</XMLData>
</file>

<file path=customXml/item5.xml><?xml version="1.0" encoding="utf-8"?>
<XMLData TextToDisplay="%CLASSIFICATIONDATETIME%">18:20 26/10/2018</XMLData>
</file>

<file path=customXml/item6.xml><?xml version="1.0" encoding="utf-8"?>
<XMLData TextToDisplay="RightsWATCHMark">14|ICN-ICN-SPON|{00000000-0000-0000-0000-000000000000}</XMLData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F458601EC8DD409DB5C4E873FD47B0" ma:contentTypeVersion="0" ma:contentTypeDescription="Create a new document." ma:contentTypeScope="" ma:versionID="62c95fa55102ad567bef85c94bf929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9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DDB033-D943-4D13-932E-AB8AAB042DE5}"/>
</file>

<file path=customXml/itemProps2.xml><?xml version="1.0" encoding="utf-8"?>
<ds:datastoreItem xmlns:ds="http://schemas.openxmlformats.org/officeDocument/2006/customXml" ds:itemID="{372B7472-F037-4A7B-A66E-49C658E41239}"/>
</file>

<file path=customXml/itemProps3.xml><?xml version="1.0" encoding="utf-8"?>
<ds:datastoreItem xmlns:ds="http://schemas.openxmlformats.org/officeDocument/2006/customXml" ds:itemID="{D61FC992-7246-4CC3-9575-C4BB4A4BDC2E}"/>
</file>

<file path=customXml/itemProps4.xml><?xml version="1.0" encoding="utf-8"?>
<ds:datastoreItem xmlns:ds="http://schemas.openxmlformats.org/officeDocument/2006/customXml" ds:itemID="{6F462C93-3F4C-4D73-AE87-AF5E2BCCBD3D}"/>
</file>

<file path=customXml/itemProps5.xml><?xml version="1.0" encoding="utf-8"?>
<ds:datastoreItem xmlns:ds="http://schemas.openxmlformats.org/officeDocument/2006/customXml" ds:itemID="{350E065C-6B5B-409C-9D08-156A2D9E8DB5}"/>
</file>

<file path=customXml/itemProps6.xml><?xml version="1.0" encoding="utf-8"?>
<ds:datastoreItem xmlns:ds="http://schemas.openxmlformats.org/officeDocument/2006/customXml" ds:itemID="{C3C6D03A-31BC-45B6-A243-6480D5F9A084}"/>
</file>

<file path=customXml/itemProps7.xml><?xml version="1.0" encoding="utf-8"?>
<ds:datastoreItem xmlns:ds="http://schemas.openxmlformats.org/officeDocument/2006/customXml" ds:itemID="{868FC20D-7E6B-4821-9C50-AF71A5916553}"/>
</file>

<file path=customXml/itemProps8.xml><?xml version="1.0" encoding="utf-8"?>
<ds:datastoreItem xmlns:ds="http://schemas.openxmlformats.org/officeDocument/2006/customXml" ds:itemID="{1D8DEFA5-CD01-42B2-8D19-EEB4EDB27607}"/>
</file>

<file path=customXml/itemProps9.xml><?xml version="1.0" encoding="utf-8"?>
<ds:datastoreItem xmlns:ds="http://schemas.openxmlformats.org/officeDocument/2006/customXml" ds:itemID="{BAB1D798-A3F2-4BBA-AB0D-604E8B2CFA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3030</Words>
  <Characters>17273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ICON Plc</Company>
  <LinksUpToDate>false</LinksUpToDate>
  <CharactersWithSpaces>20263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Wu, Anny</dc:creator>
  <cp:lastModifiedBy>Wu, Anny</cp:lastModifiedBy>
  <cp:revision>3</cp:revision>
  <dcterms:created xsi:type="dcterms:W3CDTF">2018-08-20T20:26:00Z</dcterms:created>
  <dcterms:modified xsi:type="dcterms:W3CDTF">2018-10-26T18:20:00Z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ghtsWATCHMark">
    <vt:lpwstr>14|ICN-ICN-SPON|{00000000-0000-0000-0000-000000000000}</vt:lpwstr>
  </property>
  <property fmtid="{D5CDD505-2E9C-101B-9397-08002B2CF9AE}" pid="3" name="ContentTypeId">
    <vt:lpwstr>0x010100F2F458601EC8DD409DB5C4E873FD47B0</vt:lpwstr>
  </property>
</Properties>
</file>