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17275" w14:textId="77777777" w:rsidR="000938A4" w:rsidRPr="008453D0" w:rsidRDefault="000938A4" w:rsidP="000938A4">
      <w:pPr>
        <w:pStyle w:val="Figuretablelegend"/>
        <w:rPr>
          <w:lang w:val="en-US"/>
        </w:rPr>
      </w:pPr>
      <w:r w:rsidRPr="008453D0">
        <w:rPr>
          <w:lang w:val="en-US"/>
        </w:rPr>
        <w:t xml:space="preserve">Supplementary Fig. 1. Post hoc individual estimates of </w:t>
      </w:r>
      <w:proofErr w:type="spellStart"/>
      <w:r w:rsidRPr="008453D0">
        <w:rPr>
          <w:lang w:val="en-US"/>
        </w:rPr>
        <w:t>cemiplimab</w:t>
      </w:r>
      <w:proofErr w:type="spellEnd"/>
      <w:r w:rsidRPr="008453D0">
        <w:rPr>
          <w:lang w:val="en-US"/>
        </w:rPr>
        <w:t xml:space="preserve"> clearance over time by treatment response in patients with CSCC</w:t>
      </w:r>
    </w:p>
    <w:p w14:paraId="1E70E6DF" w14:textId="77777777" w:rsidR="000938A4" w:rsidRPr="008453D0" w:rsidRDefault="000938A4" w:rsidP="000938A4">
      <w:pPr>
        <w:rPr>
          <w:lang w:val="en-US"/>
        </w:rPr>
      </w:pPr>
      <w:r w:rsidRPr="008453D0">
        <w:rPr>
          <w:noProof/>
          <w:lang w:val="en-US"/>
        </w:rPr>
        <w:drawing>
          <wp:inline distT="0" distB="0" distL="0" distR="0" wp14:anchorId="185B4AFE" wp14:editId="0158AB5F">
            <wp:extent cx="5871210" cy="3237230"/>
            <wp:effectExtent l="0" t="0" r="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210" cy="323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55AFEF" w14:textId="77777777" w:rsidR="000938A4" w:rsidRPr="008453D0" w:rsidRDefault="000938A4" w:rsidP="000938A4">
      <w:pPr>
        <w:pStyle w:val="Footer"/>
        <w:rPr>
          <w:lang w:val="en-US"/>
        </w:rPr>
      </w:pPr>
      <w:r w:rsidRPr="008453D0">
        <w:rPr>
          <w:lang w:val="en-US"/>
        </w:rPr>
        <w:t xml:space="preserve">Plot shows normalized </w:t>
      </w:r>
      <w:proofErr w:type="spellStart"/>
      <w:r w:rsidRPr="008453D0">
        <w:rPr>
          <w:lang w:val="en-US"/>
        </w:rPr>
        <w:t>cemiplimab</w:t>
      </w:r>
      <w:proofErr w:type="spellEnd"/>
      <w:r w:rsidRPr="008453D0">
        <w:rPr>
          <w:lang w:val="en-US"/>
        </w:rPr>
        <w:t xml:space="preserve"> clearance over time from a total of 107 patients with CSCC (51 responders; 56 non-responders) in the </w:t>
      </w:r>
      <w:r>
        <w:rPr>
          <w:lang w:val="en-US"/>
        </w:rPr>
        <w:t>clinical efficacy</w:t>
      </w:r>
      <w:r w:rsidRPr="008453D0">
        <w:rPr>
          <w:lang w:val="en-US"/>
        </w:rPr>
        <w:t xml:space="preserve"> analysis population. One responder received 1 mg/kg Q2W </w:t>
      </w:r>
      <w:proofErr w:type="spellStart"/>
      <w:r w:rsidRPr="008453D0">
        <w:rPr>
          <w:lang w:val="en-US"/>
        </w:rPr>
        <w:t>cemiplimab</w:t>
      </w:r>
      <w:proofErr w:type="spellEnd"/>
      <w:r w:rsidRPr="008453D0">
        <w:rPr>
          <w:lang w:val="en-US"/>
        </w:rPr>
        <w:t xml:space="preserve">; all other responders received 3 mg/kg Q2W </w:t>
      </w:r>
      <w:proofErr w:type="spellStart"/>
      <w:r w:rsidRPr="008453D0">
        <w:rPr>
          <w:lang w:val="en-US"/>
        </w:rPr>
        <w:t>cemiplimab</w:t>
      </w:r>
      <w:proofErr w:type="spellEnd"/>
      <w:r w:rsidRPr="008453D0">
        <w:rPr>
          <w:lang w:val="en-US"/>
        </w:rPr>
        <w:t xml:space="preserve">. </w:t>
      </w:r>
    </w:p>
    <w:p w14:paraId="2E4B4322" w14:textId="77777777" w:rsidR="000938A4" w:rsidRPr="008453D0" w:rsidRDefault="000938A4" w:rsidP="000938A4">
      <w:pPr>
        <w:pStyle w:val="Footer"/>
        <w:rPr>
          <w:rFonts w:cs="Arial"/>
          <w:szCs w:val="24"/>
          <w:lang w:val="en-US"/>
        </w:rPr>
      </w:pPr>
      <w:r w:rsidRPr="008453D0">
        <w:rPr>
          <w:lang w:val="en-US"/>
        </w:rPr>
        <w:t xml:space="preserve">CSCC, cutaneous squamous cell carcinoma; </w:t>
      </w:r>
      <w:r w:rsidRPr="008453D0">
        <w:rPr>
          <w:rStyle w:val="FooterChar"/>
          <w:lang w:val="en-US"/>
        </w:rPr>
        <w:t>Q2W, every 2 weeks.</w:t>
      </w:r>
    </w:p>
    <w:p w14:paraId="2D0D2200" w14:textId="77777777" w:rsidR="0083351D" w:rsidRDefault="0083351D"/>
    <w:sectPr w:rsidR="0083351D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C69F80" w14:textId="77777777" w:rsidR="00154D34" w:rsidRDefault="00154D34" w:rsidP="00154D34">
      <w:pPr>
        <w:spacing w:after="0" w:line="240" w:lineRule="auto"/>
      </w:pPr>
      <w:r>
        <w:separator/>
      </w:r>
    </w:p>
  </w:endnote>
  <w:endnote w:type="continuationSeparator" w:id="0">
    <w:p w14:paraId="6D53B58D" w14:textId="77777777" w:rsidR="00154D34" w:rsidRDefault="00154D34" w:rsidP="00154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4FB62" w14:textId="0424137E" w:rsidR="00154D34" w:rsidRDefault="00154D34" w:rsidP="00154D34">
    <w:pPr>
      <w:pStyle w:val="Footer"/>
      <w:pBdr>
        <w:top w:val="single" w:sz="4" w:space="1" w:color="auto"/>
      </w:pBdr>
      <w:spacing w:line="240" w:lineRule="auto"/>
      <w:jc w:val="right"/>
    </w:pPr>
    <w:r>
      <w:tab/>
    </w:r>
    <w:r>
      <w:rPr>
        <w:snapToGrid w:val="0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47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9B35E2" w14:textId="77777777" w:rsidR="00154D34" w:rsidRDefault="00154D34" w:rsidP="00154D34">
      <w:pPr>
        <w:spacing w:after="0" w:line="240" w:lineRule="auto"/>
      </w:pPr>
      <w:r>
        <w:separator/>
      </w:r>
    </w:p>
  </w:footnote>
  <w:footnote w:type="continuationSeparator" w:id="0">
    <w:p w14:paraId="7FFC5F67" w14:textId="77777777" w:rsidR="00154D34" w:rsidRDefault="00154D34" w:rsidP="00154D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0EF"/>
    <w:rsid w:val="000938A4"/>
    <w:rsid w:val="00154D34"/>
    <w:rsid w:val="001740EF"/>
    <w:rsid w:val="0083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68337"/>
  <w15:chartTrackingRefBased/>
  <w15:docId w15:val="{20EEC96D-9A81-4391-9D4F-D771F7C65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0EF"/>
    <w:pPr>
      <w:spacing w:after="240" w:line="48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740EF"/>
    <w:pPr>
      <w:tabs>
        <w:tab w:val="center" w:pos="4507"/>
        <w:tab w:val="right" w:pos="9029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1740EF"/>
    <w:rPr>
      <w:rFonts w:ascii="Arial" w:eastAsia="Times New Roman" w:hAnsi="Arial" w:cs="Times New Roman"/>
      <w:sz w:val="18"/>
      <w:szCs w:val="20"/>
    </w:rPr>
  </w:style>
  <w:style w:type="paragraph" w:customStyle="1" w:styleId="Figuretablelegend">
    <w:name w:val="Figure/table legend"/>
    <w:basedOn w:val="Normal"/>
    <w:next w:val="Normal"/>
    <w:rsid w:val="001740EF"/>
    <w:pPr>
      <w:pageBreakBefore/>
      <w:outlineLvl w:val="0"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154D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D34"/>
    <w:rPr>
      <w:rFonts w:ascii="Arial" w:eastAsia="Times New Roman" w:hAnsi="Arial" w:cs="Times New Roman"/>
      <w:sz w:val="24"/>
      <w:szCs w:val="20"/>
    </w:rPr>
  </w:style>
  <w:style w:type="character" w:styleId="PageNumber">
    <w:name w:val="page number"/>
    <w:rsid w:val="00154D34"/>
    <w:rPr>
      <w:rFonts w:ascii="Arial" w:hAnsi="Arial"/>
      <w:color w:val="auto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Senior Editor</dc:creator>
  <cp:keywords/>
  <dc:description/>
  <cp:lastModifiedBy>Senior Editor</cp:lastModifiedBy>
  <cp:revision>3</cp:revision>
  <dcterms:created xsi:type="dcterms:W3CDTF">2020-10-21T11:01:00Z</dcterms:created>
  <dcterms:modified xsi:type="dcterms:W3CDTF">2020-10-29T10:55:00Z</dcterms:modified>
</cp:coreProperties>
</file>