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196DC" w14:textId="77777777" w:rsidR="00886A13" w:rsidRPr="00C644C2" w:rsidRDefault="00886A13" w:rsidP="00886A13">
      <w:pPr>
        <w:spacing w:after="0" w:line="240" w:lineRule="auto"/>
        <w:rPr>
          <w:rFonts w:cstheme="minorHAnsi"/>
          <w:b/>
          <w:sz w:val="20"/>
          <w:szCs w:val="20"/>
        </w:rPr>
      </w:pPr>
      <w:r w:rsidRPr="00C644C2">
        <w:rPr>
          <w:rFonts w:cstheme="minorHAnsi"/>
          <w:b/>
          <w:sz w:val="20"/>
          <w:szCs w:val="20"/>
        </w:rPr>
        <w:t>Title: Lumbar cerebrospinal fluid-to-Brain extracellular fluid surrogacy is context-specific: insights from LeiCNS-PK3.0 simulations</w:t>
      </w:r>
    </w:p>
    <w:p w14:paraId="3B3557DB" w14:textId="77777777" w:rsidR="00886A13" w:rsidRPr="00C644C2" w:rsidRDefault="00886A13" w:rsidP="00886A13">
      <w:pPr>
        <w:spacing w:after="0" w:line="240" w:lineRule="auto"/>
        <w:rPr>
          <w:rFonts w:cstheme="minorHAnsi"/>
          <w:b/>
          <w:sz w:val="20"/>
          <w:szCs w:val="20"/>
        </w:rPr>
      </w:pPr>
      <w:r w:rsidRPr="00C644C2">
        <w:rPr>
          <w:rFonts w:cstheme="minorHAnsi"/>
          <w:b/>
          <w:sz w:val="20"/>
          <w:szCs w:val="20"/>
        </w:rPr>
        <w:t xml:space="preserve">Running title: </w:t>
      </w:r>
      <w:r w:rsidRPr="00C644C2">
        <w:rPr>
          <w:rFonts w:cstheme="minorHAnsi"/>
          <w:sz w:val="20"/>
          <w:szCs w:val="20"/>
        </w:rPr>
        <w:t>LeiCNS-PK3.0: a physiologically-based PK model to predict brain pharmacokinetics</w:t>
      </w:r>
    </w:p>
    <w:p w14:paraId="08782F8C" w14:textId="77777777" w:rsidR="00886A13" w:rsidRPr="00C644C2" w:rsidRDefault="00886A13" w:rsidP="00886A13">
      <w:pPr>
        <w:spacing w:after="0" w:line="240" w:lineRule="auto"/>
        <w:rPr>
          <w:rFonts w:cstheme="minorHAnsi"/>
          <w:sz w:val="20"/>
          <w:szCs w:val="20"/>
        </w:rPr>
      </w:pPr>
      <w:r w:rsidRPr="00C644C2">
        <w:rPr>
          <w:rFonts w:cstheme="minorHAnsi"/>
          <w:b/>
          <w:sz w:val="20"/>
          <w:szCs w:val="20"/>
        </w:rPr>
        <w:t xml:space="preserve">Journal: </w:t>
      </w:r>
      <w:r w:rsidRPr="00C644C2">
        <w:rPr>
          <w:rFonts w:cstheme="minorHAnsi"/>
          <w:sz w:val="20"/>
          <w:szCs w:val="20"/>
        </w:rPr>
        <w:t>Journal of Pharmacokinetics and Pharmacodynamics</w:t>
      </w:r>
    </w:p>
    <w:p w14:paraId="05C4D02D" w14:textId="77777777" w:rsidR="00886A13" w:rsidRPr="00C644C2" w:rsidRDefault="00886A13" w:rsidP="00886A13">
      <w:pPr>
        <w:spacing w:after="0" w:line="240" w:lineRule="auto"/>
        <w:rPr>
          <w:rFonts w:cstheme="minorHAnsi"/>
          <w:b/>
          <w:sz w:val="20"/>
          <w:szCs w:val="20"/>
        </w:rPr>
      </w:pPr>
    </w:p>
    <w:p w14:paraId="6A72F84E" w14:textId="77777777" w:rsidR="00886A13" w:rsidRPr="00C644C2" w:rsidRDefault="00886A13" w:rsidP="00886A13">
      <w:pPr>
        <w:spacing w:after="0" w:line="240" w:lineRule="auto"/>
        <w:rPr>
          <w:rFonts w:cstheme="minorHAnsi"/>
          <w:sz w:val="20"/>
          <w:szCs w:val="20"/>
          <w:vertAlign w:val="superscript"/>
        </w:rPr>
      </w:pPr>
      <w:r w:rsidRPr="00C644C2">
        <w:rPr>
          <w:rFonts w:cstheme="minorHAnsi"/>
          <w:sz w:val="20"/>
          <w:szCs w:val="20"/>
        </w:rPr>
        <w:t>Mohammed A. A. Saleh</w:t>
      </w:r>
      <w:r w:rsidRPr="00C644C2">
        <w:rPr>
          <w:rFonts w:cstheme="minorHAnsi"/>
          <w:sz w:val="20"/>
          <w:szCs w:val="20"/>
          <w:vertAlign w:val="superscript"/>
        </w:rPr>
        <w:t>1</w:t>
      </w:r>
      <w:r w:rsidRPr="00C644C2">
        <w:rPr>
          <w:rFonts w:cstheme="minorHAnsi"/>
          <w:sz w:val="20"/>
          <w:szCs w:val="20"/>
        </w:rPr>
        <w:t>, Chi Fong Loo</w:t>
      </w:r>
      <w:r w:rsidRPr="00C644C2">
        <w:rPr>
          <w:rFonts w:cstheme="minorHAnsi"/>
          <w:sz w:val="20"/>
          <w:szCs w:val="20"/>
          <w:vertAlign w:val="superscript"/>
        </w:rPr>
        <w:t>2</w:t>
      </w:r>
      <w:r w:rsidRPr="00C644C2">
        <w:rPr>
          <w:rFonts w:cstheme="minorHAnsi"/>
          <w:sz w:val="20"/>
          <w:szCs w:val="20"/>
        </w:rPr>
        <w:t>, Jeroen Elassaiss-Schaap</w:t>
      </w:r>
      <w:r w:rsidRPr="00C644C2">
        <w:rPr>
          <w:rFonts w:cstheme="minorHAnsi"/>
          <w:sz w:val="20"/>
          <w:szCs w:val="20"/>
          <w:vertAlign w:val="superscript"/>
        </w:rPr>
        <w:t>2,3</w:t>
      </w:r>
      <w:r w:rsidRPr="00C644C2">
        <w:rPr>
          <w:rFonts w:cstheme="minorHAnsi"/>
          <w:sz w:val="20"/>
          <w:szCs w:val="20"/>
        </w:rPr>
        <w:t>, Elizabeth C. M. de Lange</w:t>
      </w:r>
      <w:r w:rsidRPr="00C644C2">
        <w:rPr>
          <w:rFonts w:cstheme="minorHAnsi"/>
          <w:sz w:val="20"/>
          <w:szCs w:val="20"/>
          <w:vertAlign w:val="superscript"/>
        </w:rPr>
        <w:t>4</w:t>
      </w:r>
    </w:p>
    <w:p w14:paraId="57ACBDBF" w14:textId="77777777" w:rsidR="00886A13" w:rsidRPr="00C644C2" w:rsidRDefault="00886A13" w:rsidP="00886A13">
      <w:pPr>
        <w:spacing w:after="0" w:line="240" w:lineRule="auto"/>
        <w:rPr>
          <w:rFonts w:cstheme="minorHAnsi"/>
          <w:sz w:val="20"/>
          <w:szCs w:val="20"/>
        </w:rPr>
      </w:pPr>
      <w:r w:rsidRPr="00C644C2">
        <w:rPr>
          <w:rFonts w:cstheme="minorHAnsi"/>
          <w:sz w:val="20"/>
          <w:szCs w:val="20"/>
        </w:rPr>
        <w:t>1. Division of Systems Biomedicine and Pharmacology, Leiden Academic Center for Drug Research, Leiden University, Leiden, The Netherlands. ORCID ID: 0000-0002-0517-6051</w:t>
      </w:r>
    </w:p>
    <w:p w14:paraId="18F83A6E" w14:textId="77777777" w:rsidR="00886A13" w:rsidRPr="00C644C2" w:rsidRDefault="00886A13" w:rsidP="00886A13">
      <w:pPr>
        <w:spacing w:after="0" w:line="240" w:lineRule="auto"/>
        <w:rPr>
          <w:rFonts w:cstheme="minorHAnsi"/>
          <w:sz w:val="20"/>
          <w:szCs w:val="20"/>
        </w:rPr>
      </w:pPr>
      <w:r w:rsidRPr="00C644C2">
        <w:rPr>
          <w:rFonts w:cstheme="minorHAnsi"/>
          <w:sz w:val="20"/>
          <w:szCs w:val="20"/>
        </w:rPr>
        <w:t>2. Division of Systems Biomedicine and Pharmacology, Leiden Academic Center for Drug Research, Leiden University, Leiden, The Netherlands.</w:t>
      </w:r>
    </w:p>
    <w:p w14:paraId="05E652F9" w14:textId="77777777" w:rsidR="00886A13" w:rsidRPr="00C644C2" w:rsidRDefault="00886A13" w:rsidP="00886A13">
      <w:pPr>
        <w:spacing w:after="0" w:line="240" w:lineRule="auto"/>
        <w:rPr>
          <w:rFonts w:cstheme="minorHAnsi"/>
          <w:sz w:val="20"/>
          <w:szCs w:val="20"/>
        </w:rPr>
      </w:pPr>
      <w:r w:rsidRPr="00C644C2">
        <w:rPr>
          <w:rFonts w:cstheme="minorHAnsi"/>
          <w:sz w:val="20"/>
          <w:szCs w:val="20"/>
        </w:rPr>
        <w:t xml:space="preserve">3. PD-value B.V., </w:t>
      </w:r>
      <w:proofErr w:type="spellStart"/>
      <w:r w:rsidRPr="00C644C2">
        <w:rPr>
          <w:rFonts w:cstheme="minorHAnsi"/>
          <w:sz w:val="20"/>
          <w:szCs w:val="20"/>
        </w:rPr>
        <w:t>Houten</w:t>
      </w:r>
      <w:proofErr w:type="spellEnd"/>
      <w:r w:rsidRPr="00C644C2">
        <w:rPr>
          <w:rFonts w:cstheme="minorHAnsi"/>
          <w:sz w:val="20"/>
          <w:szCs w:val="20"/>
        </w:rPr>
        <w:t>, The Netherlands. ORCID ID: 0000-0002-3333-861X</w:t>
      </w:r>
    </w:p>
    <w:p w14:paraId="7009D918" w14:textId="77777777" w:rsidR="00886A13" w:rsidRPr="00C644C2" w:rsidRDefault="00886A13" w:rsidP="00886A13">
      <w:pPr>
        <w:spacing w:after="0" w:line="240" w:lineRule="auto"/>
        <w:rPr>
          <w:rFonts w:cstheme="minorHAnsi"/>
          <w:sz w:val="20"/>
          <w:szCs w:val="20"/>
        </w:rPr>
      </w:pPr>
      <w:r w:rsidRPr="00C644C2">
        <w:rPr>
          <w:rFonts w:cstheme="minorHAnsi"/>
          <w:sz w:val="20"/>
          <w:szCs w:val="20"/>
        </w:rPr>
        <w:t>4. Division of Systems Biomedicine and Pharmacology, Leiden Academic Center for Drug Research, Leiden University, Leiden, The Netherlands. ORCID ID: 0000-0001-8303-1117</w:t>
      </w:r>
    </w:p>
    <w:p w14:paraId="44DA683A" w14:textId="77777777" w:rsidR="00886A13" w:rsidRPr="00C644C2" w:rsidRDefault="00886A13" w:rsidP="00886A13">
      <w:pPr>
        <w:spacing w:after="0" w:line="240" w:lineRule="auto"/>
        <w:ind w:left="360"/>
        <w:rPr>
          <w:rFonts w:cstheme="minorHAnsi"/>
          <w:sz w:val="20"/>
          <w:szCs w:val="20"/>
        </w:rPr>
      </w:pPr>
    </w:p>
    <w:p w14:paraId="09DD5250" w14:textId="77777777" w:rsidR="00886A13" w:rsidRPr="00C644C2" w:rsidRDefault="00886A13" w:rsidP="00886A13">
      <w:pPr>
        <w:spacing w:after="0" w:line="240" w:lineRule="auto"/>
        <w:rPr>
          <w:rFonts w:cstheme="minorHAnsi"/>
          <w:sz w:val="20"/>
          <w:szCs w:val="20"/>
        </w:rPr>
      </w:pPr>
      <w:r w:rsidRPr="00C644C2">
        <w:rPr>
          <w:rFonts w:cstheme="minorHAnsi"/>
          <w:sz w:val="20"/>
          <w:szCs w:val="20"/>
        </w:rPr>
        <w:t xml:space="preserve">Correspondence to email: </w:t>
      </w:r>
      <w:hyperlink r:id="rId8" w:history="1">
        <w:r w:rsidRPr="00C644C2">
          <w:rPr>
            <w:rStyle w:val="Hyperlink"/>
            <w:rFonts w:cstheme="minorHAnsi"/>
            <w:sz w:val="20"/>
            <w:szCs w:val="20"/>
          </w:rPr>
          <w:t>ecmdelange@lacdr.leidenuniv.nl</w:t>
        </w:r>
      </w:hyperlink>
      <w:r w:rsidRPr="00C644C2">
        <w:rPr>
          <w:rFonts w:cstheme="minorHAnsi"/>
          <w:sz w:val="20"/>
          <w:szCs w:val="20"/>
        </w:rPr>
        <w:t>, telephone: +31 71 527 6330</w:t>
      </w:r>
    </w:p>
    <w:p w14:paraId="0AAB875B" w14:textId="77777777" w:rsidR="00886A13" w:rsidRPr="00C644C2" w:rsidRDefault="00886A13" w:rsidP="00886A13">
      <w:pPr>
        <w:pStyle w:val="ListParagraph"/>
        <w:spacing w:after="0" w:line="240" w:lineRule="auto"/>
        <w:rPr>
          <w:rFonts w:cstheme="minorHAnsi"/>
          <w:b/>
          <w:sz w:val="20"/>
          <w:szCs w:val="20"/>
          <w:u w:val="single"/>
        </w:rPr>
      </w:pPr>
    </w:p>
    <w:p w14:paraId="71745BB0" w14:textId="77777777" w:rsidR="00886A13" w:rsidRPr="00C644C2" w:rsidRDefault="00886A13">
      <w:pPr>
        <w:rPr>
          <w:rFonts w:cstheme="minorHAnsi"/>
          <w:b/>
          <w:sz w:val="20"/>
          <w:szCs w:val="20"/>
        </w:rPr>
        <w:sectPr w:rsidR="00886A13" w:rsidRPr="00C644C2" w:rsidSect="00886A13">
          <w:footnotePr>
            <w:numFmt w:val="lowerLetter"/>
          </w:footnotePr>
          <w:pgSz w:w="11906" w:h="16838"/>
          <w:pgMar w:top="1418" w:right="1418" w:bottom="1418" w:left="1418" w:header="709" w:footer="709" w:gutter="0"/>
          <w:cols w:space="708"/>
          <w:docGrid w:linePitch="360"/>
        </w:sectPr>
      </w:pPr>
    </w:p>
    <w:p w14:paraId="17EE6088" w14:textId="77777777" w:rsidR="00624501" w:rsidRPr="00C644C2" w:rsidRDefault="00624501" w:rsidP="00624501">
      <w:pPr>
        <w:widowControl w:val="0"/>
        <w:autoSpaceDE w:val="0"/>
        <w:autoSpaceDN w:val="0"/>
        <w:adjustRightInd w:val="0"/>
        <w:spacing w:line="240" w:lineRule="auto"/>
        <w:ind w:left="640" w:hanging="640"/>
        <w:rPr>
          <w:rFonts w:cstheme="minorHAnsi"/>
          <w:sz w:val="20"/>
          <w:szCs w:val="20"/>
        </w:rPr>
      </w:pPr>
      <w:r w:rsidRPr="00C644C2">
        <w:rPr>
          <w:rFonts w:cstheme="minorHAnsi"/>
          <w:b/>
          <w:sz w:val="20"/>
          <w:szCs w:val="20"/>
        </w:rPr>
        <w:lastRenderedPageBreak/>
        <w:t xml:space="preserve">Supplementary table 1: </w:t>
      </w:r>
      <w:r w:rsidRPr="00C644C2">
        <w:rPr>
          <w:rFonts w:cstheme="minorHAnsi"/>
          <w:sz w:val="20"/>
          <w:szCs w:val="20"/>
        </w:rPr>
        <w:t>Rat and human unbound drug concentrations sampled from different CNS locations and used to evaluate LeiCNS3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903"/>
        <w:gridCol w:w="1182"/>
        <w:gridCol w:w="886"/>
        <w:gridCol w:w="1103"/>
        <w:gridCol w:w="854"/>
        <w:gridCol w:w="1578"/>
        <w:gridCol w:w="4453"/>
      </w:tblGrid>
      <w:tr w:rsidR="00624501" w:rsidRPr="00C644C2" w14:paraId="44A7388D" w14:textId="77777777" w:rsidTr="00EF6F1E">
        <w:trPr>
          <w:trHeight w:val="300"/>
        </w:trPr>
        <w:tc>
          <w:tcPr>
            <w:tcW w:w="0" w:type="auto"/>
            <w:shd w:val="clear" w:color="auto" w:fill="auto"/>
            <w:noWrap/>
            <w:vAlign w:val="bottom"/>
            <w:hideMark/>
          </w:tcPr>
          <w:p w14:paraId="2EFA02F8" w14:textId="77777777" w:rsidR="00624501" w:rsidRPr="00C644C2" w:rsidRDefault="00624501" w:rsidP="00EF6F1E">
            <w:pPr>
              <w:spacing w:after="0" w:line="276" w:lineRule="auto"/>
              <w:rPr>
                <w:rFonts w:eastAsia="Times New Roman" w:cstheme="minorHAnsi"/>
                <w:color w:val="000000"/>
                <w:sz w:val="20"/>
                <w:szCs w:val="20"/>
              </w:rPr>
            </w:pPr>
          </w:p>
        </w:tc>
        <w:tc>
          <w:tcPr>
            <w:tcW w:w="0" w:type="auto"/>
            <w:shd w:val="clear" w:color="auto" w:fill="D9D9D9" w:themeFill="background1" w:themeFillShade="D9"/>
            <w:noWrap/>
            <w:vAlign w:val="bottom"/>
            <w:hideMark/>
          </w:tcPr>
          <w:p w14:paraId="4850BB76"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Plasma</w:t>
            </w:r>
          </w:p>
        </w:tc>
        <w:tc>
          <w:tcPr>
            <w:tcW w:w="0" w:type="auto"/>
            <w:shd w:val="clear" w:color="auto" w:fill="D9D9D9" w:themeFill="background1" w:themeFillShade="D9"/>
            <w:noWrap/>
            <w:vAlign w:val="bottom"/>
            <w:hideMark/>
          </w:tcPr>
          <w:p w14:paraId="5C346FC3"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Brain</w:t>
            </w:r>
            <w:r w:rsidRPr="00C644C2">
              <w:rPr>
                <w:rFonts w:eastAsia="Times New Roman" w:cstheme="minorHAnsi"/>
                <w:b/>
                <w:color w:val="000000"/>
                <w:sz w:val="20"/>
                <w:szCs w:val="20"/>
                <w:vertAlign w:val="subscript"/>
              </w:rPr>
              <w:t>ECF</w:t>
            </w:r>
          </w:p>
        </w:tc>
        <w:tc>
          <w:tcPr>
            <w:tcW w:w="0" w:type="auto"/>
            <w:shd w:val="clear" w:color="auto" w:fill="D9D9D9" w:themeFill="background1" w:themeFillShade="D9"/>
            <w:noWrap/>
            <w:vAlign w:val="bottom"/>
            <w:hideMark/>
          </w:tcPr>
          <w:p w14:paraId="62B07A22"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CSF</w:t>
            </w:r>
            <w:r w:rsidRPr="00C644C2">
              <w:rPr>
                <w:rFonts w:eastAsia="Times New Roman" w:cstheme="minorHAnsi"/>
                <w:b/>
                <w:color w:val="000000"/>
                <w:sz w:val="20"/>
                <w:szCs w:val="20"/>
                <w:vertAlign w:val="subscript"/>
              </w:rPr>
              <w:t>LV</w:t>
            </w:r>
          </w:p>
        </w:tc>
        <w:tc>
          <w:tcPr>
            <w:tcW w:w="0" w:type="auto"/>
            <w:shd w:val="clear" w:color="auto" w:fill="D9D9D9" w:themeFill="background1" w:themeFillShade="D9"/>
            <w:noWrap/>
            <w:vAlign w:val="bottom"/>
            <w:hideMark/>
          </w:tcPr>
          <w:p w14:paraId="274A5294"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CSF</w:t>
            </w:r>
            <w:r w:rsidRPr="00C644C2">
              <w:rPr>
                <w:rFonts w:eastAsia="Times New Roman" w:cstheme="minorHAnsi"/>
                <w:b/>
                <w:color w:val="000000"/>
                <w:sz w:val="20"/>
                <w:szCs w:val="20"/>
                <w:vertAlign w:val="subscript"/>
              </w:rPr>
              <w:t>CM</w:t>
            </w:r>
          </w:p>
        </w:tc>
        <w:tc>
          <w:tcPr>
            <w:tcW w:w="0" w:type="auto"/>
            <w:shd w:val="clear" w:color="auto" w:fill="D9D9D9" w:themeFill="background1" w:themeFillShade="D9"/>
          </w:tcPr>
          <w:p w14:paraId="694EC4A4"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CSF</w:t>
            </w:r>
            <w:r w:rsidRPr="00C644C2">
              <w:rPr>
                <w:rFonts w:eastAsia="Times New Roman" w:cstheme="minorHAnsi"/>
                <w:b/>
                <w:color w:val="000000"/>
                <w:sz w:val="20"/>
                <w:szCs w:val="20"/>
                <w:vertAlign w:val="subscript"/>
              </w:rPr>
              <w:t>SAS</w:t>
            </w:r>
          </w:p>
        </w:tc>
        <w:tc>
          <w:tcPr>
            <w:tcW w:w="0" w:type="auto"/>
            <w:shd w:val="clear" w:color="auto" w:fill="D9D9D9" w:themeFill="background1" w:themeFillShade="D9"/>
            <w:noWrap/>
            <w:vAlign w:val="bottom"/>
            <w:hideMark/>
          </w:tcPr>
          <w:p w14:paraId="0DDAAF5B"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Total brain</w:t>
            </w:r>
          </w:p>
        </w:tc>
        <w:tc>
          <w:tcPr>
            <w:tcW w:w="4384" w:type="dxa"/>
            <w:shd w:val="clear" w:color="auto" w:fill="D9D9D9" w:themeFill="background1" w:themeFillShade="D9"/>
            <w:noWrap/>
            <w:vAlign w:val="bottom"/>
            <w:hideMark/>
          </w:tcPr>
          <w:p w14:paraId="1985FF7E" w14:textId="77777777" w:rsidR="00624501" w:rsidRPr="00C644C2" w:rsidRDefault="00624501" w:rsidP="00EF6F1E">
            <w:pPr>
              <w:spacing w:after="0" w:line="276" w:lineRule="auto"/>
              <w:jc w:val="center"/>
              <w:rPr>
                <w:rFonts w:eastAsia="Times New Roman" w:cstheme="minorHAnsi"/>
                <w:b/>
                <w:color w:val="000000"/>
                <w:sz w:val="20"/>
                <w:szCs w:val="20"/>
              </w:rPr>
            </w:pPr>
            <w:r w:rsidRPr="00C644C2">
              <w:rPr>
                <w:rFonts w:eastAsia="Times New Roman" w:cstheme="minorHAnsi"/>
                <w:b/>
                <w:color w:val="000000"/>
                <w:sz w:val="20"/>
                <w:szCs w:val="20"/>
              </w:rPr>
              <w:t>Reference</w:t>
            </w:r>
          </w:p>
        </w:tc>
      </w:tr>
      <w:tr w:rsidR="00624501" w:rsidRPr="00C644C2" w14:paraId="22809EB0" w14:textId="77777777" w:rsidTr="00EF6F1E">
        <w:trPr>
          <w:trHeight w:val="101"/>
        </w:trPr>
        <w:tc>
          <w:tcPr>
            <w:tcW w:w="13433" w:type="dxa"/>
            <w:gridSpan w:val="8"/>
            <w:shd w:val="clear" w:color="auto" w:fill="D9D9D9" w:themeFill="background1" w:themeFillShade="D9"/>
            <w:noWrap/>
            <w:vAlign w:val="bottom"/>
          </w:tcPr>
          <w:p w14:paraId="5E314067"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b/>
                <w:color w:val="000000"/>
                <w:sz w:val="20"/>
                <w:szCs w:val="20"/>
              </w:rPr>
              <w:t>Rat</w:t>
            </w:r>
          </w:p>
        </w:tc>
      </w:tr>
      <w:tr w:rsidR="00624501" w:rsidRPr="00C644C2" w14:paraId="7144F9DE" w14:textId="77777777" w:rsidTr="00EF6F1E">
        <w:trPr>
          <w:trHeight w:val="101"/>
        </w:trPr>
        <w:tc>
          <w:tcPr>
            <w:tcW w:w="0" w:type="auto"/>
            <w:shd w:val="clear" w:color="auto" w:fill="F2F2F2" w:themeFill="background1" w:themeFillShade="F2"/>
            <w:noWrap/>
            <w:vAlign w:val="bottom"/>
            <w:hideMark/>
          </w:tcPr>
          <w:p w14:paraId="3B5495A9"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Acetaminophen</w:t>
            </w:r>
          </w:p>
        </w:tc>
        <w:tc>
          <w:tcPr>
            <w:tcW w:w="1873" w:type="dxa"/>
            <w:shd w:val="clear" w:color="auto" w:fill="auto"/>
            <w:noWrap/>
            <w:vAlign w:val="center"/>
          </w:tcPr>
          <w:p w14:paraId="36FE586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569313E1"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636E871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086" w:type="dxa"/>
            <w:shd w:val="clear" w:color="auto" w:fill="auto"/>
            <w:noWrap/>
            <w:vAlign w:val="center"/>
          </w:tcPr>
          <w:p w14:paraId="22423E5A"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625EBBDD"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6759FDD3"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026B811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{"citationItems":[{"id":"ITEM-1","itemData":{"DOI":"10.1208/s12248-012-9366-1","ISSN":"15507416","PMID":"22588644","abstract":"One of the major challenges in the development of central nervous system (CNS)-targeted drugs is predicting CNS exposure in human from preclinical data. In this study, we present a methodology to investigate brain disposition in rats using a physiologically based modeling approach aiming at improving the prediction of human brain exposure. We specifically focused on quantifying regional diffusion and fluid flow processes within the brain. Acetaminophen was used as a test compound as it is not subjected to active transport processes. Microdialysis probes were implanted in striatum, for sampling brain extracellular fluid (ECF) concentrations, and in lateral ventricle (LV) and cisterna magna (CM), for sampling cerebrospinal fluid (CSF) concentrations. Serial blood samples were taken in parallel. These data, in addition to physiological parameters from literature, were used to develop a physiologically based model to describe the regional brain pharmacokinetics of acetaminophen. The concentration-time profiles of brain ECF, CSF LV, and CSF CM indicate a rapid equilibrium with plasma. However, brain ECF concentrations are on average fourfold higher than CSF concentrations, with average brain-to-plasma AUC 0</w:instrText>
            </w:r>
            <w:r w:rsidR="0058321B" w:rsidRPr="00C644C2">
              <w:rPr>
                <w:rFonts w:ascii="Cambria Math" w:eastAsia="Times New Roman" w:hAnsi="Cambria Math" w:cs="Cambria Math"/>
                <w:color w:val="000000"/>
                <w:sz w:val="20"/>
                <w:szCs w:val="20"/>
              </w:rPr>
              <w:instrText>∈</w:instrText>
            </w:r>
            <w:r w:rsidR="0058321B" w:rsidRPr="00C644C2">
              <w:rPr>
                <w:rFonts w:eastAsia="Times New Roman" w:cstheme="minorHAnsi"/>
                <w:color w:val="000000"/>
                <w:sz w:val="20"/>
                <w:szCs w:val="20"/>
              </w:rPr>
              <w:instrText>-</w:instrText>
            </w:r>
            <w:r w:rsidR="0058321B" w:rsidRPr="00C644C2">
              <w:rPr>
                <w:rFonts w:ascii="Cambria Math" w:eastAsia="Times New Roman" w:hAnsi="Cambria Math" w:cs="Cambria Math"/>
                <w:color w:val="000000"/>
                <w:sz w:val="20"/>
                <w:szCs w:val="20"/>
              </w:rPr>
              <w:instrText>∈</w:instrText>
            </w:r>
            <w:r w:rsidR="0058321B" w:rsidRPr="00C644C2">
              <w:rPr>
                <w:rFonts w:eastAsia="Times New Roman" w:cstheme="minorHAnsi"/>
                <w:color w:val="000000"/>
                <w:sz w:val="20"/>
                <w:szCs w:val="20"/>
              </w:rPr>
              <w:instrText>240 ratios of 121%, 28%, and 35% for brain ECF, CSF LV, and CSF CM, respectively. It is concluded that for acetaminophen, a model compound for passive transport into, within, and out of the brain, differences exist between the brain ECF and the CSF pharmacokinetics. The physiologically based pharmacokinetic modeling approach is important, as it allowed the prediction of human brain ECF exposure on the basis of human CSF concentrations. © 2012 The Author(s).","author":[{"dropping-particle":"","family":"Westerhout","given":"Joost","non-dropping-particle":"","parse-names":false,"suffix":""},{"dropping-particle":"","family":"Ploeger","given":"Bart","non-dropping-particle":"","parse-names":false,"suffix":""},{"dropping-particle":"","family":"Smeets","given":"Jean","non-dropping-particle":"","parse-names":false,"suffix":""},{"dropping-particle":"","family":"Danhof","given":"Meindert","non-dropping-particle":"","parse-names":false,"suffix":""},{"dropping-particle":"","family":"Lange","given":"Elizabeth C.M. M","non-dropping-particle":"De","parse-names":false,"suffix":""}],"container-title":"AAPS Journal","id":"ITEM-1","issue":"3","issued":{"date-parts":[["2012"]]},"page":"543-553","title":"Physiologically based pharmacokinetic modeling to investigate regional brain distribution kinetics in rats","type":"article-journal","volume":"14"},"uris":["http://www.mendeley.com/documents/?uuid=bf285e6a-63be-4167-9bd4-68ef5247644a"]}],"mendeley":{"formattedCitation":"[1]","plainTextFormattedCitation":"[1]","previouslyFormattedCitation":"[1]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w:t>
            </w:r>
            <w:r w:rsidRPr="00C644C2">
              <w:rPr>
                <w:rFonts w:eastAsia="Times New Roman" w:cstheme="minorHAnsi"/>
                <w:color w:val="000000"/>
                <w:sz w:val="20"/>
                <w:szCs w:val="20"/>
              </w:rPr>
              <w:fldChar w:fldCharType="end"/>
            </w:r>
          </w:p>
        </w:tc>
      </w:tr>
      <w:tr w:rsidR="00624501" w:rsidRPr="00C644C2" w14:paraId="2995D3EF" w14:textId="77777777" w:rsidTr="00EF6F1E">
        <w:trPr>
          <w:trHeight w:val="50"/>
        </w:trPr>
        <w:tc>
          <w:tcPr>
            <w:tcW w:w="0" w:type="auto"/>
            <w:shd w:val="clear" w:color="auto" w:fill="F2F2F2" w:themeFill="background1" w:themeFillShade="F2"/>
            <w:noWrap/>
            <w:vAlign w:val="bottom"/>
            <w:hideMark/>
          </w:tcPr>
          <w:p w14:paraId="7E32ACAA"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Atenolol</w:t>
            </w:r>
          </w:p>
        </w:tc>
        <w:tc>
          <w:tcPr>
            <w:tcW w:w="1873" w:type="dxa"/>
            <w:shd w:val="clear" w:color="auto" w:fill="auto"/>
            <w:noWrap/>
            <w:vAlign w:val="center"/>
          </w:tcPr>
          <w:p w14:paraId="7916DFA1"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7D8E16A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4F07E58D"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7CFE26D0"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3D23FC8A"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289C011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03E2A9B9"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{"citationItems":[{"id":"ITEM-1","itemData":{"DOI":"10.1016/0006-8993(94)90276-3","ISBN":"0006-8993 (Print)","ISSN":"00068993","PMID":"7889356","abstract":"The purpose of this investigation was to determine the effect of experimental conditions on the concentrations of atenolol and acetaminophen in brain microdialysate, and to investigate the feasibility of performing repeated experiments within individual rats. Following intravenous bolus administration, reproducible concentration-time profiles were obtained in plasma and in brain dialysate. Based on corrections for in vitro recoveries of the intracerebral probe, the estimated ratio of the AUC in brain extracellular fluid (AUCbrain ECF) over the AUC in plasma (AUCplasma) ± S.E.M. was 3.8 ± 0.6% (n = 6) for atenolol and 18 ± 2% (n = 6) for acetaminophen. Upon intracerebroventricular administration, interaminal differences in kinetics of acetaminophen in brain dialysate were observed while the concentrations of atenolol were below the detection limit of the assay. The influence of the use of isotonic versus hypotonic perfusate solutions on AUCbrain ECFvalues after intravenous bolus administration of both drugs was determined. Repeated experiments with the isotonic perfusate (24, 48 and 78 h post-surgery) resulted in AUCbrain ECFvalues with the ratio of 100: 98: 76% for acetaminophen and 100: 103: 98% for atenolol. Using a hypotonic perfusion solution the ratio of AUCbrain ECFvalues was 100: 378: 427% for atenolol. A clear effect of the temperature of the hypotonic perfusate (24 vs 38°C) on acetaminophen AUCbrain ECFvalues was revealed. The ratio of AUCbrain ECFvalues obtained at 24: 38°C was 192: 100%. It was concluded that intracerebral microdialysis can be used to study the pharmacokinetics of drugs in the brain, provided that experiments are performed under carefully controlled conditions. © 1994.","author":[{"dropping-particle":"","family":"Lange","given":"Elizabeth C.M.","non-dropping-particle":"De","parse-names":false,"suffix":""},{"dropping-particle":"","family":"Danhof","given":"Meindert","non-dropping-particle":"","parse-names":false,"suffix":""},{"dropping-particle":"","family":"Boer","given":"Albertus G.","non-dropping-particle":"de","parse-names":false,"suffix":""},{"dropping-particle":"","family":"Breimer","given":"Douwe D.","non-dropping-particle":"","parse-names":false,"suffix":""}],"container-title":"Brain Research","id":"ITEM-1","issue":"1","issued":{"date-parts":[["1994"]]},"page":"1-8","title":"Critical factors of intracerebral microdialysis as a technique to determined the pharmacokinetics of drugs in rat brain","type":"article-journal","volume":"666"},"uris":["http://www.mendeley.com/documents/?uuid=9461d5ed-c3b5-4eec-9d30-b22a34350780"]}],"mendeley":{"formattedCitation":"[2]","plainTextFormattedCitation":"[2]","previouslyFormattedCitation":"[2]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w:t>
            </w:r>
            <w:r w:rsidRPr="00C644C2">
              <w:rPr>
                <w:rFonts w:eastAsia="Times New Roman" w:cstheme="minorHAnsi"/>
                <w:color w:val="000000"/>
                <w:sz w:val="20"/>
                <w:szCs w:val="20"/>
              </w:rPr>
              <w:fldChar w:fldCharType="end"/>
            </w:r>
          </w:p>
        </w:tc>
      </w:tr>
      <w:tr w:rsidR="00624501" w:rsidRPr="00C644C2" w14:paraId="5C61558A" w14:textId="77777777" w:rsidTr="00EF6F1E">
        <w:trPr>
          <w:trHeight w:val="300"/>
        </w:trPr>
        <w:tc>
          <w:tcPr>
            <w:tcW w:w="0" w:type="auto"/>
            <w:shd w:val="clear" w:color="auto" w:fill="F2F2F2" w:themeFill="background1" w:themeFillShade="F2"/>
            <w:noWrap/>
            <w:vAlign w:val="bottom"/>
          </w:tcPr>
          <w:p w14:paraId="73F0345D"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Methotrexate</w:t>
            </w:r>
          </w:p>
        </w:tc>
        <w:tc>
          <w:tcPr>
            <w:tcW w:w="1873" w:type="dxa"/>
            <w:shd w:val="clear" w:color="auto" w:fill="auto"/>
            <w:noWrap/>
            <w:vAlign w:val="center"/>
          </w:tcPr>
          <w:p w14:paraId="6115CAFF"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1C19722E"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173E048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086" w:type="dxa"/>
            <w:shd w:val="clear" w:color="auto" w:fill="auto"/>
            <w:noWrap/>
            <w:vAlign w:val="center"/>
          </w:tcPr>
          <w:p w14:paraId="413FD91A"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4978872C"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2FE67CD3"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384F7C5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{"citationItems":[{"id":"ITEM-1","itemData":{"DOI":"10.1016/j.ejps.2013.12.020","ISSN":"0928-0987","author":[{"dropping-particle":"","family":"Westerhout","given":"Joost","non-dropping-particle":"","parse-names":false,"suffix":""},{"dropping-particle":"Van Den","family":"Berg","given":"Dirk-jan","non-dropping-particle":"","parse-names":false,"suffix":""},{"dropping-particle":"","family":"Hartman","given":"Robin","non-dropping-particle":"","parse-names":false,"suffix":""},{"dropping-particle":"","family":"Danhof","given":"Meindert","non-dropping-particle":"","parse-names":false,"suffix":""},{"dropping-particle":"","family":"Lange","given":"Elizabeth C M","non-dropping-particle":"De","parse-names":false,"suffix":""}],"container-title":"European Journal of Pharmaceutical Sciences","id":"ITEM-1","issue":"2014","issued":{"date-parts":[["2014"]]},"page":"11-24","publisher":"Elsevier B.V.","title":"Prediction of methotrexate CNS distribution in different species – Influence of disease conditions","type":"article-journal","volume":"57"},"uris":["http://www.mendeley.com/documents/?uuid=50826dc7-19b7-448f-b4ab-cc7e1c45ff21"]}],"mendeley":{"formattedCitation":"[3]","plainTextFormattedCitation":"[3]","previouslyFormattedCitation":"[3]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[3]</w:t>
            </w:r>
            <w:r w:rsidRPr="00C644C2">
              <w:rPr>
                <w:rFonts w:eastAsia="Times New Roman" w:cstheme="minorHAnsi"/>
                <w:color w:val="000000"/>
                <w:sz w:val="20"/>
                <w:szCs w:val="20"/>
              </w:rPr>
              <w:fldChar w:fldCharType="end"/>
            </w:r>
          </w:p>
        </w:tc>
      </w:tr>
      <w:tr w:rsidR="00624501" w:rsidRPr="00C644C2" w14:paraId="7BFD1696" w14:textId="77777777" w:rsidTr="00EF6F1E">
        <w:trPr>
          <w:trHeight w:val="300"/>
        </w:trPr>
        <w:tc>
          <w:tcPr>
            <w:tcW w:w="0" w:type="auto"/>
            <w:shd w:val="clear" w:color="auto" w:fill="F2F2F2" w:themeFill="background1" w:themeFillShade="F2"/>
            <w:noWrap/>
            <w:vAlign w:val="bottom"/>
          </w:tcPr>
          <w:p w14:paraId="1D1B83B9"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Morphine</w:t>
            </w:r>
          </w:p>
        </w:tc>
        <w:tc>
          <w:tcPr>
            <w:tcW w:w="1873" w:type="dxa"/>
            <w:shd w:val="clear" w:color="auto" w:fill="auto"/>
            <w:noWrap/>
            <w:vAlign w:val="center"/>
          </w:tcPr>
          <w:p w14:paraId="43991BF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63D27858"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1C5FA8DB"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1CDD87B8"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79AC4D1F"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62178FB4"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3CF0C688"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{"citationItems":[{"id":"ITEM-1","itemData":{"DOI":"10.1038/sj.bjp.0707257","ISSN":"00071188","abstract":"Background and purpose: Biophase equilibration must be considered to gain insight into the mechanisms underlying the pharmacokinetic-pharmacodynamic (PK-PD) correlations of opioids. The objective was to characterise in a quantitative manner the non-linear distribution kinetics of morphine in brain. Experimental approach: Male rats received a 10-min infusion of 4 mg kg -1 of morphine, combined with a continuous infusion of the P-glycoprotein (Pgp) inhibitor GF120918 or vehicle, or 40 mg kg -1 morphine alone. Unbound extracellular fluid (ECF) concentrations obtained by intracerebral microdialysis and total blood concentrations were analysed using a population modelling approach. Key results: Blood pharmacokinetics of morphine was best described with a three-compartment model and was not influenced by GF120918. Non-linear distribution kinetics in brain ECF was observed with increasing dose. A one compartment distribution model was developed, with separate expressions for passive diffusion, active saturable influx and active efflux by Pgp. The passive diffusion rate constant was 0.0014 min -1. The active efflux rate constant decreased from 0.0195 min -1 to 0.0113 min -1 in the presence of GF120918. The active influx was insensitive to GF120918 and had a maximum transport (N max/V ecf) of 0.66 ng min -1 ml -1 and was saturated at low concentrations of morphine (C 50=9.9 ng ml -1). Conclusions and implications: Brain distribution of morphine is determined by three factors: limited passive diffusion; active efflux, reduced by 42% by Pgp inhibition; low capacity active uptake. This implies blood concentration-dependency and sensitivity to drug-drug interactions. These factors should be taken into account in further investigations on PK-PD correlations of morphine. © 2007 Nature Publishing Group All rights reserved.","author":[{"dropping-particle":"","family":"Groenendaal","given":"D.","non-dropping-particle":"","parse-names":false,"suffix":""},{"dropping-particle":"","family":"Freijer","given":"J.","non-dropping-particle":"","parse-names":false,"suffix":""},{"dropping-particle":"","family":"Mik","given":"D.","non-dropping-particle":"De","parse-names":false,"suffix":""},{"dropping-particle":"","family":"Bouw","given":"M. R.","non-dropping-particle":"","parse-names":false,"suffix":""},{"dropping-particle":"","family":"Danhof","given":"M.","non-dropping-particle":"","parse-names":false,"suffix":""},{"dropping-particle":"","family":"Lange","given":"E. C.M.","non-dropping-particle":"De","parse-names":false,"suffix":""}],"container-title":"British Journal of Pharmacology","id":"ITEM-1","issue":"5","issued":{"date-parts":[["2007"]]},"page":"701-712","title":"Population pharmacokinetic modelling of non-linear brain distribution of morphine: Influence of active saturable influx and P-glycoprotein mediated efflux","type":"article-journal","volume":"151"},"uris":["http://www.mendeley.com/documents/?uuid=513a2253-963a-40a7-b346-13c5be193e2c"]},{"id":"ITEM-2","itemData":{"DOI":"10.1023/A:1026414713509","ISSN":"07248741","abstract":"Purpose. To quantify the contribution of distributional processes across the blood-brain barrier (BBB) to the delay in antinociceptive effect of morphine in rats. Methods. Unbound morphine concentrations were monitored in venous blood and in brain extracellular fluid (ECF) using microdialysis (MD) and in arterial blood by regular sampling. Retrodialysis by drug was used for in vivo calibration of the MD probes. Morphine was infused (10 or 40 mg/kg) over 10 min intravenously. Nociception, measured by the electrical stimulation vocalisation method, and blood gas status were determined. Results. The half-life of unbound morphine in striatum was 44 min compared to 30 min in venous and arterial blood (p &lt; 0.05). The BBB equilibration of morphine, expressed as the ratio of areas under the curve between striatum and venous blood, was less than unity (0.28 ± 0.09 and 0.22 ± 0.17 for 10 and 40 mg/kg), respectively, indicating active efflux of morphine across the BBB. The concentration-effect relationship exhibited a clear hysterisis with an effect delay half-life of 32 and 5 min based on arterial blood and brain ECF concentrations, respectively. Conclusions. Eighty five percent of the effect delay was caused by morphine transport across the BBB, indicating possible involvement of rate limiting mechanisms at the receptor level or distributional phenomena for the remaining effect delay of 5 min.","author":[{"dropping-particle":"","family":"Bouw","given":"M. R.","non-dropping-particle":"","parse-names":false,"suffix":""},{"dropping-particle":"","family":"Gårdmark","given":"M.","non-dropping-particle":"","parse-names":false,"suffix":""},{"dropping-particle":"","family":"Hammarlund-Udenaes","given":"M.","non-dropping-particle":"","parse-names":false,"suffix":""}],"container-title":"Pharmaceutical Research","id":"ITEM-2","issue":"10","issued":{"date-parts":[["2000"]]},"page":"1220-1227","title":"Modelling of morphine transport across the blood-brain barrier as a cause of the antinociceptive effect delay in rats - A microdialysis study","type":"article-journal","volume":"17"},"uris":["http://www.mendeley.com/documents/?uuid=2e0c68fe-e75e-449a-bd20-05429eca4d1a"]}],"mendeley":{"formattedCitation":"[4, 5]","plainTextFormattedCitation":"[4, 5]","previouslyFormattedCitation":"[4, 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 5]</w:t>
            </w:r>
            <w:r w:rsidRPr="00C644C2">
              <w:rPr>
                <w:rFonts w:eastAsia="Times New Roman" w:cstheme="minorHAnsi"/>
                <w:color w:val="000000"/>
                <w:sz w:val="20"/>
                <w:szCs w:val="20"/>
              </w:rPr>
              <w:fldChar w:fldCharType="end"/>
            </w:r>
          </w:p>
        </w:tc>
      </w:tr>
      <w:tr w:rsidR="00624501" w:rsidRPr="00C644C2" w14:paraId="2F73AAFC" w14:textId="77777777" w:rsidTr="00EF6F1E">
        <w:trPr>
          <w:trHeight w:val="300"/>
        </w:trPr>
        <w:tc>
          <w:tcPr>
            <w:tcW w:w="0" w:type="auto"/>
            <w:shd w:val="clear" w:color="auto" w:fill="F2F2F2" w:themeFill="background1" w:themeFillShade="F2"/>
            <w:noWrap/>
            <w:vAlign w:val="bottom"/>
          </w:tcPr>
          <w:p w14:paraId="375867C3"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Paliperidone</w:t>
            </w:r>
          </w:p>
        </w:tc>
        <w:tc>
          <w:tcPr>
            <w:tcW w:w="1873" w:type="dxa"/>
            <w:shd w:val="clear" w:color="auto" w:fill="auto"/>
            <w:noWrap/>
            <w:vAlign w:val="center"/>
          </w:tcPr>
          <w:p w14:paraId="559173A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480E1F3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60D04324"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30ACA4D4"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6A3C304E"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221611A1"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43AF198A"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{"citationItems":[{"id":"ITEM-1","itemData":{"DOI":"10.1007/s11095-016-2065-3","ISSN":"1573904X","PMID":"27864744","abstract":"PURPOSE Predicting target site drug concentration in the brain is of key importance for the successful development of drugs acting on the central nervous system. We propose a generic mathematical model to describe the pharmacokinetics in brain compartments, and apply this model to predict human brain disposition. METHODS A mathematical model consisting of several physiological brain compartments in the rat was developed using rich concentration-time profiles from nine structurally diverse drugs in plasma, brain extracellular fluid, and two cerebrospinal fluid compartments. The effect of active drug transporters was also accounted for. Subsequently, the model was translated to predict human concentration-time profiles for acetaminophen and morphine, by scaling or replacing system- and drug-specific parameters in the model. RESULTS A common model structure was identified that adequately described the rat pharmacokinetic profiles for each of the nine drugs across brain compartments, with good precision of structural model parameters (relative standard error &lt;37.5%). The model predicted the human concentration-time profiles in different brain compartments well (symmetric mean absolute percentage error &lt;90%). CONCLUSIONS A multi-compartmental brain pharmacokinetic model was developed and its structure could adequately describe data across nine different drugs. The model could be successfully translated to predict human brain concentrations.","author":[{"dropping-particle":"","family":"Yamamoto","given":"Yumi","non-dropping-particle":"","parse-names":false,"suffix":""},{"dropping-particle":"","family":"Välitalo","given":"Pyry A.","non-dropping-particle":"","parse-names":false,"suffix":""},{"dropping-particle":"","family":"Berg","given":"Dirk Jan","non-dropping-particle":"van den","parse-names":false,"suffix":""},{"dropping-particle":"","family":"Hartman","given":"Robin","non-dropping-particle":"","parse-names":false,"suffix":""},{"dropping-particle":"","family":"Brink","given":"Willem","non-dropping-particle":"van den","parse-names":false,"suffix":""},{"dropping-particle":"","family":"Wong","given":"Yin Cheong","non-dropping-particle":"","parse-names":false,"suffix":""},{"dropping-particle":"","family":"Huntjens","given":"Dymphy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akshi","given":"Suruchi","non-dropping-particle":"","parse-names":false,"suffix":""},{"dropping-particle":"","family":"Aranzana-Climent","given":"Vincent","non-dropping-particle":"","parse-names":false,"suffix":""},{"dropping-particle":"","family":"Marchand","given":"Sandrine","non-dropping-particle":"","parse-names":false,"suffix":""},{"dropping-particle":"","family":"Dahyot-Fizelier","given":"Claire","non-dropping-particle":"","parse-names":false,"suffix":""},{"dropping-particle":"","family":"Couet","given":"William","non-dropping-particle":"","parse-names":false,"suffix":""},{"dropping-particle":"","family":"Danhof","given":"Meindert","non-dropping-particle":"","parse-names":false,"suffix":""},{"dropping-particle":"","family":"Hasselt","given":"Johan G.C.","non-dropping-particle":"van","parse-names":false,"suffix":""},{"dropping-particle":"","family":"Lange","given":"Elizabeth C.M.","non-dropping-particle":"De","parse-names":false,"suffix":""}],"container-title":"Pharmaceutical Research","id":"ITEM-1","issue":"2","issued":{"date-parts":[["2017"]]},"page":"333-351","publisher":"Pharmaceutical Research","title":"A Generic Multi-Compartmental CNS Distribution Model Structure for 9 Drugs Allows Prediction of Human Brain Target Site Concentrations","type":"article-journal","volume":"34"},"uris":["http://www.mendeley.com/documents/?uuid=592de27c-ca87-459c-8382-156600b30160"]}],"mendeley":{"formattedCitation":"[6]","plainTextFormattedCitation":"[6]","previouslyFormattedCitation":"[6]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w:t>
            </w:r>
            <w:r w:rsidRPr="00C644C2">
              <w:rPr>
                <w:rFonts w:eastAsia="Times New Roman" w:cstheme="minorHAnsi"/>
                <w:color w:val="000000"/>
                <w:sz w:val="20"/>
                <w:szCs w:val="20"/>
              </w:rPr>
              <w:fldChar w:fldCharType="end"/>
            </w:r>
          </w:p>
        </w:tc>
      </w:tr>
      <w:tr w:rsidR="00624501" w:rsidRPr="00C644C2" w14:paraId="5173DBF5" w14:textId="77777777" w:rsidTr="00EF6F1E">
        <w:trPr>
          <w:trHeight w:val="300"/>
        </w:trPr>
        <w:tc>
          <w:tcPr>
            <w:tcW w:w="0" w:type="auto"/>
            <w:shd w:val="clear" w:color="auto" w:fill="F2F2F2" w:themeFill="background1" w:themeFillShade="F2"/>
            <w:noWrap/>
            <w:vAlign w:val="bottom"/>
          </w:tcPr>
          <w:p w14:paraId="037355F3"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Phenytoin</w:t>
            </w:r>
          </w:p>
        </w:tc>
        <w:tc>
          <w:tcPr>
            <w:tcW w:w="1873" w:type="dxa"/>
            <w:shd w:val="clear" w:color="auto" w:fill="auto"/>
            <w:noWrap/>
            <w:vAlign w:val="center"/>
          </w:tcPr>
          <w:p w14:paraId="7AB4FAEE"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0C0B6A62"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2CFCF710"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7F9EE2E5"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0D73735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211C85BB"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5E432874"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{"citationItems":[{"id":"ITEM-1","itemData":{"DOI":"10.1007/s11095-016-2065-3","ISSN":"1573904X","PMID":"27864744","abstract":"PURPOSE Predicting target site drug concentration in the brain is of key importance for the successful development of drugs acting on the central nervous system. We propose a generic mathematical model to describe the pharmacokinetics in brain compartments, and apply this model to predict human brain disposition. METHODS A mathematical model consisting of several physiological brain compartments in the rat was developed using rich concentration-time profiles from nine structurally diverse drugs in plasma, brain extracellular fluid, and two cerebrospinal fluid compartments. The effect of active drug transporters was also accounted for. Subsequently, the model was translated to predict human concentration-time profiles for acetaminophen and morphine, by scaling or replacing system- and drug-specific parameters in the model. RESULTS A common model structure was identified that adequately described the rat pharmacokinetic profiles for each of the nine drugs across brain compartments, with good precision of structural model parameters (relative standard error &lt;37.5%). The model predicted the human concentration-time profiles in different brain compartments well (symmetric mean absolute percentage error &lt;90%). CONCLUSIONS A multi-compartmental brain pharmacokinetic model was developed and its structure could adequately describe data across nine different drugs. The model could be successfully translated to predict human brain concentrations.","author":[{"dropping-particle":"","family":"Yamamoto","given":"Yumi","non-dropping-particle":"","parse-names":false,"suffix":""},{"dropping-particle":"","family":"Välitalo","given":"Pyry A.","non-dropping-particle":"","parse-names":false,"suffix":""},{"dropping-particle":"","family":"Berg","given":"Dirk Jan","non-dropping-particle":"van den","parse-names":false,"suffix":""},{"dropping-particle":"","family":"Hartman","given":"Robin","non-dropping-particle":"","parse-names":false,"suffix":""},{"dropping-particle":"","family":"Brink","given":"Willem","non-dropping-particle":"van den","parse-names":false,"suffix":""},{"dropping-particle":"","family":"Wong","given":"Yin Cheong","non-dropping-particle":"","parse-names":false,"suffix":""},{"dropping-particle":"","family":"Huntjens","given":"Dymphy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akshi","given":"Suruchi","non-dropping-particle":"","parse-names":false,"suffix":""},{"dropping-particle":"","family":"Aranzana-Climent","given":"Vincent","non-dropping-particle":"","parse-names":false,"suffix":""},{"dropping-particle":"","family":"Marchand","given":"Sandrine","non-dropping-particle":"","parse-names":false,"suffix":""},{"dropping-particle":"","family":"Dahyot-Fizelier","given":"Claire","non-dropping-particle":"","parse-names":false,"suffix":""},{"dropping-particle":"","family":"Couet","given":"William","non-dropping-particle":"","parse-names":false,"suffix":""},{"dropping-particle":"","family":"Danhof","given":"Meindert","non-dropping-particle":"","parse-names":false,"suffix":""},{"dropping-particle":"","family":"Hasselt","given":"Johan G.C.","non-dropping-particle":"van","parse-names":false,"suffix":""},{"dropping-particle":"","family":"Lange","given":"Elizabeth C.M.","non-dropping-particle":"De","parse-names":false,"suffix":""}],"container-title":"Pharmaceutical Research","id":"ITEM-1","issue":"2","issued":{"date-parts":[["2017"]]},"page":"333-351","publisher":"Pharmaceutical Research","title":"A Generic Multi-Compartmental CNS Distribution Model Structure for 9 Drugs Allows Prediction of Human Brain Target Site Concentrations","type":"article-journal","volume":"34"},"uris":["http://www.mendeley.com/documents/?uuid=592de27c-ca87-459c-8382-156600b30160"]}],"mendeley":{"formattedCitation":"[6]","plainTextFormattedCitation":"[6]","previouslyFormattedCitation":"[6]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w:t>
            </w:r>
            <w:r w:rsidRPr="00C644C2">
              <w:rPr>
                <w:rFonts w:eastAsia="Times New Roman" w:cstheme="minorHAnsi"/>
                <w:color w:val="000000"/>
                <w:sz w:val="20"/>
                <w:szCs w:val="20"/>
              </w:rPr>
              <w:fldChar w:fldCharType="end"/>
            </w:r>
          </w:p>
        </w:tc>
      </w:tr>
      <w:tr w:rsidR="00624501" w:rsidRPr="00C644C2" w14:paraId="35DFEFA3" w14:textId="77777777" w:rsidTr="00EF6F1E">
        <w:trPr>
          <w:trHeight w:val="300"/>
        </w:trPr>
        <w:tc>
          <w:tcPr>
            <w:tcW w:w="0" w:type="auto"/>
            <w:shd w:val="clear" w:color="auto" w:fill="F2F2F2" w:themeFill="background1" w:themeFillShade="F2"/>
            <w:noWrap/>
            <w:vAlign w:val="bottom"/>
          </w:tcPr>
          <w:p w14:paraId="64CA1C78"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Quinidine</w:t>
            </w:r>
          </w:p>
        </w:tc>
        <w:tc>
          <w:tcPr>
            <w:tcW w:w="1873" w:type="dxa"/>
            <w:shd w:val="clear" w:color="auto" w:fill="auto"/>
            <w:noWrap/>
            <w:vAlign w:val="center"/>
          </w:tcPr>
          <w:p w14:paraId="38B318F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49D1686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019E81B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086" w:type="dxa"/>
            <w:shd w:val="clear" w:color="auto" w:fill="auto"/>
            <w:noWrap/>
            <w:vAlign w:val="center"/>
          </w:tcPr>
          <w:p w14:paraId="38E25A70"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5EB44D2F"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4601E8DA"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4384" w:type="dxa"/>
            <w:shd w:val="clear" w:color="auto" w:fill="auto"/>
            <w:noWrap/>
            <w:vAlign w:val="center"/>
          </w:tcPr>
          <w:p w14:paraId="524ED8CC"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{"citationItems":[{"id":"ITEM-1","itemData":{"DOI":"10.1007/s10928-013-9314-4","ISSN":"1567567X","abstract":"In the development of central nervous system (CNS)-targeted drugs, the prediction of human CNS target exposure is a big challenge. Cerebrospinal fluid (CSF) concentrations have often been suggested as a 'good enough' surrogate for brain extracellular fluid (brainECF, brain target site) concentrations in humans. However, brain anatomy and physiology indicates prudence. We have applied a multiple microdialysis probe approach in rats, for continuous measurement and direct comparison of quinidine kinetics in brain ECF, CSF, and plasma. The data obtained indicated important differences between brainECF and CSF kinetics, with brain ECF kinetics being most sensitive to P-gp inhibition. To describe the data we developed a systems-based pharmacokinetic model. Our findings indicated that: (1) brainECF- and CSF-to-unbound plasma AUC0-360 ratios were all over 100 %; (2) P-gp also restricts brain intracellular exposure; (3) a direct transport route of quinidine from plasma to brain cells exists; (4) P-gp-mediated efflux of quinidine at the blood-brain barrier seems to result of combined efflux enhancement and influx hindrance; (5) P-gp at the blood-CSF barrier either functions as an efflux transporter or is not functioning at all. It is concluded that in parallel obtained data on unbound brainECF, CSF and plasma concentrations, under dynamic conditions, is a complex but most valid approach to reveal the mechanisms underlying the relationship between brainECF and CSF concentrations. This relationship is significantly influenced by activity of P-gp. Therefore, information on functionality of P-gp is required for the prediction of human brain target site concentrations of P-gp substrates on the basis of human CSF concentrations. © 2013 The Author(s).","author":[{"dropping-particle":"","family":"Lange","given":"Elizabeth C.M. M","non-dropping-particle":"De","parse-names":false,"suffix":""},{"dropping-particle":"","family":"Westerhout","given":"Joost","non-dropping-particle":"","parse-names":false,"suffix":""},{"dropping-particle":"","family":"Smeets","given":"Jean","non-dropping-particle":"","parse-names":false,"suffix":""},{"dropping-particle":"","family":"Danhof","given":"Meindert","non-dropping-particle":"","parse-names":false,"suffix":""},{"dropping-particle":"","family":"Lange","given":"Elizabeth C.M. M","non-dropping-particle":"De","parse-names":false,"suffix":""}],"container-title":"Journal of Pharmacokinetics and Pharmacodynamics","id":"ITEM-1","issue":"3","issued":{"date-parts":[["2013"]]},"page":"327-342","title":"The impact of P-gp functionality on non-steady state relationships between CSF and brain extracellular fluid","type":"article-journal","volume":"40"},"uris":["http://www.mendeley.com/documents/?uuid=86d629b5-79e2-4b31-90c9-34433f7368b2"]}],"mendeley":{"formattedCitation":"[7]","plainTextFormattedCitation":"[7]","previouslyFormattedCitation":"[7]"},"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w:t>
            </w:r>
            <w:r w:rsidRPr="00C644C2">
              <w:rPr>
                <w:rFonts w:eastAsia="Times New Roman" w:cstheme="minorHAnsi"/>
                <w:color w:val="000000"/>
                <w:sz w:val="20"/>
                <w:szCs w:val="20"/>
              </w:rPr>
              <w:fldChar w:fldCharType="end"/>
            </w:r>
          </w:p>
        </w:tc>
      </w:tr>
      <w:tr w:rsidR="00624501" w:rsidRPr="00C644C2" w14:paraId="65E5878D" w14:textId="77777777" w:rsidTr="00EF6F1E">
        <w:trPr>
          <w:trHeight w:val="300"/>
        </w:trPr>
        <w:tc>
          <w:tcPr>
            <w:tcW w:w="0" w:type="auto"/>
            <w:shd w:val="clear" w:color="auto" w:fill="F2F2F2" w:themeFill="background1" w:themeFillShade="F2"/>
            <w:noWrap/>
            <w:vAlign w:val="bottom"/>
          </w:tcPr>
          <w:p w14:paraId="6AF91EC6"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Raclopride</w:t>
            </w:r>
          </w:p>
        </w:tc>
        <w:tc>
          <w:tcPr>
            <w:tcW w:w="1873" w:type="dxa"/>
            <w:shd w:val="clear" w:color="auto" w:fill="auto"/>
            <w:noWrap/>
            <w:vAlign w:val="center"/>
          </w:tcPr>
          <w:p w14:paraId="721E749C"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156C670E"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7ABA4A9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57CC8022"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5B5C8D2A"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08A064EB"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4384" w:type="dxa"/>
            <w:shd w:val="clear" w:color="auto" w:fill="auto"/>
            <w:noWrap/>
            <w:vAlign w:val="center"/>
          </w:tcPr>
          <w:p w14:paraId="0C4C4AF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{"citationItems":[{"id":"ITEM-1","itemData":{"DOI":"10.1016/j.ejps.2017.10.031","ISSN":"18790720","abstract":"Background Raclopride is a selective antagonist of the dopamine D2 receptor. It is one of the most frequently used in vivo D2 tracers (at low doses) for assessing drug-induced receptor occupancy (RO) in animals and humans. It is also commonly used as a pharmacological blocker (at high doses) to occupy the available D2 receptors and antagonize the action of dopamine or drugs on D2 in preclinical studies. The aims of this study were to comprehensively evaluate its pharmacokinetic (PK) profiles in different brain compartments and to establish a PK-RO model that could predict the brain distribution and RO of raclopride in the freely moving rat using a LC − MS based approach. Methods Rats (n = 24) received a 10-min IV infusion of non-radiolabeled raclopride (1.61 μmol/kg, i.e. 0.56 mg/kg). Plasma and the brain tissues of striatum (with high density of D2 receptors) and cerebellum (with negligible amount of D2 receptors) were collected. Additional microdialysis experiments were performed in some rats (n = 7) to measure the free drug concentration in the extracellular fluid of the striatum and cerebellum. Raclopride concentrations in all samples were analyzed by LC − MS. A population PK-RO model was constructed in NONMEM to describe the concentration-time profiles in the unbound plasma, brain extracellular fluid and brain tissue compartments and to estimate the RO based on raclopride-D2 receptor binding kinetics. Results In plasma raclopride showed a rapid distribution phase followed by a slower elimination phase. The striatum tissue concentrations were consistently higher than that of cerebellum tissue throughout the whole experimental period (10 − h) due to higher non-specific tissue binding and D2 receptor binding in the striatum. Model-based simulations accurately predicted the literature data on rat plasma PK, brain tissue PK and D2 RO at different time points after intravenous or subcutaneous administration of raclopride at tracer dose (RO &lt; 10%), sub-pharmacological dose (RO 10%− 30%) and pharmacological dose (RO &gt; 30%). Conclusion For the first time a predictive model that could describe the quantitative in vivo relationship between dose, PK and D2 RO of raclopride in non-anesthetized rat was established. The PK-RO model could facilitate the selection of optimal dose and dosing time when raclopride is used as tracer or as pharmacological blocker in various rat studies. The LC − MS based approach, which doses and quantifies a non-radiolabeled tracer, co…","author":[{"dropping-particle":"","family":"Wong","given":"Yin Cheong","non-dropping-particle":"","parse-names":false,"suffix":""},{"dropping-particle":"","family":"Ilkova","given":"Trayana","non-dropping-particle":"","parse-names":false,"suffix":""},{"dropping-particle":"","family":"Wijk","given":"Rob C.","non-dropping-particle":"van","parse-names":false,"suffix":""},{"dropping-particle":"","family":"Hartman","given":"Robin","non-dropping-particle":"","parse-names":false,"suffix":""},{"dropping-particle":"","family":"Lange","given":"Elizabeth C.M.","non-dropping-particle":"De","parse-names":false,"suffix":""}],"container-title":"European Journal of Pharmaceutical Sciences","id":"ITEM-1","issued":{"date-parts":[["2018"]]},"page":"514-525","publisher":"Elsevier","title":"Development of a population pharmacokinetic model to predict brain distribution and dopamine D2 receptor occupancy of raclopride in non-anesthetized rat","type":"article-journal","volume":"111"},"uris":["http://www.mendeley.com/documents/?uuid=94f0761b-c51c-41c4-ad08-f2b44b0bf740"]}],"mendeley":{"formattedCitation":"[8]","plainTextFormattedCitation":"[8]","previouslyFormattedCitation":"[8]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w:t>
            </w:r>
            <w:r w:rsidRPr="00C644C2">
              <w:rPr>
                <w:rFonts w:eastAsia="Times New Roman" w:cstheme="minorHAnsi"/>
                <w:color w:val="000000"/>
                <w:sz w:val="20"/>
                <w:szCs w:val="20"/>
              </w:rPr>
              <w:fldChar w:fldCharType="end"/>
            </w:r>
          </w:p>
        </w:tc>
      </w:tr>
      <w:tr w:rsidR="00624501" w:rsidRPr="00C644C2" w14:paraId="05E75FD7" w14:textId="77777777" w:rsidTr="00EF6F1E">
        <w:trPr>
          <w:trHeight w:val="300"/>
        </w:trPr>
        <w:tc>
          <w:tcPr>
            <w:tcW w:w="0" w:type="auto"/>
            <w:shd w:val="clear" w:color="auto" w:fill="F2F2F2" w:themeFill="background1" w:themeFillShade="F2"/>
            <w:noWrap/>
            <w:vAlign w:val="bottom"/>
          </w:tcPr>
          <w:p w14:paraId="318E1C8B"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Remoxipride</w:t>
            </w:r>
          </w:p>
        </w:tc>
        <w:tc>
          <w:tcPr>
            <w:tcW w:w="1873" w:type="dxa"/>
            <w:shd w:val="clear" w:color="auto" w:fill="auto"/>
            <w:noWrap/>
            <w:vAlign w:val="center"/>
          </w:tcPr>
          <w:p w14:paraId="33E9BEB0"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294536A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5F4DD6BE"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086" w:type="dxa"/>
            <w:shd w:val="clear" w:color="auto" w:fill="auto"/>
            <w:noWrap/>
            <w:vAlign w:val="center"/>
          </w:tcPr>
          <w:p w14:paraId="48341475"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1101B9C1"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0A3FCE2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4384" w:type="dxa"/>
            <w:shd w:val="clear" w:color="auto" w:fill="auto"/>
            <w:noWrap/>
            <w:vAlign w:val="center"/>
          </w:tcPr>
          <w:p w14:paraId="4CD441A6"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{"citationItems":[{"id":"ITEM-1","itemData":{"DOI":"10.1007/s11095-016-2065-3","ISSN":"1573904X","PMID":"27864744","abstract":"PURPOSE Predicting target site drug concentration in the brain is of key importance for the successful development of drugs acting on the central nervous system. We propose a generic mathematical model to describe the pharmacokinetics in brain compartments, and apply this model to predict human brain disposition. METHODS A mathematical model consisting of several physiological brain compartments in the rat was developed using rich concentration-time profiles from nine structurally diverse drugs in plasma, brain extracellular fluid, and two cerebrospinal fluid compartments. The effect of active drug transporters was also accounted for. Subsequently, the model was translated to predict human concentration-time profiles for acetaminophen and morphine, by scaling or replacing system- and drug-specific parameters in the model. RESULTS A common model structure was identified that adequately described the rat pharmacokinetic profiles for each of the nine drugs across brain compartments, with good precision of structural model parameters (relative standard error &lt;37.5%). The model predicted the human concentration-time profiles in different brain compartments well (symmetric mean absolute percentage error &lt;90%). CONCLUSIONS A multi-compartmental brain pharmacokinetic model was developed and its structure could adequately describe data across nine different drugs. The model could be successfully translated to predict human brain concentrations.","author":[{"dropping-particle":"","family":"Yamamoto","given":"Yumi","non-dropping-particle":"","parse-names":false,"suffix":""},{"dropping-particle":"","family":"Välitalo","given":"Pyry A.","non-dropping-particle":"","parse-names":false,"suffix":""},{"dropping-particle":"","family":"Berg","given":"Dirk Jan","non-dropping-particle":"van den","parse-names":false,"suffix":""},{"dropping-particle":"","family":"Hartman","given":"Robin","non-dropping-particle":"","parse-names":false,"suffix":""},{"dropping-particle":"","family":"Brink","given":"Willem","non-dropping-particle":"van den","parse-names":false,"suffix":""},{"dropping-particle":"","family":"Wong","given":"Yin Cheong","non-dropping-particle":"","parse-names":false,"suffix":""},{"dropping-particle":"","family":"Huntjens","given":"Dymphy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akshi","given":"Suruchi","non-dropping-particle":"","parse-names":false,"suffix":""},{"dropping-particle":"","family":"Aranzana-Climent","given":"Vincent","non-dropping-particle":"","parse-names":false,"suffix":""},{"dropping-particle":"","family":"Marchand","given":"Sandrine","non-dropping-particle":"","parse-names":false,"suffix":""},{"dropping-particle":"","family":"Dahyot-Fizelier","given":"Claire","non-dropping-particle":"","parse-names":false,"suffix":""},{"dropping-particle":"","family":"Couet","given":"William","non-dropping-particle":"","parse-names":false,"suffix":""},{"dropping-particle":"","family":"Danhof","given":"Meindert","non-dropping-particle":"","parse-names":false,"suffix":""},{"dropping-particle":"","family":"Hasselt","given":"Johan G.C.","non-dropping-particle":"van","parse-names":false,"suffix":""},{"dropping-particle":"","family":"Lange","given":"Elizabeth C.M.","non-dropping-particle":"De","parse-names":false,"suffix":""}],"container-title":"Pharmaceutical Research","id":"ITEM-1","issue":"2","issued":{"date-parts":[["2017"]]},"page":"333-351","publisher":"Pharmaceutical Research","title":"A Generic Multi-Compartmental CNS Distribution Model Structure for 9 Drugs Allows Prediction of Human Brain Target Site Concentrations","type":"article-journal","volume":"34"},"uris":["http://www.mendeley.com/documents/?uuid=592de27c-ca87-459c-8382-156600b30160"]},{"id":"ITEM-2","itemData":{"DOI":"10.1002/psp4.12250","ISSN":"21638306","PMID":"28891201","author":[{"dropping-particle":"","family":"Yamamoto","given":"Y","non-dropping-particle":"","parse-names":false,"suffix":""},{"dropping-particle":"","family":"Välitalo","given":"PA","non-dropping-particle":"","parse-names":false,"suffix":""},{"dropping-particle":"","family":"Huntjens","given":"DR","non-dropping-particle":"","parse-names":false,"suffix":""},{"dropping-particle":"","family":"Proost","given":"JH","non-dropping-particle":"","parse-names":false,"suffix":""},{"dropping-particle":"","family":"Vermeulen","given":"A","non-dropping-particle":"","parse-names":false,"suffix":""},{"dropping-particle":"","family":"Krauwinkel","given":"W","non-dropping-particle":"","parse-names":false,"suffix":""},{"dropping-particle":"","family":"Beukers","given":"MW","non-dropping-particle":"","parse-names":false,"suffix":""},{"dropping-particle":"","family":"Berg","given":"DJ","non-dropping-particle":"van den","parse-names":false,"suffix":""},{"dropping-particle":"","family":"Hartman","given":"RJ","non-dropping-particle":"","parse-names":false,"suffix":""},{"dropping-particle":"","family":"Wong","given":"YC","non-dropping-particle":"","parse-names":false,"suffix":""},{"dropping-particle":"","family":"Danhof","given":"M","non-dropping-particle":"","parse-names":false,"suffix":""},{"dropping-particle":"","family":"Hasselt","given":"JGC","non-dropping-particle":"van","parse-names":false,"suffix":""},{"dropping-particle":"","family":"Lange","given":"ECM","non-dropping-particle":"De","parse-names":false,"suffix":""}],"container-title":"CPT: Pharmacometrics &amp; Systems Pharmacology","id":"ITEM-2","issue":"11","issued":{"date-parts":[["2017"]]},"page":"765-777","title":"Predicting drug concentration-time profiles in multiple relevant CNS compartments using a comprehensive physiologically-based pharmacokinetic model","type":"article-journal","volume":"6"},"uris":["http://www.mendeley.com/documents/?uuid=6e2d4ac0-7759-4436-8635-39d8dc2695b7"]},{"id":"ITEM-3","itemData":{"DOI":"10.1124/dmd.111.040782","ISSN":"00909556","abstract":"Intranasal (IN) administration could be an attractive mode of delivery for drugs targeting the central nervous system, potentially providing a high bioavailability because of avoidance of a hepatic first-pass effect and rapid onset of action. However, controversy remains whether a direct transport route from the nasal cavity into the brain exists. Pharmacokinetic modeling is proposed to identify the existence of direct nose-to-brain transport in a quantitative manner. The selective dopamine-D2 receptor antagonist remoxipride was administered at different dosages, in freely moving rats, by the IN and intravenous (IV) route. Plasma and brain extracellular fluid (ECF) concentration-time profiles were obtained and simultaneously analyzed using nonlinear mixed-effects modeling. Brain ECF/plasma area under the curve ratios were 0.28 and 0.19 after IN and IV administration, respectively. A multicompartment pharmacokinetic model with two absorption compartments (nose-to-systemic and nose-to-brain) was found to best describe the observed pharmacokinetic data. Absorption was described in terms of bioavailability and rate. Total bioavailability after IN administration was 89%, of which 75% was attributed to direct nose-to brain transport. Direct nose-to-brain absorption rate was slow, explaining prolonged brain ECF exposure after IN compared with IV administration. These studies explicitly provide separation and quantitation of systemic and direct nose-to-brain transport after IN administration of remoxipride in the rat. Describing remoxipride pharmacokinetics at the target site (brain ECF) in a semiphysiology-based manner would allow for better prediction of pharmacodynamic effects. Copyright © 2011 by The American Society for Pharmacology and Experimental Therapeutics.","author":[{"dropping-particle":"","family":"Stevens","given":"Jasper","non-dropping-particle":"","parse-names":false,"suffix":""},{"dropping-particle":"","family":"Ploeger","given":"Bart A.","non-dropping-particle":"","parse-names":false,"suffix":""},{"dropping-particle":"","family":"Graaf","given":"Piet H.","non-dropping-particle":"Van Der","parse-names":false,"suffix":""},{"dropping-particle":"","family":"Danhof","given":"Meindert","non-dropping-particle":"","parse-names":false,"suffix":""},{"dropping-particle":"","family":"Lange","given":"E.C.M.","non-dropping-particle":"De","parse-names":false,"suffix":""}],"container-title":"Drug Metabolism and Disposition","id":"ITEM-3","issue":"12","issued":{"date-parts":[["2011"]]},"page":"2275-2282","title":"Systemic and direct nose-to-brain transport pharmacokinetic model for remoxipride after intravenous and intranasal administration","type":"article-journal","volume":"39"},"uris":["http://www.mendeley.com/documents/?uuid=a83469bb-d532-45f6-a0cc-62cf73c0fddd"]}],"mendeley":{"formattedCitation":"[6, 9, 10]","plainTextFormattedCitation":"[6, 9, 10]","previouslyFormattedCitation":"[6, 9, 10]"},"properties":{"noteIndex":0},"schema":"https://github.com/citation-style-language/schema/raw/master/csl-citation.json"}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 9, 10]</w:t>
            </w:r>
            <w:r w:rsidRPr="00C644C2">
              <w:rPr>
                <w:rFonts w:eastAsia="Times New Roman" w:cstheme="minorHAnsi"/>
                <w:color w:val="000000"/>
                <w:sz w:val="20"/>
                <w:szCs w:val="20"/>
              </w:rPr>
              <w:fldChar w:fldCharType="end"/>
            </w:r>
          </w:p>
        </w:tc>
      </w:tr>
      <w:tr w:rsidR="00624501" w:rsidRPr="00C644C2" w14:paraId="095A214D" w14:textId="77777777" w:rsidTr="00EF6F1E">
        <w:trPr>
          <w:trHeight w:val="300"/>
        </w:trPr>
        <w:tc>
          <w:tcPr>
            <w:tcW w:w="0" w:type="auto"/>
            <w:shd w:val="clear" w:color="auto" w:fill="F2F2F2" w:themeFill="background1" w:themeFillShade="F2"/>
            <w:noWrap/>
            <w:vAlign w:val="bottom"/>
          </w:tcPr>
          <w:p w14:paraId="1854691D"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Risperidone</w:t>
            </w:r>
          </w:p>
        </w:tc>
        <w:tc>
          <w:tcPr>
            <w:tcW w:w="1873" w:type="dxa"/>
            <w:shd w:val="clear" w:color="auto" w:fill="auto"/>
            <w:noWrap/>
            <w:vAlign w:val="center"/>
          </w:tcPr>
          <w:p w14:paraId="7951453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3DDA2ED8"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7643EDB5"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27031F68"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54" w:type="dxa"/>
          </w:tcPr>
          <w:p w14:paraId="3DD8ACED"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3C6ED943"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0391BF07"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{"citationItems":[{"id":"ITEM-1","itemData":{"DOI":"10.1007/s11095-016-2065-3","ISSN":"1573904X","PMID":"27864744","abstract":"PURPOSE Predicting target site drug concentration in the brain is of key importance for the successful development of drugs acting on the central nervous system. We propose a generic mathematical model to describe the pharmacokinetics in brain compartments, and apply this model to predict human brain disposition. METHODS A mathematical model consisting of several physiological brain compartments in the rat was developed using rich concentration-time profiles from nine structurally diverse drugs in plasma, brain extracellular fluid, and two cerebrospinal fluid compartments. The effect of active drug transporters was also accounted for. Subsequently, the model was translated to predict human concentration-time profiles for acetaminophen and morphine, by scaling or replacing system- and drug-specific parameters in the model. RESULTS A common model structure was identified that adequately described the rat pharmacokinetic profiles for each of the nine drugs across brain compartments, with good precision of structural model parameters (relative standard error &lt;37.5%). The model predicted the human concentration-time profiles in different brain compartments well (symmetric mean absolute percentage error &lt;90%). CONCLUSIONS A multi-compartmental brain pharmacokinetic model was developed and its structure could adequately describe data across nine different drugs. The model could be successfully translated to predict human brain concentrations.","author":[{"dropping-particle":"","family":"Yamamoto","given":"Yumi","non-dropping-particle":"","parse-names":false,"suffix":""},{"dropping-particle":"","family":"Välitalo","given":"Pyry A.","non-dropping-particle":"","parse-names":false,"suffix":""},{"dropping-particle":"","family":"Berg","given":"Dirk Jan","non-dropping-particle":"van den","parse-names":false,"suffix":""},{"dropping-particle":"","family":"Hartman","given":"Robin","non-dropping-particle":"","parse-names":false,"suffix":""},{"dropping-particle":"","family":"Brink","given":"Willem","non-dropping-particle":"van den","parse-names":false,"suffix":""},{"dropping-particle":"","family":"Wong","given":"Yin Cheong","non-dropping-particle":"","parse-names":false,"suffix":""},{"dropping-particle":"","family":"Huntjens","given":"Dymphy R.","non-dropping-particle":"","parse-names":false,"suffix":""},{"dropping-particle":"","family":"Proost","given":"Johannes H.","non-dropping-particle":"","parse-names":false,"suffix":""},{"dropping-particle":"","family":"Vermeulen","given":"An","non-dropping-particle":"","parse-names":false,"suffix":""},{"dropping-particle":"","family":"Krauwinkel","given":"Walter","non-dropping-particle":"","parse-names":false,"suffix":""},{"dropping-particle":"","family":"Bakshi","given":"Suruchi","non-dropping-particle":"","parse-names":false,"suffix":""},{"dropping-particle":"","family":"Aranzana-Climent","given":"Vincent","non-dropping-particle":"","parse-names":false,"suffix":""},{"dropping-particle":"","family":"Marchand","given":"Sandrine","non-dropping-particle":"","parse-names":false,"suffix":""},{"dropping-particle":"","family":"Dahyot-Fizelier","given":"Claire","non-dropping-particle":"","parse-names":false,"suffix":""},{"dropping-particle":"","family":"Couet","given":"William","non-dropping-particle":"","parse-names":false,"suffix":""},{"dropping-particle":"","family":"Danhof","given":"Meindert","non-dropping-particle":"","parse-names":false,"suffix":""},{"dropping-particle":"","family":"Hasselt","given":"Johan G.C.","non-dropping-particle":"van","parse-names":false,"suffix":""},{"dropping-particle":"","family":"Lange","given":"Elizabeth C.M.","non-dropping-particle":"De","parse-names":false,"suffix":""}],"container-title":"Pharmaceutical Research","id":"ITEM-1","issue":"2","issued":{"date-parts":[["2017"]]},"page":"333-351","publisher":"Pharmaceutical Research","title":"A Generic Multi-Compartmental CNS Distribution Model Structure for 9 Drugs Allows Prediction of Human Brain Target Site Concentrations","type":"article-journal","volume":"34"},"uris":["http://www.mendeley.com/documents/?uuid=592de27c-ca87-459c-8382-156600b30160"]}],"mendeley":{"formattedCitation":"[6]","plainTextFormattedCitation":"[6]","previouslyFormattedCitation":"[6]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w:t>
            </w:r>
            <w:r w:rsidRPr="00C644C2">
              <w:rPr>
                <w:rFonts w:eastAsia="Times New Roman" w:cstheme="minorHAnsi"/>
                <w:color w:val="000000"/>
                <w:sz w:val="20"/>
                <w:szCs w:val="20"/>
              </w:rPr>
              <w:fldChar w:fldCharType="end"/>
            </w:r>
          </w:p>
        </w:tc>
      </w:tr>
      <w:tr w:rsidR="00624501" w:rsidRPr="00C644C2" w14:paraId="0ADC3951" w14:textId="77777777" w:rsidTr="00EF6F1E">
        <w:trPr>
          <w:trHeight w:val="300"/>
        </w:trPr>
        <w:tc>
          <w:tcPr>
            <w:tcW w:w="13433" w:type="dxa"/>
            <w:gridSpan w:val="8"/>
            <w:shd w:val="clear" w:color="auto" w:fill="D9D9D9" w:themeFill="background1" w:themeFillShade="D9"/>
            <w:noWrap/>
            <w:vAlign w:val="bottom"/>
          </w:tcPr>
          <w:p w14:paraId="61BC2B76"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b/>
                <w:color w:val="000000"/>
                <w:sz w:val="20"/>
                <w:szCs w:val="20"/>
              </w:rPr>
              <w:t>Human</w:t>
            </w:r>
          </w:p>
        </w:tc>
      </w:tr>
      <w:tr w:rsidR="00624501" w:rsidRPr="00C644C2" w14:paraId="6CF11B39" w14:textId="77777777" w:rsidTr="00EF6F1E">
        <w:trPr>
          <w:trHeight w:val="300"/>
        </w:trPr>
        <w:tc>
          <w:tcPr>
            <w:tcW w:w="0" w:type="auto"/>
            <w:shd w:val="clear" w:color="auto" w:fill="F2F2F2" w:themeFill="background1" w:themeFillShade="F2"/>
            <w:noWrap/>
            <w:vAlign w:val="bottom"/>
          </w:tcPr>
          <w:p w14:paraId="3D8F9E09"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Acetaminophen</w:t>
            </w:r>
          </w:p>
        </w:tc>
        <w:tc>
          <w:tcPr>
            <w:tcW w:w="1873" w:type="dxa"/>
            <w:shd w:val="clear" w:color="auto" w:fill="auto"/>
            <w:noWrap/>
            <w:vAlign w:val="center"/>
          </w:tcPr>
          <w:p w14:paraId="49AE8F4B"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48BC09C9"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72" w:type="dxa"/>
            <w:shd w:val="clear" w:color="auto" w:fill="auto"/>
            <w:noWrap/>
            <w:vAlign w:val="center"/>
          </w:tcPr>
          <w:p w14:paraId="70D0402E"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003B0E9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74AB5D4A"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553" w:type="dxa"/>
            <w:shd w:val="clear" w:color="auto" w:fill="auto"/>
            <w:noWrap/>
            <w:vAlign w:val="center"/>
          </w:tcPr>
          <w:p w14:paraId="6D26E70D"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087AE007"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{"citationItems":[{"id":"ITEM-1","itemData":{"DOI":"10.1111/j.1365-2125.1992.tb04112.x","ISSN":"13652125","PMID":"1633071","abstract":"Since the antipyretic and probably the analgesic effects of paracetamol are, at least in part, centrally mediated, its plasma and cerebrospinal fluid (CSF) concentrations were measured in 43 patients with nerve‐root compression pain. Each subject was given a short i.v. infusion of 2 g propacetamol, a prodrug which is hydrolysed to paracetamol within 7 min. Single blood and CSF samples were drawn concomitantly in each patient at intervals between 20 min and 12 h. Maximum CSF drug concentrations were observed at the 4th hour, subsequent concentrations exceeding those in plasma. The elimination half‐life of paracetamol calculated from pooled data was shorter in plasma (2.4 h) than in CSF (3.2 h). The time‐course of paracetamol in CSF may parallel that of analgesic effect. 1992 The British Pharmacological Society","author":[{"dropping-particle":"","family":"Bannwarth","given":"B.","non-dropping-particle":"","parse-names":false,"suffix":""},{"dropping-particle":"","family":"Netter","given":"P.","non-dropping-particle":"","parse-names":false,"suffix":""},{"dropping-particle":"","family":"Lapicque","given":"F.","non-dropping-particle":"","parse-names":false,"suffix":""},{"dropping-particle":"","family":"Gillet","given":"P.","non-dropping-particle":"","parse-names":false,"suffix":""},{"dropping-particle":"","family":"Pere","given":"P.","non-dropping-particle":"","parse-names":false,"suffix":""},{"dropping-particle":"","family":"Boccard","given":"E.","non-dropping-particle":"","parse-names":false,"suffix":""},{"dropping-particle":"","family":"Royer","given":"RJ","non-dropping-particle":"","parse-names":false,"suffix":""},{"dropping-particle":"","family":"Gaucher","given":"A.","non-dropping-particle":"","parse-names":false,"suffix":""}],"container-title":"British Journal of Clinical Pharmacology","id":"ITEM-1","issue":"1","issued":{"date-parts":[["1992"]]},"page":"79-81","title":"Plasma and cerebrospinal fluid concentrations of paracetamol after a single intravenous dose of propacetamol.","type":"article-journal","volume":"34"},"uris":["http://www.mendeley.com/documents/?uuid=b93ee25a-7b46-4182-93bc-1724236df610"]},{"id":"ITEM-2","itemData":{"DOI":"10.1111/j.1533-2500.2012.00556.x","ISSN":"15332500","abstract":"Background: This is the first study to compare plasma and cerebrospinal fluid (CSF) pharmacokinetics of intravenous (IV), oral (PO), or rectal (PR) formulations of acetaminophen. Methods: Healthy male subjects (N=6) were randomized to receive a single dose of IV (OFIRMEV®; Cadence) 1,000mg (15minute infusion), PO (2 Tylenol® 500mg caplets; McNeil Consumer Healthcare), or PR acetaminophen (2 Feverall® 650mg suppositories; Actavis) with a 1-day washout period between doses. The 1,300mg PR concentrations were standardized to 1,000mg. Acetaminophen plasma and CSF levels were obtained at T0, 0.25, 0.5, 0.75, 1, 2, 3, 4, and 6hours. Results: IV acetaminophen showed earlier and higher plasma and CSF levels compared with PO or PR administration. CSF bioavailability over 6hours (AUC0-6) for IV, PO, and PR 1g was 24.9, 14.2, and 10.3μg·h/mL, respectively. No treatment-related adverse events were reported. One subject was replaced because of premature failure of his lumbar spinal catheter. The mean CSF level in the IV group was similar to plasma from 3 to 4hours and higher from 4hours on. Absorption phase, variability in plasma, and CSF were greater in PO and PR groups than variability with IV administration. Conclusions: These results demonstrate that earlier and greater CSF penetration occurs as a result of the earlier and higher plasma peak with IV administration compared with PO or PR. © 2012 Lotus Clinical Research, LLC Pain Practice © 2012 World Institute of Pain.","author":[{"dropping-particle":"","family":"Singla","given":"Neil K.","non-dropping-particle":"","parse-names":false,"suffix":""},{"dropping-particle":"","family":"Parulan","given":"Cherri","non-dropping-particle":"","parse-names":false,"suffix":""},{"dropping-particle":"","family":"Samson","given":"Roselle","non-dropping-particle":"","parse-names":false,"suffix":""},{"dropping-particle":"","family":"Hutchinson","given":"Joel","non-dropping-particle":"","parse-names":false,"suffix":""},{"dropping-particle":"","family":"Bushnell","given":"Rick","non-dropping-particle":"","parse-names":false,"suffix":""},{"dropping-particle":"","family":"Beja","given":"Evelyn G.","non-dropping-particle":"","parse-names":false,"suffix":""},{"dropping-particle":"","family":"Ang","given":"Robert","non-dropping-particle":"","parse-names":false,"suffix":""},{"dropping-particle":"","family":"Royal","given":"Mike A.","non-dropping-particle":"","parse-names":false,"suffix":""}],"container-title":"Pain Practice","id":"ITEM-2","issue":"7","issued":{"date-parts":[["2012"]]},"page":"523-532","title":"Plasma and Cerebrospinal Fluid Pharmacokinetic Parameters After Single-Dose Administration of Intravenous, Oral, or Rectal Acetaminophen","type":"article-journal","volume":"12"},"uris":["http://www.mendeley.com/documents/?uuid=190a425d-0056-4734-b100-742735a134b6"]}],"mendeley":{"formattedCitation":"[11, 12]","plainTextFormattedCitation":"[11, 12]","previouslyFormattedCitation":"[11, 12]"},"properties":{"noteIndex":0},"schema":"https://github.com/citation-style-language/schema/raw/master/csl-citation.json"}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[11, 12]</w:t>
            </w:r>
            <w:r w:rsidRPr="00C644C2">
              <w:rPr>
                <w:rFonts w:eastAsia="Times New Roman" w:cstheme="minorHAnsi"/>
                <w:color w:val="000000"/>
                <w:sz w:val="20"/>
                <w:szCs w:val="20"/>
              </w:rPr>
              <w:fldChar w:fldCharType="end"/>
            </w:r>
          </w:p>
        </w:tc>
      </w:tr>
      <w:tr w:rsidR="00624501" w:rsidRPr="00C644C2" w14:paraId="2615EAB2" w14:textId="77777777" w:rsidTr="00EF6F1E">
        <w:trPr>
          <w:trHeight w:val="300"/>
        </w:trPr>
        <w:tc>
          <w:tcPr>
            <w:tcW w:w="0" w:type="auto"/>
            <w:shd w:val="clear" w:color="auto" w:fill="F2F2F2" w:themeFill="background1" w:themeFillShade="F2"/>
            <w:noWrap/>
            <w:vAlign w:val="bottom"/>
          </w:tcPr>
          <w:p w14:paraId="78AE39C3"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Indomethacin</w:t>
            </w:r>
          </w:p>
        </w:tc>
        <w:tc>
          <w:tcPr>
            <w:tcW w:w="1873" w:type="dxa"/>
            <w:shd w:val="clear" w:color="auto" w:fill="auto"/>
            <w:noWrap/>
            <w:vAlign w:val="center"/>
          </w:tcPr>
          <w:p w14:paraId="4EEAE8F2"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24F7768A"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72" w:type="dxa"/>
            <w:shd w:val="clear" w:color="auto" w:fill="auto"/>
            <w:noWrap/>
            <w:vAlign w:val="center"/>
          </w:tcPr>
          <w:p w14:paraId="448B51D1"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2FCE95EB"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235A2DCB"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553" w:type="dxa"/>
            <w:shd w:val="clear" w:color="auto" w:fill="auto"/>
            <w:noWrap/>
            <w:vAlign w:val="center"/>
          </w:tcPr>
          <w:p w14:paraId="559B7AEB"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48C76FB9"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{"citationItems":[{"id":"ITEM-1","itemData":{"DOI":"10.1007/BF00315572","ISSN":"00316970","abstract":"Plasma and cerebrospinal fluid (CSF) concentrations of indomethacin have been determined in 52 patients hospitalized for nerve-root compression pain. Samples of blood and CSF were collected at the same time in each subject, 0.5 to 12 h after a single intramuscular injection of 50 mg indomethacin. Analgesic effect was assessed by the absolute and percentage variation in Huskisson's visual analogue scale between dosing and sampling. According to its high lipid solubility, indomethacin rapidly crossed the blood-brain barrier, being detected in CSF 0.5 h after administration. After attainment of equilibrium within 2 h, the CSF level exceeded the free plasma level. Since the drug was extensively bound to serum albumin (99.7±0.1%), this phenomenon may represent a slight degree of binding of indomethacin in CSF. The analgesic activity was not related to either the plasma or CSF concentration of indomethacin. © 1990 Springer-Verlag.","author":[{"dropping-particle":"","family":"Bannwarth","given":"B.","non-dropping-particle":"","parse-names":false,"suffix":""},{"dropping-particle":"","family":"Netter","given":"P.","non-dropping-particle":"","parse-names":false,"suffix":""},{"dropping-particle":"","family":"Lapicque","given":"F.","non-dropping-particle":"","parse-names":false,"suffix":""},{"dropping-particle":"","family":"Péré","given":"P.","non-dropping-particle":"","parse-names":false,"suffix":""},{"dropping-particle":"","family":"Thomas","given":"Ph","non-dropping-particle":"","parse-names":false,"suffix":""},{"dropping-particle":"","family":"Gaucher","given":"A.","non-dropping-particle":"","parse-names":false,"suffix":""}],"container-title":"European Journal of Clinical Pharmacology","id":"ITEM-1","issue":"4","issued":{"date-parts":[["1990"]]},"page":"343-346","title":"Plasma and cerebrospinal fluid concentrations of indomethacin in humans - Relationship to analgesic activity","type":"article-journal","volume":"38"},"uris":["http://www.mendeley.com/documents/?uuid=f10cf4ec-3c35-44e1-8631-1db862753756"]},{"id":"ITEM-2","itemData":{"DOI":"10.1124/jpet.107.121525","ISSN":"0022-3565","abstract":"The dispositions of 50 marketed central nervous system (CNS) drugs into the brain have been examined in terms of their rat in situ (P) and in vitro apparent membrane permeability (P(app)) alongside lipophilicity and free fraction in rat brain tissue. The inter-relationship between these parameters highlights that both permeability and brain tissue binding influence the uptake of drugs into the CNS. Hydrophilic compounds characterized by low brain tissue binding display a strong correlation (R(2) = 0.82) between P and P(app), whereas the uptake of more lipophilic compounds seems to be influenced by both P(app) and brain free fraction. A nonlinear relationship is observed between logP(oct) and P over the 6 orders of magnitude range in lipophilicity studied. These findings corroborate recent reports in the literature that brain penetration is a function of both rate and extent of drug uptake into the CNS.","author":[{"dropping-particle":"","family":"Summerfield","given":"S. G.","non-dropping-particle":"","parse-names":false,"suffix":""},{"dropping-particle":"","family":"Read","given":"K.","non-dropping-particle":"","parse-names":false,"suffix":""},{"dropping-particle":"","family":"Begley","given":"D. J.","non-dropping-particle":"","parse-names":false,"suffix":""},{"dropping-particle":"","family":"Obradovic","given":"T.","non-dropping-particle":"","parse-names":false,"suffix":""},{"dropping-particle":"","family":"Hidalgo","given":"I. J.","non-dropping-particle":"","parse-names":false,"suffix":""},{"dropping-particle":"","family":"Coggon","given":"S.","non-dropping-particle":"","parse-names":false,"suffix":""},{"dropping-particle":"V.","family":"Lewis","given":"A.","non-dropping-particle":"","parse-names":false,"suffix":""},{"dropping-particle":"","family":"Porter","given":"R. A.","non-dropping-particle":"","parse-names":false,"suffix":""},{"dropping-particle":"","family":"Jeffrey","given":"P.","non-dropping-particle":"","parse-names":false,"suffix":""}],"container-title":"Journal of Pharmacology and Experimental Therapeutics","id":"ITEM-2","issue":"1","issued":{"date-parts":[["2007"]]},"page":"205-213","title":"Central Nervous System Drug Disposition: The Relationship between in Situ Brain Permeability and Brain Free Fraction","type":"article-journal","volume":"322"},"uris":["http://www.mendeley.com/documents/?uuid=be76b3e1-7d9f-4894-8e08-42ce7a870af3"]}],"mendeley":{"formattedCitation":"[13, 14]","plainTextFormattedCitation":"[13, 14]","previouslyFormattedCitation":"[13, 14]"},"properties":{"noteIndex":0},"schema":"https://github.com/citation-style-language/schema/raw/master/csl-citation.json"}</w:instrText>
            </w:r>
            <w:r w:rsidRPr="00C644C2">
              <w:rPr>
                <w:rFonts w:eastAsia="Times New Roman" w:cstheme="minorHAnsi"/>
                <w:color w:val="000000"/>
                <w:sz w:val="20"/>
                <w:szCs w:val="20"/>
              </w:rPr>
              <w:fldChar w:fldCharType="separate"/>
            </w:r>
            <w:r w:rsidR="0058321B" w:rsidRPr="00C644C2">
              <w:rPr>
                <w:rFonts w:eastAsia="Times New Roman" w:cstheme="minorHAnsi"/>
                <w:noProof/>
                <w:color w:val="000000"/>
                <w:sz w:val="20"/>
                <w:szCs w:val="20"/>
              </w:rPr>
              <w:t>[13, 14]</w:t>
            </w:r>
            <w:r w:rsidRPr="00C644C2">
              <w:rPr>
                <w:rFonts w:eastAsia="Times New Roman" w:cstheme="minorHAnsi"/>
                <w:color w:val="000000"/>
                <w:sz w:val="20"/>
                <w:szCs w:val="20"/>
              </w:rPr>
              <w:fldChar w:fldCharType="end"/>
            </w:r>
          </w:p>
        </w:tc>
      </w:tr>
      <w:tr w:rsidR="00624501" w:rsidRPr="00C644C2" w14:paraId="1EF2D3D3" w14:textId="77777777" w:rsidTr="00EF6F1E">
        <w:trPr>
          <w:trHeight w:val="300"/>
        </w:trPr>
        <w:tc>
          <w:tcPr>
            <w:tcW w:w="0" w:type="auto"/>
            <w:shd w:val="clear" w:color="auto" w:fill="F2F2F2" w:themeFill="background1" w:themeFillShade="F2"/>
            <w:noWrap/>
            <w:vAlign w:val="bottom"/>
          </w:tcPr>
          <w:p w14:paraId="31D96404"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Morphine</w:t>
            </w:r>
          </w:p>
        </w:tc>
        <w:tc>
          <w:tcPr>
            <w:tcW w:w="1873" w:type="dxa"/>
            <w:shd w:val="clear" w:color="auto" w:fill="auto"/>
            <w:noWrap/>
            <w:vAlign w:val="center"/>
          </w:tcPr>
          <w:p w14:paraId="7BDEAD83"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28B38668"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872" w:type="dxa"/>
            <w:shd w:val="clear" w:color="auto" w:fill="auto"/>
            <w:noWrap/>
            <w:vAlign w:val="center"/>
          </w:tcPr>
          <w:p w14:paraId="0A381B8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2584B20E"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6EAF9CC6"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553" w:type="dxa"/>
            <w:shd w:val="clear" w:color="auto" w:fill="auto"/>
            <w:noWrap/>
            <w:vAlign w:val="center"/>
          </w:tcPr>
          <w:p w14:paraId="621E420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3DD7E82D"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{"citationItems":[{"id":"ITEM-1","itemData":{"DOI":"10.1046/j.1365-2125.2003.02032.x","ISSN":"03065251","abstract":"Aims: In experimental studies, morphine pharmacokinetics is different in the brain compared with other tissues due to the properties of the blood-brain barrier, including action of efflux pumps. It was hypothesized in this clinical study that active efflux of morphine occurs also in human brain, and that brain injury would alter cerebral morphine pharmacokinetics. Methods: Patients with traumatic brain injury, equipped with one to three microdialysis catheters in the brain and one in abdominal subcutaneous fat for metabolic monitoring, were studied. The cerebral catheter locations were classified as 'better' and 'worse' brain tissue, referring to the degree of injury. Morphine (10 mg) was infused intravenously over a 10-min period in seven patients in the intensive care setting. Tissue and plasma morphine concentrations were obtained during the subsequent 3-h period with microdialysis and regular blood sampling. Results: The area under the concentration-time curve (AUC) ratio of unbound morphine in brain tissue to plasma was 0.64 (95% confidence interval 0.40, 0.87) in 'better' brain tissue (P &lt; 0.05 vs. the subcutaneous fat/plasma ratio), 0.78 (0.49, 1.07) in 'worse' brain tissue and 1.00 (0.86, 1.13) in subcutaneous fat. The terminal half-life and Tmax were longer in the brain vs. plasma and fat, respectively. The relative recovery for morphine was higher in 'better' than in 'worse' brain tissue. The Tmax value tended to be shorter in 'worse' brain tissue. Conclusions: The unbound AUC ratio below unity in the 'better' human brain tissue demonstrates an active efflux of morphine across the blood-brain barrier. The 'worse' brain tissue shows a decrease in relative recovery for morphine and in some cases also an increase in permeability for morphine over the blood-brain barrier.","author":[{"dropping-particle":"","family":"Ederoth","given":"Per","non-dropping-particle":"","parse-names":false,"suffix":""},{"dropping-particle":"","family":"Tunblad","given":"Karin","non-dropping-particle":"","parse-names":false,"suffix":""},{"dropping-particle":"","family":"Bouw","given":"René","non-dropping-particle":"","parse-names":false,"suffix":""},{"dropping-particle":"","family":"Lundberg","given":"C. Johan F.","non-dropping-particle":"","parse-names":false,"suffix":""},{"dropping-particle":"","family":"Ungerstedt","given":"Urban","non-dropping-particle":"","parse-names":false,"suffix":""},{"dropping-particle":"","family":"Nordström","given":"Carl Henrik","non-dropping-particle":"","parse-names":false,"suffix":""},{"dropping-particle":"","family":"Hammarlund-Udenaes","given":"Margareta","non-dropping-particle":"","parse-names":false,"suffix":""}],"container-title":"British Journal of Clinical Pharmacology","id":"ITEM-1","issue":"4","issued":{"date-parts":[["2004"]]},"page":"427-435","title":"Blood-brain barrier transport of morphine in patients with severe brain trauma","type":"article-journal","volume":"57"},"uris":["http://www.mendeley.com/documents/?uuid=158f2acf-55e5-4aac-b5d7-83860b03afba"]}],"mendeley":{"formattedCitation":"[15]","plainTextFormattedCitation":"[15]","previouslyFormattedCitation":"[15]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[15]</w:t>
            </w:r>
            <w:r w:rsidRPr="00C644C2">
              <w:rPr>
                <w:rFonts w:eastAsia="Times New Roman" w:cstheme="minorHAnsi"/>
                <w:color w:val="000000"/>
                <w:sz w:val="20"/>
                <w:szCs w:val="20"/>
              </w:rPr>
              <w:fldChar w:fldCharType="end"/>
            </w:r>
          </w:p>
        </w:tc>
      </w:tr>
      <w:tr w:rsidR="00624501" w:rsidRPr="00C644C2" w14:paraId="5C83D1DF" w14:textId="77777777" w:rsidTr="00EF6F1E">
        <w:trPr>
          <w:trHeight w:val="300"/>
        </w:trPr>
        <w:tc>
          <w:tcPr>
            <w:tcW w:w="0" w:type="auto"/>
            <w:shd w:val="clear" w:color="auto" w:fill="F2F2F2" w:themeFill="background1" w:themeFillShade="F2"/>
            <w:noWrap/>
            <w:vAlign w:val="bottom"/>
          </w:tcPr>
          <w:p w14:paraId="64B51872" w14:textId="77777777" w:rsidR="00624501" w:rsidRPr="00C644C2" w:rsidRDefault="00624501" w:rsidP="00EF6F1E">
            <w:pPr>
              <w:spacing w:after="0" w:line="276" w:lineRule="auto"/>
              <w:rPr>
                <w:rFonts w:eastAsia="Times New Roman" w:cstheme="minorHAnsi"/>
                <w:color w:val="000000"/>
                <w:sz w:val="20"/>
                <w:szCs w:val="20"/>
              </w:rPr>
            </w:pPr>
            <w:r w:rsidRPr="00C644C2">
              <w:rPr>
                <w:rFonts w:eastAsia="Times New Roman" w:cstheme="minorHAnsi"/>
                <w:color w:val="000000"/>
                <w:sz w:val="20"/>
                <w:szCs w:val="20"/>
              </w:rPr>
              <w:t>Oxycodone</w:t>
            </w:r>
          </w:p>
        </w:tc>
        <w:tc>
          <w:tcPr>
            <w:tcW w:w="1873" w:type="dxa"/>
            <w:shd w:val="clear" w:color="auto" w:fill="auto"/>
            <w:noWrap/>
            <w:vAlign w:val="center"/>
          </w:tcPr>
          <w:p w14:paraId="1277C29B"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164" w:type="dxa"/>
            <w:shd w:val="clear" w:color="auto" w:fill="auto"/>
            <w:noWrap/>
            <w:vAlign w:val="center"/>
          </w:tcPr>
          <w:p w14:paraId="17716B15"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72" w:type="dxa"/>
            <w:shd w:val="clear" w:color="auto" w:fill="auto"/>
            <w:noWrap/>
            <w:vAlign w:val="center"/>
          </w:tcPr>
          <w:p w14:paraId="7525D600"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1086" w:type="dxa"/>
            <w:shd w:val="clear" w:color="auto" w:fill="auto"/>
            <w:noWrap/>
            <w:vAlign w:val="center"/>
          </w:tcPr>
          <w:p w14:paraId="478FA1E1"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854" w:type="dxa"/>
          </w:tcPr>
          <w:p w14:paraId="6C421385"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t>X</w:t>
            </w:r>
          </w:p>
        </w:tc>
        <w:tc>
          <w:tcPr>
            <w:tcW w:w="1553" w:type="dxa"/>
            <w:shd w:val="clear" w:color="auto" w:fill="auto"/>
            <w:noWrap/>
            <w:vAlign w:val="center"/>
          </w:tcPr>
          <w:p w14:paraId="3DF3CCE7" w14:textId="77777777" w:rsidR="00624501" w:rsidRPr="00C644C2" w:rsidRDefault="00624501" w:rsidP="00EF6F1E">
            <w:pPr>
              <w:spacing w:after="0" w:line="276" w:lineRule="auto"/>
              <w:jc w:val="center"/>
              <w:rPr>
                <w:rFonts w:eastAsia="Times New Roman" w:cstheme="minorHAnsi"/>
                <w:color w:val="000000"/>
                <w:sz w:val="20"/>
                <w:szCs w:val="20"/>
              </w:rPr>
            </w:pPr>
          </w:p>
        </w:tc>
        <w:tc>
          <w:tcPr>
            <w:tcW w:w="4384" w:type="dxa"/>
            <w:shd w:val="clear" w:color="auto" w:fill="auto"/>
            <w:noWrap/>
            <w:vAlign w:val="center"/>
          </w:tcPr>
          <w:p w14:paraId="4D088FDC" w14:textId="77777777" w:rsidR="00624501" w:rsidRPr="00C644C2" w:rsidRDefault="00624501" w:rsidP="00EF6F1E">
            <w:pPr>
              <w:spacing w:after="0" w:line="276"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{"citationItems":[{"id":"ITEM-1","itemData":{"DOI":"10.1093/bja/aet337","ISSN":"14716771","abstract":"BackgroundDespite being increasingly used for pain management, only two studies, with controversial results, have evaluated the epidural use of oxycodone.MethodsTwenty-four women, aged 26-64 yr, undergoing elective gynaecological surgery were enrolled in this randomized, double-blinded, parallel group study. The subjects were administered either i.v. oxycodone and epidural placebo (IV group; n=12) or epidural oxycodone and i.v. placebo (EPI group; n=12) after operation. Oxycodone was administered as a single dose of 0.1 mg kg-1. An epidural catheter for drug administration was placed at T12/L1 and a spinal catheter for cerebrospinal fluid (CSF) sampling at L3/4. Plasma and CSF were frequently collected for the analysis of oxycodone and its major metabolites. The primary outcomes were the peak concentration (C max), time to peak concentration (Tmax), and the exposure (AUClast) of oxycodone in CSF and plasma. The secondary outcome was the analgesic efficacy, measured as the total dose of rescue fentanyl during the first four postoperative hours.ResultsIn the EPI group, the median oxycodone Cmax and AUClast in the CSF were 320-and 120-fold higher, respectively, compared with the IV group. The total dose of rescue fentanyl was significantly lower in the EPI group (seven subjects needed 16 doses) than in the IV group [12 subjects needed 71 doses (P=0.001)]. No serious or unexpected adverse events were reported.ConclusionsEpidural oxycodone provides much higher CSF concentrations and possibly better analgesic efficacy than does i.v. oxycodone.Clinical trial registrationEudraCT reference number: 2011-000125-76. © 2014 The Author .","author":[{"dropping-particle":"","family":"Kokki","given":"M.","non-dropping-particle":"","parse-names":false,"suffix":""},{"dropping-particle":"","family":"Välitalo","given":"P.","non-dropping-particle":"","parse-names":false,"suffix":""},{"dropping-particle":"","family":"Kuusisto","given":"M.","non-dropping-particle":"","parse-names":false,"suffix":""},{"dropping-particle":"","family":"Ranta","given":"V. P.","non-dropping-particle":"","parse-names":false,"suffix":""},{"dropping-particle":"","family":"Raatikainen","given":"K.","non-dropping-particle":"","parse-names":false,"suffix":""},{"dropping-particle":"","family":"Hautajärvi","given":"H.","non-dropping-particle":"","parse-names":false,"suffix":""},{"dropping-particle":"","family":"Kokki","given":"H.","non-dropping-particle":"","parse-names":false,"suffix":""}],"container-title":"British Journal of Anaesthesia","id":"ITEM-1","issue":"1","issued":{"date-parts":[["2014"]]},"page":"133-140","title":"Central nervous system penetration of oxycodone after intravenous and epidural administration","type":"article-journal","volume":"112"},"uris":["http://www.mendeley.com/documents/?uuid=a370aa67-5225-4b08-bb8e-1e5d2e9832bf"]}],"mendeley":{"formattedCitation":"[16]","plainTextFormattedCitation":"[16]","previouslyFormattedCitation":"[16]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[16]</w:t>
            </w:r>
            <w:r w:rsidRPr="00C644C2">
              <w:rPr>
                <w:rFonts w:eastAsia="Times New Roman" w:cstheme="minorHAnsi"/>
                <w:color w:val="000000"/>
                <w:sz w:val="20"/>
                <w:szCs w:val="20"/>
              </w:rPr>
              <w:fldChar w:fldCharType="end"/>
            </w:r>
          </w:p>
        </w:tc>
      </w:tr>
    </w:tbl>
    <w:p w14:paraId="481747E1" w14:textId="77777777" w:rsidR="006C6712" w:rsidRPr="00C644C2" w:rsidRDefault="006C6712">
      <w:pPr>
        <w:rPr>
          <w:rFonts w:cstheme="minorHAnsi"/>
          <w:b/>
          <w:sz w:val="20"/>
          <w:szCs w:val="20"/>
        </w:rPr>
      </w:pPr>
      <w:r w:rsidRPr="00C644C2">
        <w:rPr>
          <w:rFonts w:cstheme="minorHAnsi"/>
          <w:b/>
          <w:sz w:val="20"/>
          <w:szCs w:val="20"/>
        </w:rPr>
        <w:br w:type="page"/>
      </w:r>
    </w:p>
    <w:p w14:paraId="402D63D8" w14:textId="77777777" w:rsidR="00431683" w:rsidRPr="00C644C2" w:rsidRDefault="00431683" w:rsidP="00431683">
      <w:pPr>
        <w:rPr>
          <w:rFonts w:cstheme="minorHAnsi"/>
          <w:sz w:val="20"/>
          <w:szCs w:val="20"/>
        </w:rPr>
      </w:pPr>
      <w:r w:rsidRPr="00C644C2">
        <w:rPr>
          <w:rFonts w:cstheme="minorHAnsi"/>
          <w:b/>
          <w:sz w:val="20"/>
          <w:szCs w:val="20"/>
        </w:rPr>
        <w:lastRenderedPageBreak/>
        <w:t xml:space="preserve">Supplementary table </w:t>
      </w:r>
      <w:r w:rsidR="00624501" w:rsidRPr="00C644C2">
        <w:rPr>
          <w:rFonts w:cstheme="minorHAnsi"/>
          <w:b/>
          <w:sz w:val="20"/>
          <w:szCs w:val="20"/>
        </w:rPr>
        <w:t>2</w:t>
      </w:r>
      <w:r w:rsidRPr="00C644C2">
        <w:rPr>
          <w:rFonts w:cstheme="minorHAnsi"/>
          <w:b/>
          <w:sz w:val="20"/>
          <w:szCs w:val="20"/>
        </w:rPr>
        <w:t>:</w:t>
      </w:r>
      <w:r w:rsidRPr="00C644C2">
        <w:rPr>
          <w:rFonts w:cstheme="minorHAnsi"/>
          <w:sz w:val="20"/>
          <w:szCs w:val="20"/>
        </w:rPr>
        <w:t xml:space="preserve"> </w:t>
      </w:r>
      <w:r w:rsidR="00687C43" w:rsidRPr="00C644C2">
        <w:rPr>
          <w:rFonts w:cstheme="minorHAnsi"/>
          <w:sz w:val="20"/>
          <w:szCs w:val="20"/>
        </w:rPr>
        <w:t>LeiCNS-PK3.0</w:t>
      </w:r>
      <w:r w:rsidRPr="00C644C2">
        <w:rPr>
          <w:rFonts w:cstheme="minorHAnsi"/>
          <w:sz w:val="20"/>
          <w:szCs w:val="20"/>
        </w:rPr>
        <w:t xml:space="preserve"> physiological parameters values of rats and humans</w:t>
      </w:r>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913"/>
        <w:gridCol w:w="1907"/>
        <w:gridCol w:w="3685"/>
        <w:gridCol w:w="1701"/>
        <w:gridCol w:w="4111"/>
      </w:tblGrid>
      <w:tr w:rsidR="00431683" w:rsidRPr="00C644C2" w14:paraId="050E0A66" w14:textId="77777777" w:rsidTr="00154697">
        <w:trPr>
          <w:trHeight w:val="78"/>
          <w:tblHeader/>
        </w:trPr>
        <w:tc>
          <w:tcPr>
            <w:tcW w:w="4473" w:type="dxa"/>
            <w:gridSpan w:val="2"/>
            <w:shd w:val="clear" w:color="000000" w:fill="D9D9D9"/>
            <w:noWrap/>
            <w:vAlign w:val="center"/>
          </w:tcPr>
          <w:p w14:paraId="285C3EE5"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Species</w:t>
            </w:r>
          </w:p>
        </w:tc>
        <w:tc>
          <w:tcPr>
            <w:tcW w:w="5592" w:type="dxa"/>
            <w:gridSpan w:val="2"/>
            <w:shd w:val="clear" w:color="000000" w:fill="D9D9D9"/>
            <w:noWrap/>
            <w:vAlign w:val="center"/>
          </w:tcPr>
          <w:p w14:paraId="75E5A078"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Rat values</w:t>
            </w:r>
          </w:p>
        </w:tc>
        <w:tc>
          <w:tcPr>
            <w:tcW w:w="5812" w:type="dxa"/>
            <w:gridSpan w:val="2"/>
            <w:shd w:val="clear" w:color="000000" w:fill="D9D9D9"/>
          </w:tcPr>
          <w:p w14:paraId="054A0E2A"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Human values</w:t>
            </w:r>
          </w:p>
        </w:tc>
      </w:tr>
      <w:tr w:rsidR="00431683" w:rsidRPr="00C644C2" w14:paraId="54AC8E8F" w14:textId="77777777" w:rsidTr="00154697">
        <w:trPr>
          <w:trHeight w:val="78"/>
          <w:tblHeader/>
        </w:trPr>
        <w:tc>
          <w:tcPr>
            <w:tcW w:w="4473" w:type="dxa"/>
            <w:gridSpan w:val="2"/>
            <w:shd w:val="clear" w:color="000000" w:fill="D9D9D9"/>
            <w:noWrap/>
            <w:vAlign w:val="center"/>
            <w:hideMark/>
          </w:tcPr>
          <w:p w14:paraId="06B193D2"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Parameter</w:t>
            </w:r>
          </w:p>
        </w:tc>
        <w:tc>
          <w:tcPr>
            <w:tcW w:w="1907" w:type="dxa"/>
            <w:shd w:val="clear" w:color="000000" w:fill="D9D9D9"/>
            <w:noWrap/>
            <w:vAlign w:val="center"/>
          </w:tcPr>
          <w:p w14:paraId="65808B92"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Value</w:t>
            </w:r>
          </w:p>
          <w:p w14:paraId="0F77474B"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 xml:space="preserve"> (range)</w:t>
            </w:r>
          </w:p>
        </w:tc>
        <w:tc>
          <w:tcPr>
            <w:tcW w:w="3685" w:type="dxa"/>
            <w:shd w:val="clear" w:color="000000" w:fill="D9D9D9"/>
            <w:noWrap/>
            <w:vAlign w:val="center"/>
            <w:hideMark/>
          </w:tcPr>
          <w:p w14:paraId="6DF6C742"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Reference</w:t>
            </w:r>
          </w:p>
        </w:tc>
        <w:tc>
          <w:tcPr>
            <w:tcW w:w="1701" w:type="dxa"/>
            <w:shd w:val="clear" w:color="000000" w:fill="D9D9D9"/>
            <w:vAlign w:val="center"/>
          </w:tcPr>
          <w:p w14:paraId="2F4725F7"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 xml:space="preserve">Value </w:t>
            </w:r>
          </w:p>
          <w:p w14:paraId="5788394A"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(range)</w:t>
            </w:r>
          </w:p>
        </w:tc>
        <w:tc>
          <w:tcPr>
            <w:tcW w:w="4111" w:type="dxa"/>
            <w:shd w:val="clear" w:color="000000" w:fill="D9D9D9"/>
            <w:vAlign w:val="center"/>
          </w:tcPr>
          <w:p w14:paraId="200AAD71"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Reference</w:t>
            </w:r>
          </w:p>
        </w:tc>
      </w:tr>
      <w:tr w:rsidR="00431683" w:rsidRPr="00C644C2" w14:paraId="763F9FF4" w14:textId="77777777" w:rsidTr="00154697">
        <w:trPr>
          <w:trHeight w:val="78"/>
        </w:trPr>
        <w:tc>
          <w:tcPr>
            <w:tcW w:w="1560" w:type="dxa"/>
            <w:vMerge w:val="restart"/>
            <w:shd w:val="clear" w:color="000000" w:fill="D9D9D9"/>
            <w:vAlign w:val="center"/>
            <w:hideMark/>
          </w:tcPr>
          <w:p w14:paraId="7AE5DADD"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Volumes</w:t>
            </w:r>
            <w:r w:rsidRPr="00C644C2">
              <w:rPr>
                <w:rFonts w:eastAsia="Times New Roman" w:cstheme="minorHAnsi"/>
                <w:b/>
                <w:bCs/>
                <w:color w:val="000000"/>
                <w:sz w:val="20"/>
                <w:szCs w:val="20"/>
              </w:rPr>
              <w:br/>
              <w:t>(mL)</w:t>
            </w:r>
          </w:p>
        </w:tc>
        <w:tc>
          <w:tcPr>
            <w:tcW w:w="2913" w:type="dxa"/>
            <w:shd w:val="clear" w:color="auto" w:fill="auto"/>
            <w:noWrap/>
            <w:vAlign w:val="center"/>
            <w:hideMark/>
          </w:tcPr>
          <w:p w14:paraId="5F0A4519"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Total brain</w:t>
            </w:r>
            <w:r w:rsidR="00FF605E" w:rsidRPr="00C644C2">
              <w:rPr>
                <w:rFonts w:eastAsia="Times New Roman" w:cstheme="minorHAnsi"/>
                <w:color w:val="000000"/>
                <w:sz w:val="20"/>
                <w:szCs w:val="20"/>
              </w:rPr>
              <w:t xml:space="preserve"> (</w:t>
            </w:r>
            <w:proofErr w:type="spellStart"/>
            <w:r w:rsidR="00FF605E" w:rsidRPr="00C644C2">
              <w:rPr>
                <w:rFonts w:eastAsia="Times New Roman" w:cstheme="minorHAnsi"/>
                <w:color w:val="000000"/>
                <w:sz w:val="20"/>
                <w:szCs w:val="20"/>
              </w:rPr>
              <w:t>V</w:t>
            </w:r>
            <w:r w:rsidR="00FF605E" w:rsidRPr="00C644C2">
              <w:rPr>
                <w:rFonts w:eastAsia="Times New Roman" w:cstheme="minorHAnsi"/>
                <w:color w:val="000000"/>
                <w:sz w:val="20"/>
                <w:szCs w:val="20"/>
                <w:vertAlign w:val="subscript"/>
              </w:rPr>
              <w:t>tot</w:t>
            </w:r>
            <w:proofErr w:type="spellEnd"/>
            <w:r w:rsidR="00FF605E" w:rsidRPr="00C644C2">
              <w:rPr>
                <w:rFonts w:eastAsia="Times New Roman" w:cstheme="minorHAnsi"/>
                <w:color w:val="000000"/>
                <w:sz w:val="20"/>
                <w:szCs w:val="20"/>
              </w:rPr>
              <w:t>)</w:t>
            </w:r>
          </w:p>
        </w:tc>
        <w:tc>
          <w:tcPr>
            <w:tcW w:w="1907" w:type="dxa"/>
            <w:shd w:val="clear" w:color="auto" w:fill="auto"/>
            <w:noWrap/>
            <w:vAlign w:val="center"/>
            <w:hideMark/>
          </w:tcPr>
          <w:p w14:paraId="2809B0D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1.8</w:t>
            </w:r>
            <w:r w:rsidRPr="00691E3C">
              <w:rPr>
                <w:rStyle w:val="FootnoteReference"/>
              </w:rPr>
              <w:footnoteReference w:id="1"/>
            </w:r>
          </w:p>
        </w:tc>
        <w:tc>
          <w:tcPr>
            <w:tcW w:w="3685" w:type="dxa"/>
            <w:shd w:val="clear" w:color="auto" w:fill="auto"/>
            <w:vAlign w:val="center"/>
          </w:tcPr>
          <w:p w14:paraId="16D1088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{"citationItems":[{"id":"ITEM-1","itemData":{"DOI":"10.1016/0165-0270(91)90103-7","ISSN":"01650270","abstract":"In this paper we introduce and characterize pycnometry, a method used to measure fluid density, for determining a tissue's specific gravity. It uses a 2-ml glass pycnometer filled with distilled water to determine a tissue sample's displacement volume. The tissue's density is determined when it's weight is divided by this volume and specific gravity is computed by dividing the tissue density by the density of water. Pycnometry was validated using pre-calibrated glass, specific gravity standards over the range 1.03-1.26, and compared to the density gradient method using rat brain tissue. We observed that the specific gravity values obtained using pycnometry were highly correlated with the specific gravity standards (slope = 1.0107, r = 0.996) and with the density gradient column when tissue volumes larger than 0.120 ml were used with the pycnometer (slope = 1.0707, r = 0.9826). Good correlation was also observed between percent water content values computed using the Nelson equation with pycnometry or density gradient specific gravity values versus the measured percent water content values obtained with the wet weight/dry weight method. Pycnometry is an accurate, reproducible technique to measure tissue specific gravity and brain edema and is best suited for use in a laboratory that engages sporadically in brain edema measurement. © 1991.","author":[{"dropping-particle":"","family":"DiResta","given":"Gene Robert","non-dropping-particle":"","parse-names":false,"suffix":""},{"dropping-particle":"","family":"Lee","given":"Jongbin","non-dropping-particle":"","parse-names":false,"suffix":""},{"dropping-particle":"","family":"Arbit","given":"Ehud","non-dropping-particle":"","parse-names":false,"suffix":""}],"container-title":"Journal of Neuroscience Methods","id":"ITEM-1","issue":"3","issued":{"date-parts":[["1991"]]},"page":"245-251","title":"Measurement of brain tissue specific gravity using pycnometry","type":"article-journal","volume":"39"},"uris":["http://www.mendeley.com/documents/?uuid=2ba7a504-d10b-42ac-808b-2acdd24904a4"]},{"id":"ITEM-2","itemData":{"DOI":"10.1007/BF02353329","ISSN":"0090466X","abstract":"We attempted to predict the delivery of ofloxacin (OFLX), a new quinolone antibacterial agent (NQ), into cerebrospinal fluid (CSF) in the human based on the physiological properties and pharmacokinetic parameters of NQs in various animals. Physiological properties for evaluation of drug delivery into CSF such as volume and the bulk flow rate of CSF and weight of choroid plexus, were compared among the rat, rabbit, cat, dog, and human. Statistically significant correlations with power values of 0.82-0.89 in the linear regression were observed on log-log plots between brain weight and those properties of each species. Delivery of OFLX into CSF from blood was analyzed by \"diffusion and flow model\" with unidirectional efflux process from CSF to blood. The blood-CSF diffusion clearance and the efflux clearance of OFLX in the human were extrapolated from animal data based on the allometric correlations between brain weight and these parameters in the rat, rabbit, and dog. The apparent volume of distribution and the total body clearance of NQs in the human could also be predicted from animal data based on the classical Adolph-Dedrick approach. To simulate the CSF concentration-time profile of OFLX in the human by using these predicted parameters, it was necessary to consider both the lumbar CSF compartment and the ventricular CSF compartment. Both plasma and CSF concentration-time profiles of OFLX predicted from only animal experimental data were in good agreement with those observed clinically.","author":[{"dropping-particle":"","family":"Kawakami","given":"Junichi","non-dropping-particle":"","parse-names":false,"suffix":""},{"dropping-particle":"","family":"Yamamoto","given":"Koujirou","non-dropping-particle":"","parse-names":false,"suffix":""},{"dropping-particle":"","family":"Sawada","given":"Yasufumi","non-dropping-particle":"","parse-names":false,"suffix":""},{"dropping-particle":"","family":"Iga","given":"Tatsuji","non-dropping-particle":"","parse-names":false,"suffix":""}],"container-title":"Journal of Pharmacokinetics and Biopharmaceutics","id":"ITEM-2","issue":"3","issued":{"date-parts":[["1994"]]},"page":"207-227","title":"Prediction of brain delivery of ofloxacin, a new quinolone, in the human from animal data","type":"article-journal","volume":"22"},"uris":["http://www.mendeley.com/documents/?uuid=817e5bff-1a45-4bbe-b86d-59df076757af"]}],"mendeley":{"formattedCitation":"[17, 18]","plainTextFormattedCitation":"[17, 18]","previouslyFormattedCitation":"[17, 18]"},"properties":{"noteIndex":0},"schema":"https://github.com/citation-style-language/schema/raw/master/csl-citation.json"}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[17, 18]</w:t>
            </w:r>
            <w:r w:rsidRPr="00C644C2">
              <w:rPr>
                <w:rFonts w:eastAsia="Times New Roman" w:cstheme="minorHAnsi"/>
                <w:color w:val="000000"/>
                <w:sz w:val="20"/>
                <w:szCs w:val="20"/>
              </w:rPr>
              <w:fldChar w:fldCharType="end"/>
            </w:r>
          </w:p>
        </w:tc>
        <w:tc>
          <w:tcPr>
            <w:tcW w:w="1701" w:type="dxa"/>
            <w:vAlign w:val="center"/>
          </w:tcPr>
          <w:p w14:paraId="6C40411C" w14:textId="77777777" w:rsidR="00431683" w:rsidRPr="00C644C2" w:rsidRDefault="00431683" w:rsidP="006B306D">
            <w:pPr>
              <w:spacing w:after="0" w:line="240" w:lineRule="auto"/>
              <w:jc w:val="center"/>
              <w:rPr>
                <w:rFonts w:eastAsia="Times New Roman" w:cstheme="minorHAnsi"/>
                <w:color w:val="000000"/>
                <w:sz w:val="20"/>
                <w:szCs w:val="20"/>
                <w:vertAlign w:val="superscript"/>
              </w:rPr>
            </w:pPr>
            <w:r w:rsidRPr="00C644C2">
              <w:rPr>
                <w:rFonts w:eastAsia="Times New Roman" w:cstheme="minorHAnsi"/>
                <w:color w:val="000000"/>
                <w:sz w:val="20"/>
                <w:szCs w:val="20"/>
              </w:rPr>
              <w:t>12</w:t>
            </w:r>
            <w:r w:rsidR="00EF6F1E" w:rsidRPr="00C644C2">
              <w:rPr>
                <w:rFonts w:eastAsia="Times New Roman" w:cstheme="minorHAnsi"/>
                <w:color w:val="000000"/>
                <w:sz w:val="20"/>
                <w:szCs w:val="20"/>
              </w:rPr>
              <w:t>50</w:t>
            </w:r>
          </w:p>
          <w:p w14:paraId="780EBFDC"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 (1110 - 1380)</w:t>
            </w:r>
          </w:p>
        </w:tc>
        <w:tc>
          <w:tcPr>
            <w:tcW w:w="4111" w:type="dxa"/>
            <w:vAlign w:val="center"/>
          </w:tcPr>
          <w:p w14:paraId="68E3625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{"citationItems":[{"id":"ITEM-1","itemData":{"DOI":"10.1148/radiology.216.3.r00au37672","ISBN":"0033-8419","abstract":"PURPOSE: To quantitate neuroanatomic parameters in healthy volunteers and to compare the values with normative values from postmortem studies.MATERIALS AND METHODS: Magnetic resonance (MR) images of 116 volunteers aged 19 months to 80 years were analyzed with semiautomated procedures validated by means of comparison with manual tracings. Volumes measured included intracranial space, whole brain, gray matter (GM), white matter (WM), and cerebrospinal fluid (CSF). Results were compared with values from previous postmortem studies.RESULTS: Whole brain and intracranial space grew by 25%–27% between early childhood (mean age, 26 months; age range, 19–33 months) and adolescence (mean age, 14 years; age range, 12–15 years); thereafter, whole-brain volume decreased such that volunteers (age range, 71–80 years) had volumes similar to those of young children. GM increased 13% from early to later (6–9 years) childhood. Thereafter, GM increased more slowly and reached a plateau in the 4th decade; it decreased by 13% in the oldest volunteers. The GM-WM ratio decreased exponentially from early childhood through the 4th decade; thereafter, it gradually declined. In vivo patterns of change in the intracranial space, whole brain, and GM-WM ratio agreed with published postmortem data.CONCLUSION: MR images accurately depict normal patterns of age-related change in intracranial space, whole brain, GM, WM, and CSF. These quantitative MR imaging data can be used in research studies and clinical settings for the detection of abnormalities in fundamental neuroanatomic parameters.","author":[{"dropping-particle":"","family":"Courchesne","given":"Eric","non-dropping-particle":"","parse-names":false,"suffix":""},{"dropping-particle":"","family":"Chisum","given":"Heather J","non-dropping-particle":"","parse-names":false,"suffix":""},{"dropping-particle":"","family":"Townsend","given":"Jeanne","non-dropping-particle":"","parse-names":false,"suffix":""},{"dropping-particle":"","family":"Cowles","given":"Angilene","non-dropping-particle":"","parse-names":false,"suffix":""},{"dropping-particle":"","family":"Covington","given":"James","non-dropping-particle":"","parse-names":false,"suffix":""},{"dropping-particle":"","family":"Egaas","given":"Brian","non-dropping-particle":"","parse-names":false,"suffix":""},{"dropping-particle":"","family":"Harwood","given":"Mark","non-dropping-particle":"","parse-names":false,"suffix":""},{"dropping-particle":"","family":"Hinds","given":"Stuart","non-dropping-particle":"","parse-names":false,"suffix":""},{"dropping-particle":"","family":"Press","given":"Gary A","non-dropping-particle":"","parse-names":false,"suffix":""}],"container-title":"Radiology","id":"ITEM-1","issue":"3","issued":{"date-parts":[["2000"]]},"page":"672-682","title":"Normal Brain Development and Aging: Quantitative Analysis at in Vivo MR Imaging in Healthy Volunteers","title-short":"Normal Brain Development and Aging","type":"article-journal","volume":"216"},"uris":["http://www.mendeley.com/documents/?uuid=7378bdee-b4c7-43b8-8c7a-9f9469707a54"]},{"id":"ITEM-2","itemData":{"DOI":"10.1093/cercor/4.4.344","ISBN":"1047-3211, 1460-2199","author":[{"dropping-particle":"","family":"Filipek","given":"P A","non-dropping-particle":"","parse-names":false,"suffix":""},{"dropping-particle":"","family":"Richelme","given":"C","non-dropping-particle":"","parse-names":false,"suffix":""},{"dropping-particle":"","family":"Kennedy","given":"D N","non-dropping-particle":"","parse-names":false,"suffix":""},{"dropping-particle":"","family":"Caviness","given":"V S","non-dropping-particle":"","parse-names":false,"suffix":""}],"container-title":"Cerebral Cortex","id":"ITEM-2","issue":"4","issued":{"date-parts":[["1994"]]},"language":"en","page":"344-360","title":"The Young Adult Human Brain: An MRI-based Morphometric Analysis","title-short":"The Young Adult Human Brain","type":"article-journal","volume":"4"},"uris":["http://www.mendeley.com/documents/?uuid=87096a30-0f26-4c4b-bcc6-6f73c4b41764"]},{"id":"ITEM-3","itemData":{"DOI":"10.1073/pnas.88.7.2845","abstract":"A prospective sample of 69 healthy adults, age range 18-80 years, was studied with magnetic resonance imaging scans (T2 weighted, 5 mm thick) of the entire cranium. Volumes were obtained by a segmentation algorithm that uses proton density and T2 pixel values to correct field inhomogeneities (\"shading\"). Average (+/- SD) brain volume, excluding cerebellum, was 1090.91 ml (+/- 114.30; range, 822.19-1363.66), and cerebrospinal fluid (CSF) volume was 127.91 ml (+/- 57.62; range, 34.00-297.02). Brain volume was higher (by 5 ml) in the right hemisphere (P less than 0.0001). Men (n = 34) had 91 ml higher brain and 20 ml higher CSF volume than women (n = 35). Age was negatively correlated with brain volume [r(67) = -0.32, P less than 0.01] and positively correlated with CSF volume (r = 0.74, P less than 0.0001). The slope of the regression line with age for CSF was steeper for men than women (P = 0.03). This difference in slopes was significant for sulcal (P less than 0.0001), but not ventricular, CSF. The greatest amount of atrophy in elderly men was in the left hemisphere, whereas in women age effects were symmetric. The findings may point to neuroanatomic substrates of hemispheric specialization and gender differences in age-related changes in brain function. They suggest that women are less vulnerable to age-related changes in mental abilities, whereas men are particularly susceptible to aging effects on left hemispheric functions.","author":[{"dropping-particle":"","family":"Gur","given":"Ruben C","non-dropping-particle":"","parse-names":false,"suffix":""},{"dropping-particle":"","family":"Mozley","given":"P David","non-dropping-particle":"","parse-names":false,"suffix":""},{"dropping-particle":"","family":"Resnick","given":"Susan M","non-dropping-particle":"","parse-names":false,"suffix":""},{"dropping-particle":"","family":"Gottlieb","given":"Gerald L","non-dropping-particle":"","parse-names":false,"suffix":""},{"dropping-particle":"","family":"Kohn","given":"Maurice","non-dropping-particle":"","parse-names":false,"suffix":""},{"dropping-particle":"","family":"Zimmerman","given":"Robert A","non-dropping-particle":"","parse-names":false,"suffix":""},{"dropping-particle":"","family":"Herman","given":"Gabor T","non-dropping-particle":"","parse-names":false,"suffix":""},{"dropping-particle":"","family":"Atlas","given":"Stephen","non-dropping-particle":"","parse-names":false,"suffix":""},{"dropping-particle":"","family":"Grossman","given":"Rachel","non-dropping-particle":"","parse-names":false,"suffix":""},{"dropping-particle":"","family":"Berretta","given":"D","non-dropping-particle":"","parse-names":false,"suffix":""}],"container-title":"Proceedings of the National Academy of Sciences of the United States of America","id":"ITEM-3","issue":"7","issued":{"date-parts":[["1991"]]},"page":"2845-2849","title":"Gender differences in age effect on brain atrophy measured by magnetic resonance imaging.","type":"article-journal","volume":"88"},"uris":["http://www.mendeley.com/documents/?uuid=623cd6f5-f69d-4cea-9a05-411a574f8972"]},{"id":"ITEM-4","itemData":{"DOI":"10.1006/brcg.1998.0983","ISBN":"0278-2626","abstract":"When brain size is compared across taxonomic levels, there is a clear relation between body parameters and brain size. It is generally stated that the correlation between brain size and body parameters becomes very small at the species level (Aboitiz, 1996), but this is not the case for Homo sapiens where there is a strong correlation between brain size and body size across racial groups that differ in body size. The control for body size across racial groups (and sexes) is rendered difficult because bodies do not just differ only in height and weight. Within groups different studies show weak and inconsistent brain size/body height correlations. A better understanding of brain size/body height relations must await better quality data and a better understanding of how exactly body parameters should be scaled between groups and sexes. We attribute the clear between-group and weak within-group correlations to the large variety of body sizes and body types in our species, a variety which is only equalled in selectively bred species of animals. At present, there is no meaningful basis for the comparison of brain sizes within and between racial groups and sexes.","author":[{"dropping-particle":"","family":"Peters","given":"M","non-dropping-particle":"","parse-names":false,"suffix":""},{"dropping-particle":"","family":"Jäncke","given":"L","non-dropping-particle":"","parse-names":false,"suffix":""},{"dropping-particle":"","family":"Staiger","given":"J F","non-dropping-particle":"","parse-names":false,"suffix":""},{"dropping-particle":"","family":"Schlaug","given":"G","non-dropping-particle":"","parse-names":false,"suffix":""},{"dropping-particle":"","family":"Huang","given":"Y","non-dropping-particle":"","parse-names":false,"suffix":""},{"dropping-particle":"","family":"Steinmetz","given":"H","non-dropping-particle":"","parse-names":false,"suffix":""}],"container-title":"Brain and Cognition","id":"ITEM-4","issue":"2","issued":{"date-parts":[["1998"]]},"page":"254-285","title":"Unsolved Problems in Comparing Brain Sizes in Homo Sapiens","type":"article-journal","volume":"37"},"uris":["http://www.mendeley.com/documents/?uuid=40e804f9-8824-45f8-85fe-7e6446fa0e37"]}],"mendeley":{"formattedCitation":"[19–22]","plainTextFormattedCitation":"[19–22]","previouslyFormattedCitation":"[19–22]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[19–22]</w:t>
            </w:r>
            <w:r w:rsidRPr="00C644C2">
              <w:rPr>
                <w:rFonts w:eastAsia="Times New Roman" w:cstheme="minorHAnsi"/>
                <w:color w:val="000000"/>
                <w:sz w:val="20"/>
                <w:szCs w:val="20"/>
              </w:rPr>
              <w:fldChar w:fldCharType="end"/>
            </w:r>
          </w:p>
        </w:tc>
      </w:tr>
      <w:tr w:rsidR="00431683" w:rsidRPr="00C644C2" w14:paraId="3977ED12" w14:textId="77777777" w:rsidTr="00154697">
        <w:trPr>
          <w:trHeight w:val="430"/>
        </w:trPr>
        <w:tc>
          <w:tcPr>
            <w:tcW w:w="1560" w:type="dxa"/>
            <w:vMerge/>
            <w:vAlign w:val="center"/>
            <w:hideMark/>
          </w:tcPr>
          <w:p w14:paraId="01E84E61"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481380BB"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extracellular fluid (</w:t>
            </w:r>
            <w:r w:rsidR="00FF605E" w:rsidRPr="00C644C2">
              <w:rPr>
                <w:rFonts w:eastAsia="Times New Roman" w:cstheme="minorHAnsi"/>
                <w:color w:val="000000"/>
                <w:sz w:val="20"/>
                <w:szCs w:val="20"/>
              </w:rPr>
              <w:t>V</w:t>
            </w:r>
            <w:r w:rsidRPr="00C644C2">
              <w:rPr>
                <w:rFonts w:eastAsia="Times New Roman" w:cstheme="minorHAnsi"/>
                <w:color w:val="000000"/>
                <w:sz w:val="20"/>
                <w:szCs w:val="20"/>
                <w:vertAlign w:val="subscript"/>
              </w:rPr>
              <w:t>ECF</w:t>
            </w:r>
            <w:r w:rsidRPr="00C644C2">
              <w:rPr>
                <w:rFonts w:eastAsia="Times New Roman" w:cstheme="minorHAnsi"/>
                <w:color w:val="000000"/>
                <w:sz w:val="20"/>
                <w:szCs w:val="20"/>
              </w:rPr>
              <w:t>)</w:t>
            </w:r>
          </w:p>
        </w:tc>
        <w:tc>
          <w:tcPr>
            <w:tcW w:w="1907" w:type="dxa"/>
            <w:shd w:val="clear" w:color="auto" w:fill="auto"/>
            <w:noWrap/>
            <w:vAlign w:val="center"/>
            <w:hideMark/>
          </w:tcPr>
          <w:p w14:paraId="2F3E673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0.36</w:t>
            </w:r>
            <w:bookmarkStart w:id="0" w:name="_Ref25795651"/>
            <w:r w:rsidRPr="00691E3C">
              <w:rPr>
                <w:rStyle w:val="FootnoteReference"/>
              </w:rPr>
              <w:footnoteReference w:id="2"/>
            </w:r>
            <w:bookmarkEnd w:id="0"/>
          </w:p>
        </w:tc>
        <w:tc>
          <w:tcPr>
            <w:tcW w:w="3685" w:type="dxa"/>
            <w:shd w:val="clear" w:color="auto" w:fill="auto"/>
            <w:noWrap/>
            <w:vAlign w:val="center"/>
          </w:tcPr>
          <w:p w14:paraId="0809AAC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{"citationItems":[{"id":"ITEM-1","itemData":{"DOI":"10.1016/j.pneurobio.2015.12.007","ISSN":"18735118","abstract":"Although neurons attract the most attention in neurobiology, our current knowledge of neural circuit can only partially explain the neurological and psychiatric conditions of the brain. Thus, it is also important to consider the influence of brain interstitial system (ISS), which refers to the space among neural cells and capillaries. The ISS is the major compartment of the brain microenvironment that provides the immediate accommodation space for neural cells, and it occupies 15% to 20% of the total brain volume. The brain ISS is a dynamic and complex space connecting the vascular system and neural networks and it plays crucial roles in substance transport and signal transmission among neurons. Investigation of the brain ISS can provide new perspectives for understanding brain architecture and function and for exploring new strategies to treat brain disorders. This review discussed the anatomy of the brain ISS under both physiological and pathological conditions, biophysical modeling of the brain ISS and in vivo measurement and imaging techniques, including recent findings on brain ISS divisions. Moreover, the implications of ISS knowledge for basic neuroscience and clinical applications are addressed.","author":[{"dropping-particle":"","family":"Lei","given":"Yiming","non-dropping-particle":"","parse-names":false,"suffix":""},{"dropping-particle":"","family":"Han","given":"Hongbin","non-dropping-particle":"","parse-names":false,"suffix":""},{"dropping-particle":"","family":"Yuan","given":"Fan","non-dropping-particle":"","parse-names":false,"suffix":""},{"dropping-particle":"","family":"Javeed","given":"Aqeel","non-dropping-particle":"","parse-names":false,"suffix":""},{"dropping-particle":"","family":"Zhao","given":"Yong","non-dropping-particle":"","parse-names":false,"suffix":""}],"collection-title":"New Perspectives on Healthy Aging","container-title":"Progress in Neurobiology","id":"ITEM-1","issued":{"date-parts":[["2017","6","12"]]},"page":"230-246","publisher":"Elsevier Ltd","title":"The brain interstitial system: Anatomy, modeling, in vivo measurement, and applications","type":"article-journal","volume":"157"},"uris":["http://www.mendeley.com/documents/?uuid=051e3234-4dfa-40b9-a8ed-cb1eff975cdd"]}],"mendeley":{"formattedCitation":"[23]","plainTextFormattedCitation":"[23]","previouslyFormattedCitation":"[23]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[23]</w:t>
            </w:r>
            <w:r w:rsidRPr="00C644C2">
              <w:rPr>
                <w:rFonts w:eastAsia="Times New Roman" w:cstheme="minorHAnsi"/>
                <w:color w:val="000000"/>
                <w:sz w:val="20"/>
                <w:szCs w:val="20"/>
              </w:rPr>
              <w:fldChar w:fldCharType="end"/>
            </w:r>
          </w:p>
        </w:tc>
        <w:tc>
          <w:tcPr>
            <w:tcW w:w="1701" w:type="dxa"/>
            <w:vAlign w:val="center"/>
          </w:tcPr>
          <w:p w14:paraId="75EA58C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25</w:t>
            </w:r>
            <w:r w:rsidR="00EF6F1E" w:rsidRPr="00C644C2">
              <w:rPr>
                <w:rFonts w:eastAsia="Times New Roman" w:cstheme="minorHAnsi"/>
                <w:color w:val="000000"/>
                <w:sz w:val="20"/>
                <w:szCs w:val="20"/>
              </w:rPr>
              <w:t>3</w:t>
            </w:r>
            <w:r w:rsidRPr="00C644C2">
              <w:rPr>
                <w:rFonts w:eastAsia="Times New Roman" w:cstheme="minorHAnsi"/>
                <w:color w:val="000000"/>
                <w:sz w:val="20"/>
                <w:szCs w:val="20"/>
              </w:rPr>
              <w:t xml:space="preserve"> </w:t>
            </w:r>
          </w:p>
          <w:p w14:paraId="3A5DCAFA"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(217</w:t>
            </w:r>
            <w:r w:rsidRPr="00C644C2">
              <w:rPr>
                <w:rFonts w:eastAsia="Times New Roman" w:cstheme="minorHAnsi"/>
                <w:color w:val="000000"/>
                <w:sz w:val="20"/>
                <w:szCs w:val="20"/>
                <w:vertAlign w:val="superscript"/>
              </w:rPr>
              <w:t xml:space="preserve"> </w:t>
            </w:r>
            <w:r w:rsidRPr="00C644C2">
              <w:rPr>
                <w:rFonts w:eastAsia="Times New Roman" w:cstheme="minorHAnsi"/>
                <w:color w:val="000000"/>
                <w:sz w:val="20"/>
                <w:szCs w:val="20"/>
              </w:rPr>
              <w:t>- 300)</w:t>
            </w:r>
            <w:r w:rsidRPr="00C644C2">
              <w:rPr>
                <w:rFonts w:eastAsia="Times New Roman" w:cstheme="minorHAnsi"/>
                <w:color w:val="000000"/>
                <w:sz w:val="20"/>
                <w:szCs w:val="20"/>
                <w:vertAlign w:val="superscript"/>
              </w:rPr>
              <w:fldChar w:fldCharType="begin"/>
            </w:r>
            <w:r w:rsidRPr="00C644C2">
              <w:rPr>
                <w:rFonts w:eastAsia="Times New Roman" w:cstheme="minorHAnsi"/>
                <w:color w:val="000000"/>
                <w:sz w:val="20"/>
                <w:szCs w:val="20"/>
                <w:vertAlign w:val="superscript"/>
              </w:rPr>
              <w:instrText xml:space="preserve"> NOTEREF _Ref25795651 \h  \* MERGEFORMAT </w:instrText>
            </w:r>
            <w:r w:rsidRPr="00C644C2">
              <w:rPr>
                <w:rFonts w:eastAsia="Times New Roman" w:cstheme="minorHAnsi"/>
                <w:color w:val="000000"/>
                <w:sz w:val="20"/>
                <w:szCs w:val="20"/>
                <w:vertAlign w:val="superscript"/>
              </w:rPr>
            </w:r>
            <w:r w:rsidRPr="00C644C2">
              <w:rPr>
                <w:rFonts w:eastAsia="Times New Roman" w:cstheme="minorHAnsi"/>
                <w:color w:val="000000"/>
                <w:sz w:val="20"/>
                <w:szCs w:val="20"/>
                <w:vertAlign w:val="superscript"/>
              </w:rPr>
              <w:fldChar w:fldCharType="separate"/>
            </w:r>
            <w:r w:rsidR="008C78C2" w:rsidRPr="00C644C2">
              <w:rPr>
                <w:rFonts w:eastAsia="Times New Roman" w:cstheme="minorHAnsi"/>
                <w:color w:val="000000"/>
                <w:sz w:val="20"/>
                <w:szCs w:val="20"/>
                <w:vertAlign w:val="superscript"/>
              </w:rPr>
              <w:t>b</w:t>
            </w:r>
            <w:r w:rsidRPr="00C644C2">
              <w:rPr>
                <w:rFonts w:eastAsia="Times New Roman" w:cstheme="minorHAnsi"/>
                <w:color w:val="000000"/>
                <w:sz w:val="20"/>
                <w:szCs w:val="20"/>
                <w:vertAlign w:val="superscript"/>
              </w:rPr>
              <w:fldChar w:fldCharType="end"/>
            </w:r>
          </w:p>
        </w:tc>
        <w:tc>
          <w:tcPr>
            <w:tcW w:w="4111" w:type="dxa"/>
            <w:vAlign w:val="center"/>
          </w:tcPr>
          <w:p w14:paraId="3B40A14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{"citationItems":[{"id":"ITEM-1","itemData":{"DOI":"10.1016/j.pneurobio.2015.12.007","ISSN":"18735118","abstract":"Although neurons attract the most attention in neurobiology, our current knowledge of neural circuit can only partially explain the neurological and psychiatric conditions of the brain. Thus, it is also important to consider the influence of brain interstitial system (ISS), which refers to the space among neural cells and capillaries. The ISS is the major compartment of the brain microenvironment that provides the immediate accommodation space for neural cells, and it occupies 15% to 20% of the total brain volume. The brain ISS is a dynamic and complex space connecting the vascular system and neural networks and it plays crucial roles in substance transport and signal transmission among neurons. Investigation of the brain ISS can provide new perspectives for understanding brain architecture and function and for exploring new strategies to treat brain disorders. This review discussed the anatomy of the brain ISS under both physiological and pathological conditions, biophysical modeling of the brain ISS and in vivo measurement and imaging techniques, including recent findings on brain ISS divisions. Moreover, the implications of ISS knowledge for basic neuroscience and clinical applications are addressed.","author":[{"dropping-particle":"","family":"Lei","given":"Yiming","non-dropping-particle":"","parse-names":false,"suffix":""},{"dropping-particle":"","family":"Han","given":"Hongbin","non-dropping-particle":"","parse-names":false,"suffix":""},{"dropping-particle":"","family":"Yuan","given":"Fan","non-dropping-particle":"","parse-names":false,"suffix":""},{"dropping-particle":"","family":"Javeed","given":"Aqeel","non-dropping-particle":"","parse-names":false,"suffix":""},{"dropping-particle":"","family":"Zhao","given":"Yong","non-dropping-particle":"","parse-names":false,"suffix":""}],"collection-title":"New Perspectives on Healthy Aging","container-title":"Progress in Neurobiology","id":"ITEM-1","issued":{"date-parts":[["2017","6","12"]]},"page":"230-246","publisher":"Elsevier Ltd","title":"The brain interstitial system: Anatomy, modeling, in vivo measurement, and applications","type":"article-journal","volume":"157"},"uris":["http://www.mendeley.com/documents/?uuid=051e3234-4dfa-40b9-a8ed-cb1eff975cdd"]},{"id":"ITEM-2","itemData":{"DOI":"10.2176/nmc.ra.2015-0003","ISBN":"0470-8105","abstract":"The traditional hypothesis of cerebrospinal fluid (CSF) hydrodynamics presumes that CSF is primarily produced in the choroid plexus (CP), then flows from the ventricles into the subarachnoid spaces, and mainly reabsorbed in the arachnoid granulations. This hypothesis is necessary to reconsider in view of recent research and clinical observations. This literature review presents numerous evidence for a new hypothesis of CSF hydrodynamics—(1) A significantly strong relationship exists between the CSF and interstitial fluid (IF), (2) CSF and IF are mainly produced and absorbed in the parenchymal capillaries of the brain and spinal cord. A considerable amount of CSF and IF are also absorbed by the lymphatic system, and (3) CSF movement is not unidirectional flow. It is only local mixing and diffusion.","author":[{"dropping-particle":"","family":"Miyajima","given":"Masakazu","non-dropping-particle":"","parse-names":false,"suffix":""},{"dropping-particle":"","family":"ARAI","given":"Hajime","non-dropping-particle":"","parse-names":false,"suffix":""}],"container-title":"Neurologia medico-chirurgica","id":"ITEM-2","issue":"8","issued":{"date-parts":[["2015"]]},"page":"647-656","title":"Evaluation of the Production and Absorption of Cerebrospinal Fluid","type":"article-journal","volume":"55"},"uris":["http://www.mendeley.com/documents/?uuid=50beca94-9dca-4249-bc94-fdf01db99c82"]},{"id":"ITEM-3","itemData":{"DOI":"10.1088/0034-4885/64/7/202","ISBN":"0034-4885, 1361-6633","abstract":"Diffusion plays a crucial role in brain function. The spaces between cells can be likened to the water phase of a foam and many substances move within this complicated region. Diffusion in this interstitial space can be accurately modelled with appropriate modiﬁcations of classical equations and quantiﬁed from measurements based on novel micro-techniques. Besides delivering glucose and oxygen from the vascular system to brain cells, diffusion also moves informational substances between cells, a process known as volume transmission. Deviations from expected results reveal how local uptake, degradation or bulk ﬂow may modify the transport of molecules. Diffusion is also essential to many therapies that deliver drugs to the brain. The diffusion-generated concentration distributions of well-chosen molecules also reveal the structure of brain tissue. This structure is represented by the volume fraction (void space) and the tortuosity (hindrance to diffusion imposed by local boundaries or local viscosity). Analysis of these parameters also reveals how the local geometry of the brain changes with time or under pathological conditions. Theoretical and experimental approaches borrow from classical diffusion theory and from porous media concepts. Earlier studies were based on radiotracers but the recent methods use a point-source paradigm coupled with micro-sensors or optical imaging of macromolecules labelled with ﬂuorescent tags. These concepts and methods are likely to be applicable elsewhere to measure diffusion properties in very small volumes of highly structured but delicate material.","author":[{"dropping-particle":"","family":"Nicholson","given":"Charles","non-dropping-particle":"","parse-names":false,"suffix":""}],"container-title":"Reports on Progress in Physics","id":"ITEM-3","issue":"7","issued":{"date-parts":[["2001"]]},"language":"en","page":"815-884","title":"Diffusion and related transport mechanisms in brain tissue","type":"article-journal","volume":"64"},"uris":["http://www.mendeley.com/documents/?uuid=ad368133-659b-4d6a-aa4d-d971104ee8f3"]},{"id":"ITEM-4","itemData":{"DOI":"10.1007/s00791-012-0185-9","ISSN":"1432-9360","abstract":"The extracellular space (ECS) consists of the narrow channels between brain cells together with their geometrical configuration and contents. Despite being only 20–60 nm in width, the ECS typically occupies 20% of the brain volume. Numerous experiments over the last 50 years have established that molecules moving through the ECS obey the laws of diffusion but with an effective diffusion coefficient reduced by a factor of about 2.6 compared to free diffusion. This review considers the origins of the diffusion barrier arising from the ECS and its properties. The paper presents a brief overview of software for implementing two point-source paradigms for measurements of localized diffusion properties: the real-time iontophoresis or pressure method for small ions and the integrative optical imaging method for macromolecules. Selected results are presented. This is followed by a discussion of the application of the MCell Monte Carlo simulation program to determining the importance of geometrical constraints, especially dead-space microdomains, and the possible role of interaction with the extracellular matrix. It is concluded that we can predict the impediment to diffusion of many molecules of practical importance and also use studies of the diffusion of selected molecular probes to reveal the barrier properties of the ECS.","author":[{"dropping-particle":"","family":"Nicholson","given":"Charles","non-dropping-particle":"","parse-names":false,"suffix":""},{"dropping-particle":"","family":"Kamali-Zare","given":"Padideh","non-dropping-particle":"","parse-names":false,"suffix":""},{"dropping-particle":"","family":"Tao","given":"Lian","non-dropping-particle":"","parse-names":false,"suffix":""}],"container-title":"Computing And Visualization In Science","id":"ITEM-4","issue":"7","issued":{"date-parts":[["2011","6","12"]]},"page":"309-325","title":"Brain Extracellular Space as a Diffusion Barrier","type":"article-journal","volume":"14"},"uris":["http://www.mendeley.com/documents/?uuid=51aef932-4743-4151-88d1-89ab3f38d8f4"]},{"id":"ITEM-5","itemData":{"DOI":"10.1152/jn.00352.2004","ISSN":"0022-3077","abstract":"Epidermal growth factor (EGF) stimulates proliferation, process outgrowth, and survival in the CNS. Understanding the actions of EGF necessitates characterizing its distribution in brain tissue following drug delivery or release from cellular sources. We used the integrative optical imaging (IOI) method to measure diffusion of fluorescently labeled EGF (6,600 Mr; 4 μg/ml) in the presence of excess unlabeled EGF (90 μg/ml) to compete off specific receptor binding and reveal the “true” EGF diffusion coefficient following injection in rat brain slices (400 μm). The effective diffusion coefficient was 5.18 ± 0.16 × 10−7 (SE) cm2/s (n = 22) in rat somatosensory cortex and the free diffusion coefficient, determined in dilute agarose gel, was 16.6 ± 0.12 × 10−7 cm2/s (n = 27). Tortuosity (λ), a parameter representing the hindrance imposed on EGF by the convoluted brain extracellular space (ECS), was 1.8, the lowest yet measured by IOI for a protein in brain. Control experiments with fluorescent dextran of similar molecular weight and tetramethylammonium confirmed EGF did not affect local ECS structure. We conclude that transport of smaller growth factors such as EGF through brain ECS is less hindered than that of larger proteins (&gt;10,000 Mr, e.g., nerve growth factor) where typically λ &gt; 2.1. Modeling was used to predict that low λ will allow EGF sources in the brain to be further from target cells and still elicit a biological response. High λ values for larger growth factors imply more constrained local biological effects than with smaller proteins such as EGF.","author":[{"dropping-particle":"","family":"Thorne","given":"Robert G","non-dropping-particle":"","parse-names":false,"suffix":""},{"dropping-particle":"","family":"Hrabětová","given":"Sabina","non-dropping-particle":"","parse-names":false,"suffix":""},{"dropping-particle":"","family":"Nicholson","given":"Charles","non-dropping-particle":"","parse-names":false,"suffix":""}],"container-title":"Journal of Neurophysiology","id":"ITEM-5","issue":"6","issued":{"date-parts":[["2004","6","12"]]},"page":"3471-3481","title":"Diffusion of Epidermal Growth Factor in Rat Brain Extracellular Space Measured by Integrative Optical Imaging","type":"article-journal","volume":"92"},"uris":["http://www.mendeley.com/documents/?uuid=c4f8c5d5-d60f-45f6-a3f7-ce6762623042"]}],"mendeley":{"formattedCitation":"[23–27]","plainTextFormattedCitation":"[23–27]","previouslyFormattedCitation":"[23–27]"},"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[23–27]</w:t>
            </w:r>
            <w:r w:rsidRPr="00C644C2">
              <w:rPr>
                <w:rFonts w:eastAsia="Times New Roman" w:cstheme="minorHAnsi"/>
                <w:color w:val="000000"/>
                <w:sz w:val="20"/>
                <w:szCs w:val="20"/>
              </w:rPr>
              <w:fldChar w:fldCharType="end"/>
            </w:r>
          </w:p>
        </w:tc>
      </w:tr>
      <w:tr w:rsidR="00431683" w:rsidRPr="00C644C2" w14:paraId="480D578F" w14:textId="77777777" w:rsidTr="00154697">
        <w:trPr>
          <w:trHeight w:val="78"/>
        </w:trPr>
        <w:tc>
          <w:tcPr>
            <w:tcW w:w="1560" w:type="dxa"/>
            <w:vMerge/>
            <w:vAlign w:val="center"/>
            <w:hideMark/>
          </w:tcPr>
          <w:p w14:paraId="48CEA1EE"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3A2711DC"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intracellular fluid</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ICF</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07E4FC1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1.44</w:t>
            </w:r>
            <w:bookmarkStart w:id="1" w:name="_Ref25795687"/>
            <w:r w:rsidRPr="00691E3C">
              <w:rPr>
                <w:rStyle w:val="FootnoteReference"/>
              </w:rPr>
              <w:footnoteReference w:id="3"/>
            </w:r>
            <w:bookmarkEnd w:id="1"/>
          </w:p>
        </w:tc>
        <w:tc>
          <w:tcPr>
            <w:tcW w:w="3685" w:type="dxa"/>
            <w:shd w:val="clear" w:color="auto" w:fill="auto"/>
            <w:noWrap/>
            <w:vAlign w:val="center"/>
          </w:tcPr>
          <w:p w14:paraId="76A6D52A"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{"citationItems":[{"id":"ITEM-1","itemData":{"DOI":"10.1016/j.pneurobio.2015.12.007","ISSN":"18735118","abstract":"Although neurons attract the most attention in neurobiology, our current knowledge of neural circuit can only partially explain the neurological and psychiatric conditions of the brain. Thus, it is also important to consider the influence of brain interstitial system (ISS), which refers to the space among neural cells and capillaries. The ISS is the major compartment of the brain microenvironment that provides the immediate accommodation space for neural cells, and it occupies 15% to 20% of the total brain volume. The brain ISS is a dynamic and complex space connecting the vascular system and neural networks and it plays crucial roles in substance transport and signal transmission among neurons. Investigation of the brain ISS can provide new perspectives for understanding brain architecture and function and for exploring new strategies to treat brain disorders. This review discussed the anatomy of the brain ISS under both physiological and pathological conditions, biophysical modeling of the brain ISS and in vivo measurement and imaging techniques, including recent findings on brain ISS divisions. Moreover, the implications of ISS knowledge for basic neuroscience and clinical applications are addressed.","author":[{"dropping-particle":"","family":"Lei","given":"Yiming","non-dropping-particle":"","parse-names":false,"suffix":""},{"dropping-particle":"","family":"Han","given":"Hongbin","non-dropping-particle":"","parse-names":false,"suffix":""},{"dropping-particle":"","family":"Yuan","given":"Fan","non-dropping-particle":"","parse-names":false,"suffix":""},{"dropping-particle":"","family":"Javeed","given":"Aqeel","non-dropping-particle":"","parse-names":false,"suffix":""},{"dropping-particle":"","family":"Zhao","given":"Yong","non-dropping-particle":"","parse-names":false,"suffix":""}],"collection-title":"New Perspectives on Healthy Aging","container-title":"Progress in Neurobiology","id":"ITEM-1","issued":{"date-parts":[["2017","6","12"]]},"page":"230-246","publisher":"Elsevier Ltd","title":"The brain interstitial system: Anatomy, modeling, in vivo measurement, and applications","type":"article-journal","volume":"157"},"uris":["http://www.mendeley.com/documents/?uuid=051e3234-4dfa-40b9-a8ed-cb1eff975cdd"]}],"mendeley":{"formattedCitation":"[23]","plainTextFormattedCitation":"[23]","previouslyFormattedCitation":"[23]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[23]</w:t>
            </w:r>
            <w:r w:rsidRPr="00C644C2">
              <w:rPr>
                <w:rFonts w:eastAsia="Times New Roman" w:cstheme="minorHAnsi"/>
                <w:color w:val="000000"/>
                <w:sz w:val="20"/>
                <w:szCs w:val="20"/>
              </w:rPr>
              <w:fldChar w:fldCharType="end"/>
            </w:r>
          </w:p>
        </w:tc>
        <w:tc>
          <w:tcPr>
            <w:tcW w:w="1701" w:type="dxa"/>
            <w:vAlign w:val="center"/>
          </w:tcPr>
          <w:p w14:paraId="794CA6EA" w14:textId="77777777" w:rsidR="00431683" w:rsidRPr="00C644C2" w:rsidRDefault="00EF6F1E" w:rsidP="00EF6F1E">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100</w:t>
            </w:r>
            <w:r w:rsidR="00431683" w:rsidRPr="00C644C2">
              <w:rPr>
                <w:rFonts w:eastAsia="Times New Roman" w:cstheme="minorHAnsi"/>
                <w:color w:val="000000"/>
                <w:sz w:val="20"/>
                <w:szCs w:val="20"/>
              </w:rPr>
              <w:t>0</w:t>
            </w:r>
            <w:r w:rsidR="00431683" w:rsidRPr="00C644C2">
              <w:rPr>
                <w:rFonts w:eastAsia="Times New Roman" w:cstheme="minorHAnsi"/>
                <w:color w:val="000000"/>
                <w:sz w:val="20"/>
                <w:szCs w:val="20"/>
                <w:vertAlign w:val="superscript"/>
              </w:rPr>
              <w:fldChar w:fldCharType="begin"/>
            </w:r>
            <w:r w:rsidR="00431683" w:rsidRPr="00C644C2">
              <w:rPr>
                <w:rFonts w:eastAsia="Times New Roman" w:cstheme="minorHAnsi"/>
                <w:color w:val="000000"/>
                <w:sz w:val="20"/>
                <w:szCs w:val="20"/>
                <w:vertAlign w:val="superscript"/>
              </w:rPr>
              <w:instrText xml:space="preserve"> NOTEREF _Ref25795687 \h  \* MERGEFORMAT </w:instrText>
            </w:r>
            <w:r w:rsidR="00431683" w:rsidRPr="00C644C2">
              <w:rPr>
                <w:rFonts w:eastAsia="Times New Roman" w:cstheme="minorHAnsi"/>
                <w:color w:val="000000"/>
                <w:sz w:val="20"/>
                <w:szCs w:val="20"/>
                <w:vertAlign w:val="superscript"/>
              </w:rPr>
            </w:r>
            <w:r w:rsidR="00431683" w:rsidRPr="00C644C2">
              <w:rPr>
                <w:rFonts w:eastAsia="Times New Roman" w:cstheme="minorHAnsi"/>
                <w:color w:val="000000"/>
                <w:sz w:val="20"/>
                <w:szCs w:val="20"/>
                <w:vertAlign w:val="superscript"/>
              </w:rPr>
              <w:fldChar w:fldCharType="separate"/>
            </w:r>
            <w:r w:rsidR="008C78C2" w:rsidRPr="00C644C2">
              <w:rPr>
                <w:rFonts w:eastAsia="Times New Roman" w:cstheme="minorHAnsi"/>
                <w:color w:val="000000"/>
                <w:sz w:val="20"/>
                <w:szCs w:val="20"/>
                <w:vertAlign w:val="superscript"/>
              </w:rPr>
              <w:t>c</w:t>
            </w:r>
            <w:r w:rsidR="00431683" w:rsidRPr="00C644C2">
              <w:rPr>
                <w:rFonts w:eastAsia="Times New Roman" w:cstheme="minorHAnsi"/>
                <w:color w:val="000000"/>
                <w:sz w:val="20"/>
                <w:szCs w:val="20"/>
                <w:vertAlign w:val="superscript"/>
              </w:rPr>
              <w:fldChar w:fldCharType="end"/>
            </w:r>
          </w:p>
        </w:tc>
        <w:tc>
          <w:tcPr>
            <w:tcW w:w="4111" w:type="dxa"/>
            <w:vAlign w:val="center"/>
          </w:tcPr>
          <w:p w14:paraId="0CAC4630"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7C6A11D5" w14:textId="77777777" w:rsidTr="00154697">
        <w:trPr>
          <w:trHeight w:val="78"/>
        </w:trPr>
        <w:tc>
          <w:tcPr>
            <w:tcW w:w="1560" w:type="dxa"/>
            <w:vMerge/>
            <w:vAlign w:val="center"/>
            <w:hideMark/>
          </w:tcPr>
          <w:p w14:paraId="42E4E4A9"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62250DD2"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cell lysosomes</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LYS</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429016B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0.018</w:t>
            </w:r>
            <w:bookmarkStart w:id="2" w:name="_Ref25795702"/>
            <w:r w:rsidRPr="00691E3C">
              <w:rPr>
                <w:rStyle w:val="FootnoteReference"/>
              </w:rPr>
              <w:footnoteReference w:id="4"/>
            </w:r>
            <w:bookmarkEnd w:id="2"/>
          </w:p>
        </w:tc>
        <w:tc>
          <w:tcPr>
            <w:tcW w:w="3685" w:type="dxa"/>
            <w:shd w:val="clear" w:color="auto" w:fill="auto"/>
            <w:noWrap/>
            <w:vAlign w:val="center"/>
          </w:tcPr>
          <w:p w14:paraId="2CC54E9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{"citationItems":[{"id":"ITEM-1","itemData":{"DOI":"10.1083/jcb.42.1.68","ISBN":"0021-9525, 1540-8140","abstract":"The basic morphological properties of liver cells are defined in the form of a morphometric model to permit integrated quantitative characterization of functionally important parameters. Stereologic methods which allow efficient and reliable quantitative evaluation of sectioned liver tissue are presented. Material, obtained by a rigorous three-stage sampling procedure from five normal rat livers, is systematically subjected to this analysis at four levels of magnification. This yields quantitative data which are expressed as \"densities,\" i.e. content per 1 ml of tissue, as \"specific dimensions\" related to 100 g body weight, and as absolute dimensions per average \"mononuclear\" hepatocyte. Base line data relating to the normal rat liver are presented for the entire spectrum of parameters. As examples, 1 ml of liver tissue contains 169 x 106 hepatocyte nuclei, some 90 x 106 nuclei of other cells, and 280 x 109 mitochondria. Hepatocyte cytoplasm accounts for 77% of liver volume, and the mitochondria for 18%. The surface area of endoplasmic reticulum membranes in 1 ml of liver tissue measures 11 m2 of which are ⅔ of the rough form carrying some 2 x 1013 ribosomes. The surface area of mitochondrial cristae in the unit volume is estimated at 6 m2. The validity and applicability of the method are discussed, and the data are compared with available information from other studies.","author":[{"dropping-particle":"","family":"Weibel","given":"Ewald R","non-dropping-particle":"","parse-names":false,"suffix":""},{"dropping-particle":"","family":"Stäubli","given":"Willy","non-dropping-particle":"","parse-names":false,"suffix":""},{"dropping-particle":"","family":"Gnägi","given":"Hans Rudolf","non-dropping-particle":"","parse-names":false,"suffix":""},{"dropping-particle":"","family":"Hess","given":"Felix A","non-dropping-particle":"","parse-names":false,"suffix":""}],"container-title":"The Journal of Cell Biology","id":"ITEM-1","issue":"1","issued":{"date-parts":[["1969"]]},"language":"en","page":"68-91","title":"Correlated Morphometric and Biochemical Studies on the Liver Cell: I. Morphometric Model, Stereologic Methods, and Normal Morphometric Data for Rat Liver","title-short":"CORRELATED MORPHOMETRIC AND BIOCHEMICAL STUDIES ON","type":"article-journal","volume":"42"},"uris":["http://www.mendeley.com/documents/?uuid=aadd489e-7af1-44b3-af6a-9163ed9ae3dc"]}],"mendeley":{"formattedCitation":"[28]","plainTextFormattedCitation":"[28]","previouslyFormattedCitation":"[28]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[28]</w:t>
            </w:r>
            <w:r w:rsidRPr="00C644C2">
              <w:rPr>
                <w:rFonts w:eastAsia="Times New Roman" w:cstheme="minorHAnsi"/>
                <w:color w:val="000000"/>
                <w:sz w:val="20"/>
                <w:szCs w:val="20"/>
              </w:rPr>
              <w:fldChar w:fldCharType="end"/>
            </w:r>
          </w:p>
        </w:tc>
        <w:tc>
          <w:tcPr>
            <w:tcW w:w="1701" w:type="dxa"/>
            <w:vAlign w:val="center"/>
          </w:tcPr>
          <w:p w14:paraId="2865C3D7" w14:textId="77777777" w:rsidR="00431683" w:rsidRPr="00C644C2" w:rsidRDefault="00431683" w:rsidP="00EF6F1E">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12.</w:t>
            </w:r>
            <w:r w:rsidR="00EF6F1E" w:rsidRPr="00C644C2">
              <w:rPr>
                <w:rFonts w:eastAsia="Times New Roman" w:cstheme="minorHAnsi"/>
                <w:color w:val="000000"/>
                <w:sz w:val="20"/>
                <w:szCs w:val="20"/>
              </w:rPr>
              <w:t>5</w:t>
            </w:r>
            <w:r w:rsidRPr="00C644C2">
              <w:rPr>
                <w:rFonts w:eastAsia="Times New Roman" w:cstheme="minorHAnsi"/>
                <w:color w:val="000000"/>
                <w:sz w:val="20"/>
                <w:szCs w:val="20"/>
                <w:vertAlign w:val="superscript"/>
              </w:rPr>
              <w:fldChar w:fldCharType="begin"/>
            </w:r>
            <w:r w:rsidRPr="00C644C2">
              <w:rPr>
                <w:rFonts w:eastAsia="Times New Roman" w:cstheme="minorHAnsi"/>
                <w:color w:val="000000"/>
                <w:sz w:val="20"/>
                <w:szCs w:val="20"/>
                <w:vertAlign w:val="superscript"/>
              </w:rPr>
              <w:instrText xml:space="preserve"> NOTEREF _Ref25795702 \h  \* MERGEFORMAT </w:instrText>
            </w:r>
            <w:r w:rsidRPr="00C644C2">
              <w:rPr>
                <w:rFonts w:eastAsia="Times New Roman" w:cstheme="minorHAnsi"/>
                <w:color w:val="000000"/>
                <w:sz w:val="20"/>
                <w:szCs w:val="20"/>
                <w:vertAlign w:val="superscript"/>
              </w:rPr>
            </w:r>
            <w:r w:rsidRPr="00C644C2">
              <w:rPr>
                <w:rFonts w:eastAsia="Times New Roman" w:cstheme="minorHAnsi"/>
                <w:color w:val="000000"/>
                <w:sz w:val="20"/>
                <w:szCs w:val="20"/>
                <w:vertAlign w:val="superscript"/>
              </w:rPr>
              <w:fldChar w:fldCharType="separate"/>
            </w:r>
            <w:r w:rsidR="008C78C2" w:rsidRPr="00C644C2">
              <w:rPr>
                <w:rFonts w:eastAsia="Times New Roman" w:cstheme="minorHAnsi"/>
                <w:color w:val="000000"/>
                <w:sz w:val="20"/>
                <w:szCs w:val="20"/>
                <w:vertAlign w:val="superscript"/>
              </w:rPr>
              <w:t>d</w:t>
            </w:r>
            <w:r w:rsidRPr="00C644C2">
              <w:rPr>
                <w:rFonts w:eastAsia="Times New Roman" w:cstheme="minorHAnsi"/>
                <w:color w:val="000000"/>
                <w:sz w:val="20"/>
                <w:szCs w:val="20"/>
                <w:vertAlign w:val="superscript"/>
              </w:rPr>
              <w:fldChar w:fldCharType="end"/>
            </w:r>
          </w:p>
        </w:tc>
        <w:tc>
          <w:tcPr>
            <w:tcW w:w="4111" w:type="dxa"/>
            <w:vAlign w:val="center"/>
          </w:tcPr>
          <w:p w14:paraId="6316CAAC"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{"citationItems":[{"id":"ITEM-1","itemData":{"DOI":"10.1083/jcb.42.1.68","ISBN":"0021-9525, 1540-8140","abstract":"The basic morphological properties of liver cells are defined in the form of a morphometric model to permit integrated quantitative characterization of functionally important parameters. Stereologic methods which allow efficient and reliable quantitative evaluation of sectioned liver tissue are presented. Material, obtained by a rigorous three-stage sampling procedure from five normal rat livers, is systematically subjected to this analysis at four levels of magnification. This yields quantitative data which are expressed as \"densities,\" i.e. content per 1 ml of tissue, as \"specific dimensions\" related to 100 g body weight, and as absolute dimensions per average \"mononuclear\" hepatocyte. Base line data relating to the normal rat liver are presented for the entire spectrum of parameters. As examples, 1 ml of liver tissue contains 169 x 106 hepatocyte nuclei, some 90 x 106 nuclei of other cells, and 280 x 109 mitochondria. Hepatocyte cytoplasm accounts for 77% of liver volume, and the mitochondria for 18%. The surface area of endoplasmic reticulum membranes in 1 ml of liver tissue measures 11 m2 of which are ⅔ of the rough form carrying some 2 x 1013 ribosomes. The surface area of mitochondrial cristae in the unit volume is estimated at 6 m2. The validity and applicability of the method are discussed, and the data are compared with available information from other studies.","author":[{"dropping-particle":"","family":"Weibel","given":"Ewald R","non-dropping-particle":"","parse-names":false,"suffix":""},{"dropping-particle":"","family":"Stäubli","given":"Willy","non-dropping-particle":"","parse-names":false,"suffix":""},{"dropping-particle":"","family":"Gnägi","given":"Hans Rudolf","non-dropping-particle":"","parse-names":false,"suffix":""},{"dropping-particle":"","family":"Hess","given":"Felix A","non-dropping-particle":"","parse-names":false,"suffix":""}],"container-title":"The Journal of Cell Biology","id":"ITEM-1","issue":"1","issued":{"date-parts":[["1969"]]},"language":"en","page":"68-91","title":"Correlated Morphometric and Biochemical Studies on the Liver Cell: I. Morphometric Model, Stereologic Methods, and Normal Morphometric Data for Rat Liver","title-short":"CORRELATED MORPHOMETRIC AND BIOCHEMICAL STUDIES ON","type":"article-journal","volume":"42"},"uris":["http://www.mendeley.com/documents/?uuid=aadd489e-7af1-44b3-af6a-9163ed9ae3dc"]}],"mendeley":{"formattedCitation":"[28]","plainTextFormattedCitation":"[28]","previouslyFormattedCitation":"[28]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[28]</w:t>
            </w:r>
            <w:r w:rsidRPr="00C644C2">
              <w:rPr>
                <w:rFonts w:eastAsia="Times New Roman" w:cstheme="minorHAnsi"/>
                <w:color w:val="000000"/>
                <w:sz w:val="20"/>
                <w:szCs w:val="20"/>
              </w:rPr>
              <w:fldChar w:fldCharType="end"/>
            </w:r>
          </w:p>
        </w:tc>
      </w:tr>
      <w:tr w:rsidR="00431683" w:rsidRPr="00C644C2" w14:paraId="28B9D2EE" w14:textId="77777777" w:rsidTr="00154697">
        <w:trPr>
          <w:trHeight w:val="78"/>
        </w:trPr>
        <w:tc>
          <w:tcPr>
            <w:tcW w:w="1560" w:type="dxa"/>
            <w:vMerge/>
            <w:vAlign w:val="center"/>
            <w:hideMark/>
          </w:tcPr>
          <w:p w14:paraId="0C3B010F"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4EA4467C"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microvasculature</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MV</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0F30D91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0.054</w:t>
            </w:r>
            <w:r w:rsidRPr="00691E3C">
              <w:rPr>
                <w:rStyle w:val="FootnoteReference"/>
              </w:rPr>
              <w:footnoteReference w:id="5"/>
            </w:r>
          </w:p>
        </w:tc>
        <w:tc>
          <w:tcPr>
            <w:tcW w:w="3685" w:type="dxa"/>
            <w:shd w:val="clear" w:color="auto" w:fill="auto"/>
            <w:noWrap/>
            <w:vAlign w:val="center"/>
          </w:tcPr>
          <w:p w14:paraId="600428B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{"citationItems":[{"id":"ITEM-1","itemData":{"author":[{"dropping-particle":"","family":"Brown","given":"Ronald P","non-dropping-particle":"","parse-names":false,"suffix":""},{"dropping-particle":"","family":"Delp","given":"Michael D","non-dropping-particle":"","parse-names":false,"suffix":""},{"dropping-particle":"","family":"Lindstedt","given":"Stan L","non-dropping-particle":"","parse-names":false,"suffix":""},{"dropping-particle":"","family":"Rhomberg","given":"Lorenz R","non-dropping-particle":"","parse-names":false,"suffix":""},{"dropping-particle":"","family":"Beliles","given":"Robert P","non-dropping-particle":"","parse-names":false,"suffix":""}],"container-title":"Toxicology and Industrial Health","id":"ITEM-1","issue":"8623","issued":{"date-parts":[["1997"]]},"page":"407-484","title":"Physiological parameter values for physiologically-based pharmacokinetic models","type":"article-journal","volume":"13"},"uris":["http://www.mendeley.com/documents/?uuid=438615e1-bd4e-4cfa-aa16-1c0fdc45b5db"]}],"mendeley":{"formattedCitation":"[29]","plainTextFormattedCitation":"[29]","previouslyFormattedCitation":"[29]"},"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[29]</w:t>
            </w:r>
            <w:r w:rsidRPr="00C644C2">
              <w:rPr>
                <w:rFonts w:eastAsia="Times New Roman" w:cstheme="minorHAnsi"/>
                <w:color w:val="000000"/>
                <w:sz w:val="20"/>
                <w:szCs w:val="20"/>
              </w:rPr>
              <w:fldChar w:fldCharType="end"/>
            </w:r>
          </w:p>
        </w:tc>
        <w:tc>
          <w:tcPr>
            <w:tcW w:w="1701" w:type="dxa"/>
            <w:vAlign w:val="center"/>
          </w:tcPr>
          <w:p w14:paraId="1A9B79A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45 </w:t>
            </w:r>
          </w:p>
          <w:p w14:paraId="5997E9B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(37 - 50)</w:t>
            </w:r>
            <w:r w:rsidRPr="00691E3C">
              <w:rPr>
                <w:rStyle w:val="FootnoteReference"/>
              </w:rPr>
              <w:footnoteReference w:id="6"/>
            </w:r>
          </w:p>
        </w:tc>
        <w:tc>
          <w:tcPr>
            <w:tcW w:w="4111" w:type="dxa"/>
            <w:vAlign w:val="center"/>
          </w:tcPr>
          <w:p w14:paraId="33ED113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{"citationItems":[{"id":"ITEM-1","itemData":{"DOI":"10.1177/074823379701300401","ISBN":"0748-2337, 1477-0393","author":[{"dropping-particle":"","family":"Brown","given":"Ronald P","non-dropping-particle":"","parse-names":false,"suffix":""},{"dropping-particle":"","family":"Delp","given":"Michael D","non-dropping-particle":"","parse-names":false,"suffix":""},{"dropping-particle":"","family":"Lindstedt","given":"Stan L","non-dropping-particle":"","parse-names":false,"suffix":""},{"dropping-particle":"","family":"Rhomberg","given":"Lorenz R","non-dropping-particle":"","parse-names":false,"suffix":""},{"dropping-particle":"","family":"Beliles","given":"Robert P","non-dropping-particle":"","parse-names":false,"suffix":""}],"container-title":"Toxicology and Industrial Health","id":"ITEM-1","issue":"4","issued":{"date-parts":[["1997"]]},"language":"en","page":"407-484","title":"Physiological Parameter Values for Physiologically Based Pharmacokinetic Models","type":"article-journal","volume":"13"},"uris":["http://www.mendeley.com/documents/?uuid=eb70082d-eeea-458a-b4e2-99ae916340b7"]},{"id":"ITEM-2","itemData":{"DOI":"10.1111/bph.12609","ISBN":"1476-5381","abstract":"Background and Purpose Alvespimycin, a new generation of heat shock protein 90 (Hsp90) inhibitor in clinical trial, is a promising therapeutic agent for cancer. Pharmacokinetic models of alvespimycin would help in the understanding of drug disposition, predicting drug exposure and interpreting dose–response relationship. In the present study we aimed to develop a physiologically based pharmacokinetic (PBPK) model of alvespimycin in mice and evaluate the utility of the model for predicting alvespimycin disposition in other species. Experimental Approach A literature search was performed to collect pharmacokinetic data for alvespimycin. A PBPK model was initially constructed to demonstrate the disposition of alvespimycin in mice, and then extrapolated to rats and humans by taking into account the interspecies differences in physiological- and chemical-specific parameters. Key Results A PBPK model, employing a permeability-limited model structure and saturable tissue binding, was built in mice. It successfully characterized the time course of the disposition of alvespimycin in mice. After extrapolation to rats, the model simulated the alvespimycin concentration-time profiles in rat tissues with acceptable accuracies. Likewise, a reasonable match was found between the observed and simulated human plasma pharmacokinetics of alvespimycin. Conclusions and Implications The PBPK model described here is beneficial to the understanding and prediction of the effects of alvespimycin in different species. It also provides a good basis for further development, which necessitates additional studies, especially those needed to clarify the in-depth mechanism of alvespimycin elimination. A refined PBPK model would benefit the understanding of dose–response relationships and optimization of dosing regimens.","author":[{"dropping-particle":"","family":"Hu","given":"Zhe-Yi","non-dropping-particle":"","parse-names":false,"suffix":""},{"dropping-particle":"","family":"Lu","given":"Jingtao","non-dropping-particle":"","parse-names":false,"suffix":""},{"dropping-particle":"","family":"Zhao","given":"Yuansheng","non-dropping-particle":"","parse-names":false,"suffix":""}],"container-title":"British Journal of Pharmacology","id":"ITEM-2","issue":"11","issued":{"date-parts":[["2014"]]},"language":"en","page":"2778-2789","title":"A physiologically based pharmacokinetic model of alvespimycin in mice and extrapolation to rats and humans","type":"article-journal","volume":"171"},"uris":["http://www.mendeley.com/documents/?uuid=0532ab23-6d77-4ad2-bb93-2d0a3aaae489"]},{"id":"ITEM-3","itemData":{"DOI":"10.1088/0034-4885/64/7/202","ISBN":"0034-4885, 1361-6633","abstract":"Diffusion plays a crucial role in brain function. The spaces between cells can be likened to the water phase of a foam and many substances move within this complicated region. Diffusion in this interstitial space can be accurately modelled with appropriate modiﬁcations of classical equations and quantiﬁed from measurements based on novel micro-techniques. Besides delivering glucose and oxygen from the vascular system to brain cells, diffusion also moves informational substances between cells, a process known as volume transmission. Deviations from expected results reveal how local uptake, degradation or bulk ﬂow may modify the transport of molecules. Diffusion is also essential to many therapies that deliver drugs to the brain. The diffusion-generated concentration distributions of well-chosen molecules also reveal the structure of brain tissue. This structure is represented by the volume fraction (void space) and the tortuosity (hindrance to diffusion imposed by local boundaries or local viscosity). Analysis of these parameters also reveals how the local geometry of the brain changes with time or under pathological conditions. Theoretical and experimental approaches borrow from classical diffusion theory and from porous media concepts. Earlier studies were based on radiotracers but the recent methods use a point-source paradigm coupled with micro-sensors or optical imaging of macromolecules labelled with ﬂuorescent tags. These concepts and methods are likely to be applicable elsewhere to measure diffusion properties in very small volumes of highly structured but delicate material.","author":[{"dropping-particle":"","family":"Nicholson","given":"Charles","non-dropping-particle":"","parse-names":false,"suffix":""}],"container-title":"Reports on Progress in Physics","id":"ITEM-3","issue":"7","issued":{"date-parts":[["2001"]]},"language":"en","page":"815-884","title":"Diffusion and related transport mechanisms in brain tissue","type":"article-journal","volume":"64"},"uris":["http://www.mendeley.com/documents/?uuid=ad368133-659b-4d6a-aa4d-d971104ee8f3"]}],"mendeley":{"formattedCitation":"[25, 30, 31]","plainTextFormattedCitation":"[25, 30, 31]","previouslyFormattedCitation":"[25, 30, 31]"},"properties":{"noteIndex":0},"schema":"https://github.com/citation-style-language/schema/raw/master/csl-citation.json"}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[25, 30, 31]</w:t>
            </w:r>
            <w:r w:rsidRPr="00C644C2">
              <w:rPr>
                <w:rFonts w:eastAsia="Times New Roman" w:cstheme="minorHAnsi"/>
                <w:color w:val="000000"/>
                <w:sz w:val="20"/>
                <w:szCs w:val="20"/>
              </w:rPr>
              <w:fldChar w:fldCharType="end"/>
            </w:r>
          </w:p>
        </w:tc>
      </w:tr>
      <w:tr w:rsidR="00431683" w:rsidRPr="00C644C2" w14:paraId="311512B4" w14:textId="77777777" w:rsidTr="00154697">
        <w:trPr>
          <w:trHeight w:val="78"/>
        </w:trPr>
        <w:tc>
          <w:tcPr>
            <w:tcW w:w="1560" w:type="dxa"/>
            <w:vMerge/>
            <w:vAlign w:val="center"/>
            <w:hideMark/>
          </w:tcPr>
          <w:p w14:paraId="7BDDC288"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057CE5F4"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Total cerebrospinal fluid (</w:t>
            </w:r>
            <w:r w:rsidR="00FF605E" w:rsidRPr="00C644C2">
              <w:rPr>
                <w:rFonts w:eastAsia="Times New Roman" w:cstheme="minorHAnsi"/>
                <w:color w:val="000000"/>
                <w:sz w:val="20"/>
                <w:szCs w:val="20"/>
              </w:rPr>
              <w:t>V</w:t>
            </w:r>
            <w:r w:rsidRPr="00C644C2">
              <w:rPr>
                <w:rFonts w:eastAsia="Times New Roman" w:cstheme="minorHAnsi"/>
                <w:color w:val="000000"/>
                <w:sz w:val="20"/>
                <w:szCs w:val="20"/>
                <w:vertAlign w:val="subscript"/>
              </w:rPr>
              <w:t>CSF</w:t>
            </w:r>
            <w:r w:rsidRPr="00C644C2">
              <w:rPr>
                <w:rFonts w:eastAsia="Times New Roman" w:cstheme="minorHAnsi"/>
                <w:color w:val="000000"/>
                <w:sz w:val="20"/>
                <w:szCs w:val="20"/>
              </w:rPr>
              <w:t>)</w:t>
            </w:r>
          </w:p>
        </w:tc>
        <w:tc>
          <w:tcPr>
            <w:tcW w:w="1907" w:type="dxa"/>
            <w:shd w:val="clear" w:color="auto" w:fill="auto"/>
            <w:noWrap/>
            <w:vAlign w:val="center"/>
            <w:hideMark/>
          </w:tcPr>
          <w:p w14:paraId="238E6F9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0.28</w:t>
            </w:r>
            <w:r w:rsidRPr="00691E3C">
              <w:rPr>
                <w:rStyle w:val="FootnoteReference"/>
              </w:rPr>
              <w:footnoteReference w:id="7"/>
            </w:r>
            <w:r w:rsidRPr="00C644C2">
              <w:rPr>
                <w:rFonts w:eastAsia="Times New Roman" w:cstheme="minorHAnsi"/>
                <w:color w:val="000000"/>
                <w:sz w:val="20"/>
                <w:szCs w:val="20"/>
              </w:rPr>
              <w:t xml:space="preserve"> </w:t>
            </w:r>
          </w:p>
          <w:p w14:paraId="2A5B1B2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(0.155 – 0.4)</w:t>
            </w:r>
          </w:p>
        </w:tc>
        <w:tc>
          <w:tcPr>
            <w:tcW w:w="3685" w:type="dxa"/>
            <w:shd w:val="clear" w:color="auto" w:fill="auto"/>
            <w:vAlign w:val="center"/>
          </w:tcPr>
          <w:p w14:paraId="042D0B86"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{"citationItems":[{"id":"ITEM-1","itemData":{"DOI":"10.1002/1097-0029(20010101)52:1&lt;31::AID-JEMT5&gt;3.0.CO;2-T","ISSN":"1059910X","abstract":"The impact of ageing on the choroid plexus (CP)-CSF circulatory system has largely been un-investigated, or has been of interest only in relation to neurological disease. This paper reviews the evidence for age-related changes to the CP-CSF system and compares changes with disease states where appropriate. The changes discussed include reduced ion transport capabilities, evidence for oxidative stress, altered hormone interactions, decreased CSF secretion rates in animal models and the contradictory nature of human data, reduced clearance of protein from CSF, and slower fluid turnover. The potential impacts of these changes are highlighted, including the possibility of reduced resistance to stress insults and slow clearance of toxic compounds from CSF with specific reference to amyloid peptide. Other impacts may include the reduced ability of CSF to act as a circulating medium for hormone and growth factors to reach their brain targets, and reduced homeostasis of CSF nutrients (amino acids, vitamins), which might influence brain interstitial fluid homeostasis. © 2001 Wiley-Liss, Inc.","author":[{"dropping-particle":"","family":"Preston","given":"Jane E.","non-dropping-particle":"","parse-names":false,"suffix":""}],"container-title":"Microscopy Research and Technique","id":"ITEM-1","issue":"1","issued":{"date-parts":[["2001"]]},"page":"31-37","title":"Ageing choroid plexus-cerebrospinal fluid system","type":"article-journal","volume":"52"},"uris":["http://www.mendeley.com/documents/?uuid=23a33c71-5eab-453c-9220-ac8d417bfeb3"]},{"id":"ITEM-2","itemData":{"DOI":"10.1186/2045-8118-9-3","ISSN":"20458118","PMID":"22269091","abstract":"Background: Amyloid accumulation in the brain parenchyma is a hallmark of Alzheimer's disease (AD) and is seen in normal aging. Alterations in cerebrospinal fluid (CSF) dynamics are also associated with normal aging and AD. This study analyzed CSF volume, production and turnover rate in relation to amyloid-beta peptide (Aβ) accumulation in the aging rat brain.Methods: Aging Fischer 344/Brown-Norway hybrid rats at 3, 12, 20, and 30 months were studied. CSF production was measured by ventriculo-cisternal perfusion with blue dextran in artificial CSF; CSF volume by MRI; and CSF turnover rate by dividing the CSF production rate by the volume of the CSF space. Aβ40 and Aβ42 concentrations in the cortex and hippocampus were measured by ELISA.Results: There was a significant linear increase in total cranial CSF volume with age: 3-20 months (p &lt; 0.01); 3-30 months (p &lt; 0.001). CSF production rate increased from 3-12 months (p &lt; 0.01) and decreased from 12-30 months (p &lt; 0.05). CSF turnover showed an initial increase from 3 months (9.40 day -1) to 12 months (11.30 day -1) and then a decrease to 20 months (10.23 day -1) and 30 months (6.62 day -1). Aβ40 and Aβ42 concentrations in brain increased from 3-30 months (p &lt; 0.001). Both Aβ42 and Aβ40 concentrations approached a steady state level by 30 months.Conclusions: In young rats there is no correlation between CSF turnover and Aβ brain concentrations. After 12 months, CSF turnover decreases as brain Aβ continues to accumulate. This decrease in CSF turnover rate may be one of several clearance pathway alterations that influence age-related accumulation of brain amyloid. © 2012 Chiu et al; licensee BioMed Central Ltd.","author":[{"dropping-particle":"","family":"Chiu","given":"Catherine","non-dropping-particle":"","parse-names":false,"suffix":""},{"dropping-particle":"","family":"Miller","given":"Miles C.","non-dropping-particle":"","parse-names":false,"suffix":""},{"dropping-particle":"","family":"Caralopoulos","given":"Ilias N.","non-dropping-particle":"","parse-names":false,"suffix":""},{"dropping-particle":"","family":"Worden","given":"Michael S.","non-dropping-particle":"","parse-names":false,"suffix":""},{"dropping-particle":"","family":"Brinker","given":"Thomas","non-dropping-particle":"","parse-names":false,"suffix":""},{"dropping-particle":"","family":"Gordon","given":"Zachary N.","non-dropping-particle":"","parse-names":false,"suffix":""},{"dropping-particle":"","family":"Johanson","given":"Conrad E.","non-dropping-particle":"","parse-names":false,"suffix":""},{"dropping-particle":"","family":"Silverberg","given":"Gerald D.","non-dropping-particle":"","parse-names":false,"suffix":""}],"container-title":"Fluids and Barriers of the CNS","id":"ITEM-2","issue":"3","issued":{"date-parts":[["2012"]]},"page":"1-10","title":"Temporal course of cerebrospinal fluid dynamics and amyloid accumulation in the aging rat brain from three to thirty months","type":"article-journal","volume":"9"},"uris":["http://www.mendeley.com/documents/?uuid=b742b67d-5dff-414d-b190-01cd60bf4412"]},{"id":"ITEM-3","itemData":{"DOI":"10.1016/S0165-0270(02)00033-X","ISSN":"01650270","PMID":"12007987","abstract":"Drug transport from the nasal cavity to the brain has gained much interest in the last decade. In the present study, a model was developed to determine the uptake of drugs into the cerebrospinal fluid (CSF) after nasal delivery in rats. CSF samples were taken using a cisternal puncture method. In this method, a needle is advanced through the skin and muscles overlying the atlanto-occipital membrane into the cisterna magna, while the rat is fixed in a stereotaxic frame. This method appears to be superior over cannulation of the atlanto-occipital membrane for CSF sampling. The major advantages of the puncture method is the ability of serial and simultaneous CSF and blood sampling for over 2 h in the same rat. To obtain maximal drug absorption from the nasal cavity and uptake into CSF, different positions of the rat's head (upright-90°, supine-90°, supine-45° and supine-70° angles) were tested in nasal delivery studies using hydrocortisone (HC) as a model drug. Putting the rat in the supine-90° angle position increased the absorption of HC into plasma and CSF 2-fold compared to the upright-90° angle position. The supine-70° angle position did not change the HC plasma and CSF levels compared to the supine-90° angle position. However, the supine-70° angle position showed the fastest CSF sampling rate, enabling more accurate CSF sampling and therefore preferred for further studies. In conclusion, the cisternal puncture method using the supine-70° and 90° angle position is a suitable method to study drug transport from the nasal cavity into the CSF, with the ability of multiple CSF sampling. © 2002 Elsevier Science B.V. All rights reserved.","author":[{"dropping-particle":"","family":"Berg","given":"Mascha P.","non-dropping-particle":"Van Den","parse-names":false,"suffix":""},{"dropping-particle":"","family":"Romeijn","given":"Stefan G.","non-dropping-particle":"","parse-names":false,"suffix":""},{"dropping-particle":"","family":"Verhoef","given":"J. Coos","non-dropping-particle":"","parse-names":false,"suffix":""},{"dropping-particle":"","family":"Merkus","given":"Frans W.H.M.","non-dropping-particle":"","parse-names":false,"suffix":""}],"container-title":"Journal of Neuroscience Methods","id":"ITEM-3","issue":"1","issued":{"date-parts":[["2002"]]},"page":"99-107","title":"Serial cerebrospinal fluid sampling in a rat model to study drug uptake from the nasal cavity","type":"article-journal","volume":"116"},"uris":["http://www.mendeley.com/documents/?uuid=cc8a6b0e-0546-4475-b919-f98f826cd6e2"]}],"mendeley":{"formattedCitation":"[32–34]","plainTextFormattedCitation":"[32–34]","previouslyFormattedCitation":"[32–34]"},"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[32–34]</w:t>
            </w:r>
            <w:r w:rsidRPr="00C644C2">
              <w:rPr>
                <w:rFonts w:eastAsia="Times New Roman" w:cstheme="minorHAnsi"/>
                <w:color w:val="000000"/>
                <w:sz w:val="20"/>
                <w:szCs w:val="20"/>
              </w:rPr>
              <w:fldChar w:fldCharType="end"/>
            </w:r>
          </w:p>
        </w:tc>
        <w:tc>
          <w:tcPr>
            <w:tcW w:w="1701" w:type="dxa"/>
            <w:vAlign w:val="center"/>
          </w:tcPr>
          <w:p w14:paraId="4F1FC62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140</w:t>
            </w:r>
          </w:p>
        </w:tc>
        <w:tc>
          <w:tcPr>
            <w:tcW w:w="4111" w:type="dxa"/>
            <w:vAlign w:val="center"/>
          </w:tcPr>
          <w:p w14:paraId="1102BCE3"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00F7B303" w14:textId="77777777" w:rsidTr="00154697">
        <w:trPr>
          <w:trHeight w:val="78"/>
        </w:trPr>
        <w:tc>
          <w:tcPr>
            <w:tcW w:w="1560" w:type="dxa"/>
            <w:vMerge/>
            <w:vAlign w:val="center"/>
            <w:hideMark/>
          </w:tcPr>
          <w:p w14:paraId="107B4CC0"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center"/>
            <w:hideMark/>
          </w:tcPr>
          <w:p w14:paraId="653C0E8E"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Lateral  ventricles</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LV</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4C074F4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0.0075</w:t>
            </w:r>
            <w:r w:rsidRPr="00691E3C">
              <w:rPr>
                <w:rStyle w:val="FootnoteReference"/>
              </w:rPr>
              <w:footnoteReference w:id="8"/>
            </w:r>
            <w:r w:rsidRPr="00C644C2">
              <w:rPr>
                <w:rFonts w:eastAsia="Times New Roman" w:cstheme="minorHAnsi"/>
                <w:color w:val="000000"/>
                <w:sz w:val="20"/>
                <w:szCs w:val="20"/>
              </w:rPr>
              <w:t xml:space="preserve"> </w:t>
            </w:r>
          </w:p>
          <w:p w14:paraId="4F78392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(0.003 – 0.015)</w:t>
            </w:r>
          </w:p>
        </w:tc>
        <w:tc>
          <w:tcPr>
            <w:tcW w:w="3685" w:type="dxa"/>
            <w:vMerge w:val="restart"/>
            <w:shd w:val="clear" w:color="auto" w:fill="auto"/>
            <w:vAlign w:val="center"/>
          </w:tcPr>
          <w:p w14:paraId="523513B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{"citationItems":[{"id":"ITEM-1","itemData":{"DOI":"10.3171/2012.6.peds11457","ISSN":"1933-0707","abstract":"Object Experimental data about the evolution of intracranial volume and pressure in cases of hydrocephalus are limited due to the lack of available monitoring techniques. In this study, the authors validate intracranial CSF volume measurements within the lateral ventricle, while simultaneously using impedance sensors and pressure transducers in hydrocephalic animals. Methods A volume sensor was fabricated and connected to a catheter that was used as a shunt to withdraw CSF. In vitro bench-top calibration experiments were created to provide data for the animal experiments and to validate the sensors. To validate the measurement technique in a physiological system, hydrocephalus was induced in weanling rats by kaolin injection into the cisterna magna. At 28 days after induction, the sensor was implanted into the lateral ventricles. After sealing the skull using dental cement, an acute CSF drainage/infusion protocol consisting of 4 sequential phases was performed with a pump. Implant location was confirmed via radiography using intraventricular iohexol contrast administration. Results Controlled CSF shunting in vivo with hydrocephalic rats resulted in precise and accurate sensor measurements (r = 0.98). Shunting resulted in a 17.3% maximum measurement error between measured volume and actual volume as assessed by a Bland-Altman plot. A secondary outcome confirmed that both ventricular volume and intracranial pressure decreased during CSF shunting and increased during infusion. Ventricular enlargement consistent with successful hydrocephalus induction was confirmed using imaging, as well as postmortem. These results indicate that volume monitoring is feasible for clinical cases of hydrocephalus. Conclusions This work marks a departure from traditional shunting systems currently used to treat hydrocephalus. The overall clinical application is to provide alternative monitoring and treatment options for patients. Future work includes development and testing of a chronic (long-term) volume monitoring system.","author":[{"dropping-particle":"","family":"Basati","given":"Sukhraaj","non-dropping-particle":"","parse-names":false,"suffix":""},{"dropping-particle":"","family":"Desai","given":"Bhargav","non-dropping-particle":"","parse-names":false,"suffix":""},{"dropping-particle":"","family":"Alaraj","given":"Ali","non-dropping-particle":"","parse-names":false,"suffix":""},{"dropping-particle":"","family":"Charbel","given":"Fady","non-dropping-particle":"","parse-names":false,"suffix":""},{"dropping-particle":"","family":"Linninger","given":"Andreas","non-dropping-particle":"","parse-names":false,"suffix":""}],"container-title":"Journal of Neurosurgery: Pediatrics","id":"ITEM-1","issue":"4","issued":{"date-parts":[["2012"]]},"page":"347-354","title":"Cerebrospinal fluid volume measurements in hydrocephalic rats","type":"article-journal","volume":"10"},"uris":["http://www.mendeley.com/documents/?uuid=2890559c-6009-4e1c-a9d5-c39fd9975487"]},{"id":"ITEM-2","itemData":{"DOI":"10.1186/1743-8454-7-20","ISSN":"17438454","abstract":"Background: The water channel protein aquaporin-4 (AQP4) is reported to be of possible major importance for accessory cerebrospinal fluid (CSF) circulation pathways. We hypothesized that changes in AQP4 expression in specific brain regions correspond to the severity and duration of hydrocephalus.","author":[{"dropping-particle":"","family":"Skjolding","given":"Anders D.","non-dropping-particle":"","parse-names":false,"suffix":""},{"dropping-particle":"","family":"Rowland","given":"Ian J.","non-dropping-particle":"","parse-names":false,"suffix":""},{"dropping-particle":"V.","family":"Søgaard","given":"Lise","non-dropping-particle":"","parse-names":false,"suffix":""},{"dropping-particle":"","family":"Praetorius","given":"Jeppe","non-dropping-particle":"","parse-names":false,"suffix":""},{"dropping-particle":"","family":"Penkowa","given":"Milena","non-dropping-particle":"","parse-names":false,"suffix":""},{"dropping-particle":"","family":"Juhler","given":"Marianne","non-dropping-particle":"","parse-names":false,"suffix":""}],"container-title":"Cerebrospinal Fluid Research","id":"ITEM-2","issue":"1","issued":{"date-parts":[["2010"]]},"page":"20","publisher":"BioMed Central Ltd","title":"Hydrocephalus induces dynamic spatiotemporal regulation of aquaporin-4 expression in the rat brain","type":"article-journal","volume":"7"},"uris":["http://www.mendeley.com/documents/?uuid=2fdafa2a-e947-4649-84d5-463aac353dab"]},{"id":"ITEM-3","itemData":{"author":[{"dropping-particle":"","family":"Levinger","given":"I. M.","non-dropping-particle":"","parse-names":false,"suffix":""}],"container-title":"J Anat","id":"ITEM-3","issue":"Pt 3","issued":{"date-parts":[["1971"]]},"page":"447 - 451","title":"The cerebral ventricles of the rat","type":"article-journal","volume":"108"},"uris":["http://www.mendeley.com/documents/?uuid=26d83684-dcf8-4b2e-9ebb-27b63f1bbebe"]},{"id":"ITEM-4","itemData":{"DOI":"10.1186/2045-8118-9-3","ISSN":"20458118","PMID":"22269091","abstract":"Background: Amyloid accumulation in the brain parenchyma is a hallmark of Alzheimer's disease (AD) and is seen in normal aging. Alterations in cerebrospinal fluid (CSF) dynamics are also associated with normal aging and AD. This study analyzed CSF volume, production and turnover rate in relation to amyloid-beta peptide (Aβ) accumulation in the aging rat brain.Methods: Aging Fischer 344/Brown-Norway hybrid rats at 3, 12, 20, and 30 months were studied. CSF production was measured by ventriculo-cisternal perfusion with blue dextran in artificial CSF; CSF volume by MRI; and CSF turnover rate by dividing the CSF production rate by the volume of the CSF space. Aβ40 and Aβ42 concentrations in the cortex and hippocampus were measured by ELISA.Results: There was a significant linear increase in total cranial CSF volume with age: 3-20 months (p &lt; 0.01); 3-30 months (p &lt; 0.001). CSF production rate increased from 3-12 months (p &lt; 0.01) and decreased from 12-30 months (p &lt; 0.05). CSF turnover showed an initial increase from 3 months (9.40 day -1) to 12 months (11.30 day -1) and then a decrease to 20 months (10.23 day -1) and 30 months (6.62 day -1). Aβ40 and Aβ42 concentrations in brain increased from 3-30 months (p &lt; 0.001). Both Aβ42 and Aβ40 concentrations approached a steady state level by 30 months.Conclusions: In young rats there is no correlation between CSF turnover and Aβ brain concentrations. After 12 months, CSF turnover decreases as brain Aβ continues to accumulate. This decrease in CSF turnover rate may be one of several clearance pathway alterations that influence age-related accumulation of brain amyloid. © 2012 Chiu et al; licensee BioMed Central Ltd.","author":[{"dropping-particle":"","family":"Chiu","given":"Catherine","non-dropping-particle":"","parse-names":false,"suffix":""},{"dropping-particle":"","family":"Miller","given":"Miles C.","non-dropping-particle":"","parse-names":false,"suffix":""},{"dropping-particle":"","family":"Caralopoulos","given":"Ilias N.","non-dropping-particle":"","parse-names":false,"suffix":""},{"dropping-particle":"","family":"Worden","given":"Michael S.","non-dropping-particle":"","parse-names":false,"suffix":""},{"dropping-particle":"","family":"Brinker","given":"Thomas","non-dropping-particle":"","parse-names":false,"suffix":""},{"dropping-particle":"","family":"Gordon","given":"Zachary N.","non-dropping-particle":"","parse-names":false,"suffix":""},{"dropping-particle":"","family":"Johanson","given":"Conrad E.","non-dropping-particle":"","parse-names":false,"suffix":""},{"dropping-particle":"","family":"Silverberg","given":"Gerald D.","non-dropping-particle":"","parse-names":false,"suffix":""}],"container-title":"Fluids and Barriers of the CNS","id":"ITEM-4","issue":"3","issued":{"date-parts":[["2012"]]},"page":"1-10","title":"Temporal course of cerebrospinal fluid dynamics and amyloid accumulation in the aging rat brain from three to thirty months","type":"article-journal","volume":"9"},"uris":["http://www.mendeley.com/documents/?uuid=b742b67d-5dff-414d-b190-01cd60bf4412"]}],"mendeley":{"formattedCitation":"[33, 35–37]","plainTextFormattedCitation":"[33, 35–37]","previouslyFormattedCitation":"[33, 35–37]"},"properties":{"noteIndex":0},"schema":"https://github.com/citation-style-language/schema/raw/master/csl-citation.json"}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[33, 35–37]</w:t>
            </w:r>
            <w:r w:rsidRPr="00C644C2">
              <w:rPr>
                <w:rFonts w:eastAsia="Times New Roman" w:cstheme="minorHAnsi"/>
                <w:color w:val="000000"/>
                <w:sz w:val="20"/>
                <w:szCs w:val="20"/>
              </w:rPr>
              <w:fldChar w:fldCharType="end"/>
            </w:r>
          </w:p>
        </w:tc>
        <w:tc>
          <w:tcPr>
            <w:tcW w:w="1701" w:type="dxa"/>
            <w:vAlign w:val="center"/>
          </w:tcPr>
          <w:p w14:paraId="59411935" w14:textId="77777777" w:rsidR="00431683" w:rsidRPr="00C644C2" w:rsidRDefault="00431683" w:rsidP="006B306D">
            <w:pPr>
              <w:spacing w:after="0" w:line="240" w:lineRule="auto"/>
              <w:jc w:val="center"/>
              <w:rPr>
                <w:rFonts w:eastAsia="Times New Roman" w:cstheme="minorHAnsi"/>
                <w:color w:val="000000"/>
                <w:sz w:val="20"/>
                <w:szCs w:val="20"/>
                <w:vertAlign w:val="superscript"/>
              </w:rPr>
            </w:pPr>
            <w:r w:rsidRPr="00C644C2">
              <w:rPr>
                <w:rFonts w:eastAsia="Times New Roman" w:cstheme="minorHAnsi"/>
                <w:color w:val="000000"/>
                <w:sz w:val="20"/>
                <w:szCs w:val="20"/>
              </w:rPr>
              <w:t>20</w:t>
            </w:r>
          </w:p>
          <w:p w14:paraId="3170F107"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color w:val="000000"/>
                <w:sz w:val="20"/>
                <w:szCs w:val="20"/>
              </w:rPr>
              <w:t>(11 – 16)</w:t>
            </w:r>
          </w:p>
        </w:tc>
        <w:tc>
          <w:tcPr>
            <w:tcW w:w="4111" w:type="dxa"/>
            <w:vAlign w:val="center"/>
          </w:tcPr>
          <w:p w14:paraId="54DB6D29"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fldChar w:fldCharType="begin" w:fldLock="1"/>
            </w:r>
            <w:r w:rsidR="00AA6F5B" w:rsidRPr="00C644C2">
              <w:rPr>
                <w:rFonts w:eastAsia="Times New Roman" w:cstheme="minorHAnsi"/>
                <w:sz w:val="20"/>
                <w:szCs w:val="20"/>
              </w:rPr>
              <w:instrText>ADDIN CSL_CITATION {"citationItems":[{"id":"ITEM-1","itemData":{"DOI":"10.1002/ajpa.10092","ISBN":"1096-8644","abstract":"Normative data on the in vivo size of the human brain and its major anatomically defined subdivisions are not readily available. In this study, high-resolution magnetic resonance imaging was used to measure regional brain volumes in 46 normal, right-handed adults (23 men, 23 women) between the ages of 22–49 years. Parcellation of the brain was based on neuroanatomical landmarks. The following brain regions were measured: the cerebral hemispheres, frontal lobe, temporal lobe, parietal lobe, occipital lobe, cingulate gyrus, insula, cerebellum, corpus callosum, and lateral ventricles. Males tend to be significantly larger than females, for the whole brain and for nearly all of its major subdivisions, including the corpus callosum. However, the proportional sizes of regions relative to total volume of the hemisphere are remarkably similar in males and females. Variation in size of region is always greater than variation in proportional representation. Asymmetries in brain regions are not profound, with the exception of the cingulate gyrus, which is larger in the left hemisphere. Brain regions are highly correlated in size, with the exception of the lateral ventricles. After controlling for hemisphere size, the volumes of the frontal and parietal lobes are significantly negatively correlated. The occipital lobe tends to be less sexually dimorphic than other major lobes, and less correlated with other brain regions for volume. These results have implications for understanding whether or not certain sectors of the brain have shown relative expansion over the course of hominid and hominoid evolution. Am J Phys Anthropol 118:341–358, 2002. © 2002 Wiley-Liss, Inc.","author":[{"dropping-particle":"","family":"Allen","given":"John S","non-dropping-particle":"","parse-names":false,"suffix":""},{"dropping-particle":"","family":"Damasio","given":"Hanna","non-dropping-particle":"","parse-names":false,"suffix":""},{"dropping-particle":"","family":"Grabowski","given":"Thomas J","non-dropping-particle":"","parse-names":false,"suffix":""}],"container-title":"American Journal of Physical Anthropology","id":"ITEM-1","issue":"4","issued":{"date-parts":[["2002"]]},"language":"en","page":"341-358","title":"Normal neuroanatomical variation in the human brain: An MRI-volumetric study","title-short":"Normal neuroanatomical variation in the human brai","type":"article-journal","volume":"118"},"uris":["http://www.mendeley.com/documents/?uuid=5a08dec0-ad01-4cb2-a401-620fc5fed338"]},{"id":"ITEM-2","itemData":{"DOI":"10.1002/jmri.10032","ISBN":"1522-2586","abstract":"Purpose To propose a method for the quantification of lateral ventricle (LV) volumes on a single sequence of 3D magnetic resonance (MR) images. Materials and Methods This algorithm, following a preliminary fuzzy tissue classification step, is based on the development of mathematical morphology processes allowing both the extraction of the LVs and the correction of partial volume effects on their boundaries. The procedure is fast and totally unsupervised. The method is tested on a phantom image, then applied to five patients diagnosed as potentially suffering from Alzheimer's disease, and finally applied on several MR acquisitions to show the genericness of the algorithm. Results and Conclusion This technique yielded both an accurate estimation of ventricular volumes intra- and intersubject with respect to published data and a relevant management of partial volume effects. Numerous clinical applications are now expected, from the study of schizophrenia to the longitudinal follow-up of Alzheimer's patients. J. Magn. Reson. Imaging 2002;15:16–22. © 2002 Wiley-Liss, Inc.","author":[{"dropping-particle":"","family":"Barra","given":"Vincent","non-dropping-particle":"","parse-names":false,"suffix":""},{"dropping-particle":"","family":"Frenoux","given":"Emmanuelle","non-dropping-particle":"","parse-names":false,"suffix":""},{"dropping-particle":"","family":"Boire","given":"Jean-Yves","non-dropping-particle":"","parse-names":false,"suffix":""}],"container-title":"Journal of Magnetic Resonance Imaging","id":"ITEM-2","issue":"1","issued":{"date-parts":[["2002"]]},"language":"en","page":"16-22","title":"Automatic volumetric measurement of lateral ventricles on magnetic resonance images with correction of partial volume effects","type":"article-journal","volume":"15"},"uris":["http://www.mendeley.com/documents/?uuid=ce917024-8fff-4535-82c7-517bc053b893"]},{"id":"ITEM-3","itemData":{"DOI":"10.1080/00207450490249428","ISBN":"0020-7454","abstract":"Sex and handedness differences in the volumes of cerebral ventricles were studied in 20 right- and 21 left-handed subjects. To assess the volumes of cerebral ventricles, Cavalieri's method was used using MRI. In right-handers, the volume of the lateral ventricle was higher in the right side than in the left side, but, in left-handers, it was higher in the left side than in the right side. The volumes of right-lateral and third ventricles were larger in right-handers than in lefthanders. There were no sex related differences in terms of the volumes of right- and left lateral, third, and fourth ventricles. These results suggest that left-handedness is an important factor reducing the sizes of all the brain ventricles","author":[{"dropping-particle":"","family":"Erdogan","given":"A L I RIZA","non-dropping-particle":"","parse-names":false,"suffix":""},{"dropping-particle":"","family":"DANE","given":"SENOL","non-dropping-particle":"","parse-names":false,"suffix":""},{"dropping-particle":"","family":"AYDIN","given":"MEHMET DUMLU","non-dropping-particle":"","parse-names":false,"suffix":""},{"dropping-particle":"","family":"ÖZDIKICI","given":"METE","non-dropping-particle":"","parse-names":false,"suffix":""},{"dropping-particle":"","family":"DIYARBAKIRLI","given":"SEMIH","non-dropping-particle":"","parse-names":false,"suffix":""}],"container-title":"International Journal of Neuroscience","id":"ITEM-3","issue":"1","issued":{"date-parts":[["2004"]]},"page":"67-73","title":"Sex and Handedness Differences in Size of Cerebral Ventricles of Normal Subjects","type":"article-journal","volume":"114"},"uris":["http://www.mendeley.com/documents/?uuid=b9787361-3f32-45ef-8243-efd65bc44f8a"]},{"id":"ITEM-4","itemData":{"URL":"https://posterng.netkey.at/esr/viewing/index.php?module=viewing_poster&amp;doi=10.1594/ecr2010/C-2729","abstract":"Poster: \"ECR 2010 / C-2729 / Normal values of ventricular volume and cerebrospinal fluid (CSF) circulation in healthy subjects\" by: \"M.  J.  Lamers, W.  M.  Klein, B.  Góraj; Nijmegen/NL\"","author":[{"dropping-particle":"","family":"Lamers","given":"Maria","non-dropping-particle":"","parse-names":false,"suffix":""},{"dropping-particle":"","family":"Klein","given":"Willemijn","non-dropping-particle":"","parse-names":false,"suffix":""},{"dropping-particle":"","family":"Góraj","given":"Bozena","non-dropping-particle":"","parse-names":false,"suffix":""}],"id":"ITEM-4","issued":{"date-parts":[["2010"]]},"language":"en","title":"Normal values of ventricular volume and cerebrospinal fluid (CSF) circulation in healthy subjects","type":"webpage"},"uris":["http://www.mendeley.com/documents/?uuid=4ea21e6c-c240-4aad-9631-6d182ec5895b"]},{"id":"ITEM-5","itemData":{"DOI":"10.1007/s12565-012-0162-x","ISBN":"1447-073X","abstract":"Morphological and volumetric variabilities of lateral ventricles are considered indirect indicators of age-and gender-related reductions of white and gray matter. However, no studies have classified lateral ventricles with different morphologies or showed its asymmetric shapes in healthy subjects. We performed an analysis on living subjects, using 3D volume rendering techniques. Eighty-five healthy Caucasian volunteers (49 women and 36 men aged 19–69 years) were scanned by a Philips Achieva 3T R2.6. Three-dimensional reconstruction allowed us to identify three main morphological shapes in living subjects and to show asymmetries between horns. We also assessed the surface deformation of the cerebral ventricles to identify region-specific shape differences in aging healthy adults. Statistical analysis showed significant gender- and age-related volume differences. An increase in lateral ventricle volume appears to be a constant, linear function of age throughout adult life.","author":[{"dropping-particle":"","family":"Trimarchi","given":"Fabio","non-dropping-particle":"","parse-names":false,"suffix":""},{"dropping-particle":"","family":"Bramanti","given":"Placido","non-dropping-particle":"","parse-names":false,"suffix":""},{"dropping-particle":"","family":"Marino","given":"Silvia","non-dropping-particle":"","parse-names":false,"suffix":""},{"dropping-particle":"","family":"Milardi","given":"Demetrio","non-dropping-particle":"","parse-names":false,"suffix":""},{"dropping-particle":"","family":"Mauro","given":"Debora","non-dropping-particle":"Di","parse-names":false,"suffix":""},{"dropping-particle":"","family":"Ielitro","given":"Giuseppe","non-dropping-particle":"","parse-names":false,"suffix":""},{"dropping-particle":"","family":"Valenti","given":"Barbara","non-dropping-particle":"","parse-names":false,"suffix":""},{"dropping-particle":"","family":"Vaccarino","given":"Gianluigi","non-dropping-particle":"","parse-names":false,"suffix":""},{"dropping-particle":"","family":"Milazzo","given":"Carmelo","non-dropping-particle":"","parse-names":false,"suffix":""},{"dropping-particle":"","family":"Cutroneo","given":"Giuseppina","non-dropping-particle":"","parse-names":false,"suffix":""}],"container-title":"Anatomical Science International","id":"ITEM-5","issue":"2","issued":{"date-parts":[["2013"]]},"language":"en","page":"61-69","title":"MRI 3D lateral cerebral ventricles in living humans: morphological and morphometrical age-, gender-related preliminary study","title-short":"MRI 3D lateral cerebral ventricles in living human","type":"article-journal","volume":"88"},"uris":["http://www.mendeley.com/documents/?uuid=2884d1cb-d24c-4363-b368-0bd31a785fa2"]}],"mendeley":{"formattedCitation":"[38–42]","plainTextFormattedCitation":"[38–42]","previouslyFormattedCitation":"[38–42]"},"properties":{"noteIndex":0},"schema":"https://github.com/citation-style-language/schema/raw/master/csl-citation.json"}</w:instrText>
            </w:r>
            <w:r w:rsidRPr="00C644C2">
              <w:rPr>
                <w:rFonts w:eastAsia="Times New Roman" w:cstheme="minorHAnsi"/>
                <w:sz w:val="20"/>
                <w:szCs w:val="20"/>
              </w:rPr>
              <w:fldChar w:fldCharType="separate"/>
            </w:r>
            <w:r w:rsidR="001344EA" w:rsidRPr="00C644C2">
              <w:rPr>
                <w:rFonts w:eastAsia="Times New Roman" w:cstheme="minorHAnsi"/>
                <w:noProof/>
                <w:sz w:val="20"/>
                <w:szCs w:val="20"/>
              </w:rPr>
              <w:t>[38–42]</w:t>
            </w:r>
            <w:r w:rsidRPr="00C644C2">
              <w:rPr>
                <w:rFonts w:eastAsia="Times New Roman" w:cstheme="minorHAnsi"/>
                <w:sz w:val="20"/>
                <w:szCs w:val="20"/>
              </w:rPr>
              <w:fldChar w:fldCharType="end"/>
            </w:r>
          </w:p>
        </w:tc>
      </w:tr>
      <w:tr w:rsidR="00431683" w:rsidRPr="00C644C2" w14:paraId="6668F05B" w14:textId="77777777" w:rsidTr="00154697">
        <w:trPr>
          <w:trHeight w:val="78"/>
        </w:trPr>
        <w:tc>
          <w:tcPr>
            <w:tcW w:w="1560" w:type="dxa"/>
            <w:vMerge/>
            <w:vAlign w:val="center"/>
            <w:hideMark/>
          </w:tcPr>
          <w:p w14:paraId="399B29E5"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center"/>
            <w:hideMark/>
          </w:tcPr>
          <w:p w14:paraId="10A30BB0"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3</w:t>
            </w:r>
            <w:r w:rsidRPr="00C644C2">
              <w:rPr>
                <w:rFonts w:eastAsia="Times New Roman" w:cstheme="minorHAnsi"/>
                <w:color w:val="000000"/>
                <w:sz w:val="20"/>
                <w:szCs w:val="20"/>
                <w:vertAlign w:val="superscript"/>
              </w:rPr>
              <w:t>rd</w:t>
            </w:r>
            <w:r w:rsidRPr="00C644C2">
              <w:rPr>
                <w:rFonts w:eastAsia="Times New Roman" w:cstheme="minorHAnsi"/>
                <w:color w:val="000000"/>
                <w:sz w:val="20"/>
                <w:szCs w:val="20"/>
              </w:rPr>
              <w:t xml:space="preserve"> &amp; 4</w:t>
            </w:r>
            <w:r w:rsidRPr="00C644C2">
              <w:rPr>
                <w:rFonts w:eastAsia="Times New Roman" w:cstheme="minorHAnsi"/>
                <w:color w:val="000000"/>
                <w:sz w:val="20"/>
                <w:szCs w:val="20"/>
                <w:vertAlign w:val="superscript"/>
              </w:rPr>
              <w:t>th</w:t>
            </w:r>
            <w:r w:rsidRPr="00C644C2">
              <w:rPr>
                <w:rFonts w:eastAsia="Times New Roman" w:cstheme="minorHAnsi"/>
                <w:color w:val="000000"/>
                <w:sz w:val="20"/>
                <w:szCs w:val="20"/>
              </w:rPr>
              <w:t xml:space="preserve"> ventricles</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TFV</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5A04278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0.0075</w:t>
            </w:r>
          </w:p>
          <w:p w14:paraId="6C6DD9B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 (0.003 – 0.015)</w:t>
            </w:r>
          </w:p>
        </w:tc>
        <w:tc>
          <w:tcPr>
            <w:tcW w:w="3685" w:type="dxa"/>
            <w:vMerge/>
            <w:vAlign w:val="center"/>
          </w:tcPr>
          <w:p w14:paraId="4D45E944"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1701" w:type="dxa"/>
            <w:vAlign w:val="center"/>
          </w:tcPr>
          <w:p w14:paraId="0E12C0E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3</w:t>
            </w:r>
          </w:p>
          <w:p w14:paraId="00801B2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(2.3 – 3.7)</w:t>
            </w:r>
          </w:p>
        </w:tc>
        <w:tc>
          <w:tcPr>
            <w:tcW w:w="4111" w:type="dxa"/>
            <w:vAlign w:val="center"/>
          </w:tcPr>
          <w:p w14:paraId="4D9EF6A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{"citationItems":[{"id":"ITEM-1","itemData":{"DOI":"10.1080/00207450490249428","ISBN":"0020-7454","abstract":"Sex and handedness differences in the volumes of cerebral ventricles were studied in 20 right- and 21 left-handed subjects. To assess the volumes of cerebral ventricles, Cavalieri's method was used using MRI. In right-handers, the volume of the lateral ventricle was higher in the right side than in the left side, but, in left-handers, it was higher in the left side than in the right side. The volumes of right-lateral and third ventricles were larger in right-handers than in lefthanders. There were no sex related differences in terms of the volumes of right- and left lateral, third, and fourth ventricles. These results suggest that left-handedness is an important factor reducing the sizes of all the brain ventricles","author":[{"dropping-particle":"","family":"Erdogan","given":"A L I RIZA","non-dropping-particle":"","parse-names":false,"suffix":""},{"dropping-particle":"","family":"DANE","given":"SENOL","non-dropping-particle":"","parse-names":false,"suffix":""},{"dropping-particle":"","family":"AYDIN","given":"MEHMET DUMLU","non-dropping-particle":"","parse-names":false,"suffix":""},{"dropping-particle":"","family":"ÖZDIKICI","given":"METE","non-dropping-particle":"","parse-names":false,"suffix":""},{"dropping-particle":"","family":"DIYARBAKIRLI","given":"SEMIH","non-dropping-particle":"","parse-names":false,"suffix":""}],"container-title":"International Journal of Neuroscience","id":"ITEM-1","issue":"1","issued":{"date-parts":[["2004"]]},"page":"67-73","title":"Sex and Handedness Differences in Size of Cerebral Ventricles of Normal Subjects","type":"article-journal","volume":"114"},"uris":["http://www.mendeley.com/documents/?uuid=b9787361-3f32-45ef-8243-efd65bc44f8a"]},{"id":"ITEM-2","itemData":{"URL":"https://posterng.netkey.at/esr/viewing/index.php?module=viewing_poster&amp;doi=10.1594/ecr2010/C-2729","abstract":"Poster: \"ECR 2010 / C-2729 / Normal values of ventricular volume and cerebrospinal fluid (CSF) circulation in healthy subjects\" by: \"M.  J.  Lamers, W.  M.  Klein, B.  Góraj; Nijmegen/NL\"","author":[{"dropping-particle":"","family":"Lamers","given":"Maria","non-dropping-particle":"","parse-names":false,"suffix":""},{"dropping-particle":"","family":"Klein","given":"Willemijn","non-dropping-particle":"","parse-names":false,"suffix":""},{"dropping-particle":"","family":"Góraj","given":"Bozena","non-dropping-particle":"","parse-names":false,"suffix":""}],"id":"ITEM-2","issued":{"date-parts":[["2010"]]},"language":"en","title":"Normal values of ventricular volume and cerebrospinal fluid (CSF) circulation in healthy subjects","type":"webpage"},"uris":["http://www.mendeley.com/documents/?uuid=4ea21e6c-c240-4aad-9631-6d182ec5895b"]}],"mendeley":{"formattedCitation":"[40, 41]","plainTextFormattedCitation":"[40, 41]","previouslyFormattedCitation":"[40, 41]"},"properties":{"noteIndex":0},"schema":"https://github.com/citation-style-language/schema/raw/master/csl-citation.json"}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[40, 41]</w:t>
            </w:r>
            <w:r w:rsidRPr="00C644C2">
              <w:rPr>
                <w:rFonts w:eastAsia="Times New Roman" w:cstheme="minorHAnsi"/>
                <w:color w:val="000000"/>
                <w:sz w:val="20"/>
                <w:szCs w:val="20"/>
              </w:rPr>
              <w:fldChar w:fldCharType="end"/>
            </w:r>
          </w:p>
        </w:tc>
      </w:tr>
      <w:tr w:rsidR="00431683" w:rsidRPr="00C644C2" w14:paraId="0C65BCFC" w14:textId="77777777" w:rsidTr="00154697">
        <w:trPr>
          <w:trHeight w:val="78"/>
        </w:trPr>
        <w:tc>
          <w:tcPr>
            <w:tcW w:w="1560" w:type="dxa"/>
            <w:vMerge/>
            <w:vAlign w:val="center"/>
            <w:hideMark/>
          </w:tcPr>
          <w:p w14:paraId="62D9C53F"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center"/>
            <w:hideMark/>
          </w:tcPr>
          <w:p w14:paraId="5770FB32"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Cisterna magna</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CM</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246189E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0.017</w:t>
            </w:r>
            <w:r w:rsidRPr="00691E3C">
              <w:rPr>
                <w:rStyle w:val="FootnoteReference"/>
              </w:rPr>
              <w:footnoteReference w:id="9"/>
            </w:r>
          </w:p>
        </w:tc>
        <w:tc>
          <w:tcPr>
            <w:tcW w:w="3685" w:type="dxa"/>
            <w:shd w:val="clear" w:color="auto" w:fill="auto"/>
            <w:noWrap/>
            <w:vAlign w:val="center"/>
          </w:tcPr>
          <w:p w14:paraId="4CF51DF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{"citationItems":[{"id":"ITEM-1","itemData":{"DOI":"10.1023/B:BEBM.0000042732.00810.01","ISSN":"00074888","abstract":"The actual size and sites for puncture of the cisterna magna in adult Wistar rats were estimated on acrylic models. We proposed a new method for obtaining cerebrospinal fluid from narcotized rats. This method consists in controlled introduction of a needle into the cisterna magna through the skin and/or dura mater above this structure using a stereotactic micromanipulator. Experiments on rats with focal and global cerebral ischemia showed that this technique ensures single and repeated sampling of at least 50 microl liquor not containing blood admixtures.","author":[{"dropping-particle":"V.","family":"Lebedev","given":"S.","non-dropping-particle":"","parse-names":false,"suffix":""},{"dropping-particle":"V.","family":"Blinov","given":"D.","non-dropping-particle":"","parse-names":false,"suffix":""},{"dropping-particle":"V.","family":"Petrov","given":"S.","non-dropping-particle":"","parse-names":false,"suffix":""}],"container-title":"Bulletin of Experimental Biology and Medicine","id":"ITEM-1","issue":"6","issued":{"date-parts":[["2004"]]},"page":"635-638","title":"Spatial characteristics of cisterna magna in rats and novel technique for puncture with a stereotactic manipulator","type":"article-journal","volume":"137"},"uris":["http://www.mendeley.com/documents/?uuid=6b7bbcb8-496b-4a4c-ba62-87f05b1747f9"]},{"id":"ITEM-2","itemData":{"DOI":"10.1016/j.ejps.2013.12.020","ISSN":"0928-0987","author":[{"dropping-particle":"","family":"Westerhout","given":"Joost","non-dropping-particle":"","parse-names":false,"suffix":""},{"dropping-particle":"Van Den","family":"Berg","given":"Dirk-jan","non-dropping-particle":"","parse-names":false,"suffix":""},{"dropping-particle":"","family":"Hartman","given":"Robin","non-dropping-particle":"","parse-names":false,"suffix":""},{"dropping-particle":"","family":"Danhof","given":"Meindert","non-dropping-particle":"","parse-names":false,"suffix":""},{"dropping-particle":"","family":"Lange","given":"Elizabeth C M","non-dropping-particle":"De","parse-names":false,"suffix":""}],"container-title":"European Journal of Pharmaceutical Sciences","id":"ITEM-2","issue":"2014","issued":{"date-parts":[["2014"]]},"page":"11-24","publisher":"Elsevier B.V.","title":"Prediction of methotrexate CNS distribution in different species – Influence of disease conditions","type":"article-journal","volume":"57"},"uris":["http://www.mendeley.com/documents/?uuid=50826dc7-19b7-448f-b4ab-cc7e1c45ff21"]}],"mendeley":{"formattedCitation":"[3, 43]","plainTextFormattedCitation":"[3, 43]","previouslyFormattedCitation":"[3, 43]"},"properties":{"noteIndex":0},"schema":"https://github.com/citation-style-language/schema/raw/master/csl-citation.json"}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[3, 43]</w:t>
            </w:r>
            <w:r w:rsidRPr="00C644C2">
              <w:rPr>
                <w:rFonts w:eastAsia="Times New Roman" w:cstheme="minorHAnsi"/>
                <w:color w:val="000000"/>
                <w:sz w:val="20"/>
                <w:szCs w:val="20"/>
              </w:rPr>
              <w:fldChar w:fldCharType="end"/>
            </w:r>
          </w:p>
        </w:tc>
        <w:tc>
          <w:tcPr>
            <w:tcW w:w="1701" w:type="dxa"/>
            <w:vAlign w:val="center"/>
          </w:tcPr>
          <w:p w14:paraId="728C6B6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1</w:t>
            </w:r>
          </w:p>
        </w:tc>
        <w:tc>
          <w:tcPr>
            <w:tcW w:w="4111" w:type="dxa"/>
            <w:vAlign w:val="center"/>
          </w:tcPr>
          <w:p w14:paraId="1000DE88"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{"citationItems":[{"id":"ITEM-1","itemData":{"DOI":"10.1007/s00234-013-1269-z","ISSN":"00283940","abstract":"Introduction: The goal of this study was to radiologically describe the anatomical characteristics of the cisterna magna (CM) with regard to presence, dimension, and configuration. Methods: In this retrospective study, 523 records were reviewed. We defined five CM types, the range of which covered all normal variants found in the study population. Characteristics of the CM were recorded and correlations between various posterior fossa dimensions and CM volume determined. Results: There were 268 female (mean age 50.9 ± 16.9 years) and 255 male (mean age 54.1 ± 15.8 years) patients. CM volume was smaller in females than in males and correlated with age (Pearson correlation, r = 0.1494, p = 0.0006) and gender (unpaired t test, r 2 = 0.0608, p  &lt;  0.0001). Clivus length correlated with CM volume (Pearson correlation, r = 0.211, p  &lt;  0.0001) and gender (unpaired t test, r 2 = 0.2428, p  &lt;  0.0001). Tentorial angle did not correlate with CM volume (Pearson correlation, r = -0.0609, p  &lt;  0.1642) but did correlate with gender (unpaired t test, r 2 = 0.0163, p  &lt;  0.0035). The anterior-posterior dimension of cerebrospinal fluid anterior to the brainstem correlated with CM volume (Pearson correlation, r = 0.181, p  &lt;  0.0001) and gender (unpaired t test, r 2 = 0.0205, p = 0.001). Conclusion: The anatomical description and simple classification system we define allows for a more precise description of posterior fossa anatomy and could potentially contribute to the understanding of Chiari malformation anatomy and management. © 2013 Springer-Verlag Berlin Heidelberg (outside the USA).","author":[{"dropping-particle":"","family":"Whitney","given":"Nathaniel","non-dropping-particle":"","parse-names":false,"suffix":""},{"dropping-particle":"","family":"Sun","given":"Hai","non-dropping-particle":"","parse-names":false,"suffix":""},{"dropping-particle":"","family":"Pollock","given":"Jeffrey M.","non-dropping-particle":"","parse-names":false,"suffix":""},{"dropping-particle":"","family":"Ross","given":"Donald A.","non-dropping-particle":"","parse-names":false,"suffix":""}],"container-title":"Neuroradiology","id":"ITEM-1","issue":"11","issued":{"date-parts":[["2013"]]},"page":"1333-1339","title":"The human foramen magnum - Normal anatomy of the cisterna magna in adults","type":"article-journal","volume":"55"},"uris":["http://www.mendeley.com/documents/?uuid=e7ec7b09-1988-49cf-a5df-bcab3503b8a8"]}],"mendeley":{"formattedCitation":"[44]","plainTextFormattedCitation":"[44]","previouslyFormattedCitation":"[44]"},"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[44]</w:t>
            </w:r>
            <w:r w:rsidRPr="00C644C2">
              <w:rPr>
                <w:rFonts w:eastAsia="Times New Roman" w:cstheme="minorHAnsi"/>
                <w:color w:val="000000"/>
                <w:sz w:val="20"/>
                <w:szCs w:val="20"/>
              </w:rPr>
              <w:fldChar w:fldCharType="end"/>
            </w:r>
          </w:p>
        </w:tc>
      </w:tr>
      <w:tr w:rsidR="00431683" w:rsidRPr="00C644C2" w14:paraId="106F1EE6" w14:textId="77777777" w:rsidTr="00154697">
        <w:trPr>
          <w:trHeight w:val="78"/>
        </w:trPr>
        <w:tc>
          <w:tcPr>
            <w:tcW w:w="1560" w:type="dxa"/>
            <w:vMerge/>
            <w:vAlign w:val="center"/>
            <w:hideMark/>
          </w:tcPr>
          <w:p w14:paraId="360FBE27"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center"/>
            <w:hideMark/>
          </w:tcPr>
          <w:p w14:paraId="14FEB743"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Subarachnoid space</w:t>
            </w:r>
            <w:r w:rsidR="00FF605E" w:rsidRPr="00C644C2">
              <w:rPr>
                <w:rFonts w:eastAsia="Times New Roman" w:cstheme="minorHAnsi"/>
                <w:color w:val="000000"/>
                <w:sz w:val="20"/>
                <w:szCs w:val="20"/>
              </w:rPr>
              <w:t xml:space="preserve"> (V</w:t>
            </w:r>
            <w:r w:rsidR="00FF605E" w:rsidRPr="00C644C2">
              <w:rPr>
                <w:rFonts w:eastAsia="Times New Roman" w:cstheme="minorHAnsi"/>
                <w:color w:val="000000"/>
                <w:sz w:val="20"/>
                <w:szCs w:val="20"/>
                <w:vertAlign w:val="subscript"/>
              </w:rPr>
              <w:t>SAS</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0AC937B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0.135</w:t>
            </w:r>
            <w:r w:rsidRPr="00691E3C">
              <w:rPr>
                <w:rStyle w:val="FootnoteReference"/>
              </w:rPr>
              <w:footnoteReference w:id="10"/>
            </w:r>
          </w:p>
        </w:tc>
        <w:tc>
          <w:tcPr>
            <w:tcW w:w="3685" w:type="dxa"/>
            <w:shd w:val="clear" w:color="auto" w:fill="auto"/>
            <w:noWrap/>
            <w:vAlign w:val="center"/>
          </w:tcPr>
          <w:p w14:paraId="646A5D8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{"citationItems":[{"id":"ITEM-1","itemData":{"DOI":"10.1186/s12987-015-0001-2","ISSN":"20458118","abstract":"BACKGROUND The cerebrospinal fluid (CSF) circulatory system is involved in neuroimmune regulation, cerebral detoxification, and delivery of various endogenous and exogenous substances. In conjunction with the choroid plexuses, which form the main barrier site between blood and CSF, this fluid participates in controlling the environment of the developing brain. The lack of comprehensive data on developmental changes in CSF volume and distribution impairs our understanding of CSF contribution to brain development, and limits the interpretation of blood-CSF permeability data. To address these issues, we describe the evolution of the CSF circulatory system during the perinatal period and have quantified the volume of the different ventricular, cisternal and subarachnoid CSF compartments at three ages in developing rats. METHODS Immunohistofluorescence was used to visualize tight junctions in parenchymal and meningeal vessels, and in choroid plexus epithelium of 19-day fetal rats. A quantitative method based on serial sectioning of frozen head and surface measurements at the cutting plane was used to determine the volume of twenty different CSF compartments in rat brain on embryonic day 19 (E19), and postnatal days 2 (P2) and 9 (P9). Blood-CSF permeability constants for sucrose were established at P2 and P9, following CSF sampling from the cisterna magna. RESULTS Claudin-1 and claudin-5 immunohistofluorescence labeling illustrated the barrier phenotype acquired by all blood-brain and blood-CSF interfaces throughout the entire CNS in E19 rats. This should ensure that brain fluid composition is regulated and independent from plasma composition in developing brain. Analysis of the caudo-rostral profiles of CSF distribution and of the volume of twenty CSF compartments indicated that the CSF-to-cranial cavity volume ratio decreases from 30% at E19 to 10% at P9. CSF compartmentalization within the brain changes during this period, with a major decrease in CSF-to-brain volume ratio in the caudal half of the brain. Integrating CSF volume with the measurement of permeability constants, adds to our understanding of the apparent postnatal decrease in blood-CSF permeability to sucrose. CONCLUSION Reference data on CSF compartment volumes throughout development are provided. Such data can be used to refine blood-CSF permeability constants in developing rats, and should help a better understanding of diffusion, bulk flow, and volume transmission in the developing brain.","author":[{"dropping-particle":"","family":"Ghersi-Egea","given":"Jean François","non-dropping-particle":"","parse-names":false,"suffix":""},{"dropping-particle":"","family":"Babikian","given":"Anaïd","non-dropping-particle":"","parse-names":false,"suffix":""},{"dropping-particle":"","family":"Blondel","given":"Sandrine","non-dropping-particle":"","parse-names":false,"suffix":""},{"dropping-particle":"","family":"Strazielle","given":"Nathalie","non-dropping-particle":"","parse-names":false,"suffix":""}],"container-title":"Fluids and Barriers of the CNS","id":"ITEM-1","issue":"1","issued":{"date-parts":[["2015"]]},"title":"Changes in the cerebrospinal fluid circulatory system of the developing rat: Quantitative volumetric analysis and effect on blood-CSF permeability interpretation","type":"article-journal","volume":"12"},"uris":["http://www.mendeley.com/documents/?uuid=4353657f-b644-4322-b9a0-242eecf43600"]}],"mendeley":{"formattedCitation":"[45]","plainTextFormattedCitation":"[45]","previouslyFormattedCitation":"[45]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[45]</w:t>
            </w:r>
            <w:r w:rsidRPr="00C644C2">
              <w:rPr>
                <w:rFonts w:eastAsia="Times New Roman" w:cstheme="minorHAnsi"/>
                <w:color w:val="000000"/>
                <w:sz w:val="20"/>
                <w:szCs w:val="20"/>
              </w:rPr>
              <w:fldChar w:fldCharType="end"/>
            </w:r>
          </w:p>
        </w:tc>
        <w:tc>
          <w:tcPr>
            <w:tcW w:w="1701" w:type="dxa"/>
            <w:vAlign w:val="center"/>
          </w:tcPr>
          <w:p w14:paraId="5F93419C" w14:textId="77777777" w:rsidR="00431683" w:rsidRPr="00C644C2" w:rsidRDefault="00431683" w:rsidP="006B306D">
            <w:pPr>
              <w:spacing w:after="0" w:line="240" w:lineRule="auto"/>
              <w:jc w:val="center"/>
              <w:rPr>
                <w:rFonts w:eastAsia="Times New Roman" w:cstheme="minorHAnsi"/>
                <w:color w:val="000000"/>
                <w:sz w:val="20"/>
                <w:szCs w:val="20"/>
                <w:vertAlign w:val="superscript"/>
              </w:rPr>
            </w:pPr>
            <w:r w:rsidRPr="00C644C2">
              <w:rPr>
                <w:rFonts w:eastAsia="Times New Roman" w:cstheme="minorHAnsi"/>
                <w:color w:val="000000"/>
                <w:sz w:val="20"/>
                <w:szCs w:val="20"/>
              </w:rPr>
              <w:t>116</w:t>
            </w:r>
          </w:p>
          <w:p w14:paraId="2F48ECA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(110-116)</w:t>
            </w:r>
          </w:p>
        </w:tc>
        <w:tc>
          <w:tcPr>
            <w:tcW w:w="4111" w:type="dxa"/>
            <w:vAlign w:val="center"/>
          </w:tcPr>
          <w:p w14:paraId="1BAB29C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{"citationItems":[{"id":"ITEM-1","itemData":{"ISBN":"978-1-59259-371-2","abstract":"to it. Once the manuscripts were in hand, it was the The preface to the first edition of Neuroscience in Medicine began with a simple statement: “Neuro- editor’s job to make the writing uniform, remove science is a fascinating discipline.” The interest that duplicative materials except where essential for ease of understanding, and incorporate additional provoked the preparation of a second edition means that statement still rings true. The challenge remained critical material. Neuroscience in Medicine is designed to reveal the to define the core material. I have attempted to restrict certain peripheral topics—the generalities basic science underlying disease and treatments for of biosynthesis and gene expression, for example— neural disorders. Though the chapters are intended to interdigitate, each chapter can be read as a stand in order to allow the remaining topics to include new material and, in some cases, to showcase developing alone—that is, each contains a complete discussion of the topic. areas—neuroimmunology, for example—in the hope that this will pique the interests of the reader and I am pleased that the “Clinical Correlations,” a keep the volume fresh. popular feature of the first edition, are again included. We have also been aided in our task by the art and As in the first edition of Neuroscience in Me- cine, the authors are selected from leaders in editorial staff at Humana, whose help I gratefully acknowledge.","author":[{"dropping-particle":"","family":"Conn","given":"P Michael","non-dropping-particle":"","parse-names":false,"suffix":""}],"id":"ITEM-1","issued":{"date-parts":[["2003"]]},"language":"en","number-of-pages":"707","publisher":"Springer Science &amp; Business Media","title":"Neuroscience in Medicine","type":"book"},"uris":["http://www.mendeley.com/documents/?uuid=ffde6e68-82af-4b4e-9b09-a11c2ea93c2a"]},{"id":"ITEM-2","itemData":{"ISBN":"978-0-674-41783-0","abstract":"Surgical Anatomy of the Head and Neck was hailed as indispensable when it was first published in 2001. This classic atlas—packed with over 700 exceptional drawings, 537 of them in full color—is now available again after years of being out of print. An invaluable reference for surgeons, residents, and medical students.","author":[{"dropping-particle":"","family":"Parviz","given":"Janfaza","non-dropping-particle":"","parse-names":false,"suffix":""}],"id":"ITEM-2","issued":{"date-parts":[["2011"]]},"language":"en","number-of-pages":"932","publisher":"Harvard University Press","title":"Surgical Anatomy of the Head and Neck","type":"book"},"uris":["http://www.mendeley.com/documents/?uuid=af833b59-4c13-4fa9-926d-2466a693ed03"]},{"id":"ITEM-3","itemData":{"DOI":"10.1016/j.anorl.2011.03.002","ISBN":"1879-7296","ISSN":"1879730X","abstract":"The cerebrospinal fluid (CSF) is contained in the brain ventricles and the cranial and spinal subarachnoid spaces. The mean CSF volume is 150 ml, with 25 ml in the ventricles and 125 ml in subarachnoid spaces. CSF is predominantly, but not exclusively, secreted by the choroid plexuses. Brain interstitial fluid, ependyma and capillaries may also play a poorly defined role in CSF secretion. CSF circulation from sites of secretion to sites of absorption largely depends on the arterial pulse wave. Additional factors such as respiratory waves, the subject's posture, jugular venous pressure and physical effort also modulate CSF flow dynamics and pressure. Cranial and spinal arachnoid villi have been considered for a long time to be the predominant sites of CSF absorption into the venous outflow system. Experimental data suggest that cranial and spinal nerve sheaths, the cribriform plate and the adventitia of cerebral arteries constitute substantial pathways of CSF drainage into the lymphatic outflow system. CSF is renewed about four times every 24 hours. Reduction of the CSF turnover rate during ageing leads to accumulation of catabolites in the brain and CSF that are also observed in certain neurodegenerative diseases. The CSF space is a dynamic pressure system. CSF pressure determines intracranial pressure with physiological values ranging between 3 and 4 mmHg before the age of one year, and between 10 and 15 mmHg in adults. Apart from its function of hydromechanical protection of the central nervous system, CSF also plays a prominent role in brain development and regulation of brain interstitial fluid homeostasis, which influences neuronal functioning. © 2011 Elsevier Masson SAS. All rights reserved.","author":[{"dropping-particle":"","family":"Sakka","given":"L.","non-dropping-particle":"","parse-names":false,"suffix":""},{"dropping-particle":"","family":"Coll","given":"G.","non-dropping-particle":"","parse-names":false,"suffix":""},{"dropping-particle":"","family":"Chazal","given":"J.","non-dropping-particle":"","parse-names":false,"suffix":""}],"container-title":"European Annals of Otorhinolaryngology, Head and Neck Diseases","id":"ITEM-3","issue":"6","issued":{"date-parts":[["2011"]]},"page":"309-316","publisher":"Elsevier Masson SAS","title":"Anatomy and physiology of cerebrospinal fluid","type":"article-journal","volume":"128"},"uris":["http://www.mendeley.com/documents/?uuid=eef15009-2f29-4e0c-80a0-8d5bfbbf04bb"]}],"mendeley":{"formattedCitation":"[46–48]","plainTextFormattedCitation":"[46–48]","previouslyFormattedCitation":"[46–48]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[46–48]</w:t>
            </w:r>
            <w:r w:rsidRPr="00C644C2">
              <w:rPr>
                <w:rFonts w:eastAsia="Times New Roman" w:cstheme="minorHAnsi"/>
                <w:color w:val="000000"/>
                <w:sz w:val="20"/>
                <w:szCs w:val="20"/>
              </w:rPr>
              <w:fldChar w:fldCharType="end"/>
            </w:r>
          </w:p>
        </w:tc>
      </w:tr>
      <w:tr w:rsidR="00431683" w:rsidRPr="00C644C2" w14:paraId="2F6D144D" w14:textId="77777777" w:rsidTr="00154697">
        <w:trPr>
          <w:trHeight w:val="78"/>
        </w:trPr>
        <w:tc>
          <w:tcPr>
            <w:tcW w:w="1560" w:type="dxa"/>
            <w:vMerge w:val="restart"/>
            <w:shd w:val="clear" w:color="000000" w:fill="D9D9D9"/>
            <w:vAlign w:val="center"/>
            <w:hideMark/>
          </w:tcPr>
          <w:p w14:paraId="12012258"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Flows</w:t>
            </w:r>
            <w:r w:rsidRPr="00C644C2">
              <w:rPr>
                <w:rFonts w:eastAsia="Times New Roman" w:cstheme="minorHAnsi"/>
                <w:b/>
                <w:bCs/>
                <w:color w:val="000000"/>
                <w:sz w:val="20"/>
                <w:szCs w:val="20"/>
              </w:rPr>
              <w:br/>
              <w:t>(mL min</w:t>
            </w:r>
            <w:r w:rsidRPr="00C644C2">
              <w:rPr>
                <w:rFonts w:eastAsia="Times New Roman" w:cstheme="minorHAnsi"/>
                <w:b/>
                <w:color w:val="000000"/>
                <w:sz w:val="20"/>
                <w:szCs w:val="20"/>
                <w:vertAlign w:val="superscript"/>
              </w:rPr>
              <w:t>-1</w:t>
            </w:r>
            <w:r w:rsidRPr="00C644C2">
              <w:rPr>
                <w:rFonts w:eastAsia="Times New Roman" w:cstheme="minorHAnsi"/>
                <w:b/>
                <w:bCs/>
                <w:color w:val="000000"/>
                <w:sz w:val="20"/>
                <w:szCs w:val="20"/>
              </w:rPr>
              <w:t>)</w:t>
            </w:r>
          </w:p>
        </w:tc>
        <w:tc>
          <w:tcPr>
            <w:tcW w:w="2913" w:type="dxa"/>
            <w:shd w:val="clear" w:color="auto" w:fill="auto"/>
            <w:noWrap/>
            <w:vAlign w:val="center"/>
            <w:hideMark/>
          </w:tcPr>
          <w:p w14:paraId="508F33B4"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Cerebral blood flow</w:t>
            </w:r>
            <w:r w:rsidR="009E487D" w:rsidRPr="00C644C2">
              <w:rPr>
                <w:rFonts w:eastAsia="Times New Roman" w:cstheme="minorHAnsi"/>
                <w:color w:val="000000"/>
                <w:sz w:val="20"/>
                <w:szCs w:val="20"/>
              </w:rPr>
              <w:t xml:space="preserve"> (Q</w:t>
            </w:r>
            <w:r w:rsidR="009E487D" w:rsidRPr="00C644C2">
              <w:rPr>
                <w:rFonts w:eastAsia="Times New Roman" w:cstheme="minorHAnsi"/>
                <w:color w:val="000000"/>
                <w:sz w:val="20"/>
                <w:szCs w:val="20"/>
                <w:vertAlign w:val="subscript"/>
              </w:rPr>
              <w:t>CBF</w:t>
            </w:r>
            <w:r w:rsidR="009E487D" w:rsidRPr="00C644C2">
              <w:rPr>
                <w:rFonts w:eastAsia="Times New Roman" w:cstheme="minorHAnsi"/>
                <w:color w:val="000000"/>
                <w:sz w:val="20"/>
                <w:szCs w:val="20"/>
              </w:rPr>
              <w:t>)</w:t>
            </w:r>
          </w:p>
        </w:tc>
        <w:tc>
          <w:tcPr>
            <w:tcW w:w="1907" w:type="dxa"/>
            <w:shd w:val="clear" w:color="auto" w:fill="auto"/>
            <w:noWrap/>
            <w:vAlign w:val="center"/>
            <w:hideMark/>
          </w:tcPr>
          <w:p w14:paraId="20BF60E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2.87</w:t>
            </w:r>
            <w:r w:rsidRPr="00691E3C">
              <w:rPr>
                <w:rStyle w:val="FootnoteReference"/>
              </w:rPr>
              <w:footnoteReference w:id="11"/>
            </w:r>
          </w:p>
        </w:tc>
        <w:tc>
          <w:tcPr>
            <w:tcW w:w="3685" w:type="dxa"/>
            <w:shd w:val="clear" w:color="auto" w:fill="auto"/>
            <w:vAlign w:val="center"/>
          </w:tcPr>
          <w:p w14:paraId="68F52F98"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{"citationItems":[{"id":"ITEM-1","itemData":{"author":[{"dropping-particle":"","family":"SASAKI","given":"YASUHITO","non-dropping-particle":"","parse-names":false,"suffix":""},{"dropping-particle":"","family":"WAGNER","given":"HENRY N.","non-dropping-particle":"","parse-names":false,"suffix":""}],"container-title":"JOURNAL of APPLIED PHYSOLOGY","id":"ITEM-1","issue":"6","issued":{"date-parts":[["1971"]]},"page":"879-884","title":"Measurement of the distribution of cardiac output in unanesthetized rats","type":"article-journal","volume":"30"},"uris":["http://www.mendeley.com/documents/?uuid=8631c3e0-7b79-41a0-a804-b7351e33b3d4"]},{"id":"ITEM-2","itemData":{"author":[{"dropping-particle":"","family":"Brown","given":"Ronald P","non-dropping-particle":"","parse-names":false,"suffix":""},{"dropping-particle":"","family":"Delp","given":"Michael D","non-dropping-particle":"","parse-names":false,"suffix":""},{"dropping-particle":"","family":"Lindstedt","given":"Stan L","non-dropping-particle":"","parse-names":false,"suffix":""},{"dropping-particle":"","family":"Rhomberg","given":"Lorenz R","non-dropping-particle":"","parse-names":false,"suffix":""},{"dropping-particle":"","family":"Beliles","given":"Robert P","non-dropping-particle":"","parse-names":false,"suffix":""}],"container-title":"Toxicology and Industrial Health","id":"ITEM-2","issue":"8623","issued":{"date-parts":[["1997"]]},"page":"407-484","title":"Physiological parameter values for physiologically-based pharmacokinetic models","type":"article-journal","volume":"13"},"uris":["http://www.mendeley.com/documents/?uuid=438615e1-bd4e-4cfa-aa16-1c0fdc45b5db"]}],"mendeley":{"formattedCitation":"[29, 49]","plainTextFormattedCitation":"[29, 49]","previouslyFormattedCitation":"[29, 49]"},"properties":{"noteIndex":0},"schema":"https://github.com/citation-style-language/schema/raw/master/csl-citation.json"}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[29, 49]</w:t>
            </w:r>
            <w:r w:rsidRPr="00C644C2">
              <w:rPr>
                <w:rFonts w:eastAsia="Times New Roman" w:cstheme="minorHAnsi"/>
                <w:color w:val="000000"/>
                <w:sz w:val="20"/>
                <w:szCs w:val="20"/>
              </w:rPr>
              <w:fldChar w:fldCharType="end"/>
            </w:r>
          </w:p>
        </w:tc>
        <w:tc>
          <w:tcPr>
            <w:tcW w:w="1701" w:type="dxa"/>
            <w:vAlign w:val="center"/>
          </w:tcPr>
          <w:p w14:paraId="212FC478"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689</w:t>
            </w:r>
          </w:p>
          <w:p w14:paraId="4090F8C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(644-722)</w:t>
            </w:r>
          </w:p>
        </w:tc>
        <w:tc>
          <w:tcPr>
            <w:tcW w:w="4111" w:type="dxa"/>
            <w:vAlign w:val="center"/>
          </w:tcPr>
          <w:p w14:paraId="14A595B6"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{"citationItems":[{"id":"ITEM-1","itemData":{"DOI":"10.1038/jcbfm.1985.48","ISBN":"0271-678X","author":[{"dropping-particle":"","family":"Lassen","given":"Niels A","non-dropping-particle":"","parse-names":false,"suffix":""}],"container-title":"Journal of Cerebral Blood Flow &amp; Metabolism","id":"ITEM-1","issue":"3","issued":{"date-parts":[["1985"]]},"language":"en","page":"347-349","title":"Normal Average Value of Cerebral Blood Flow in Younger Adults is 50 ml/100 g/min","type":"article-journal","volume":"5"},"uris":["http://www.mendeley.com/documents/?uuid=ecbef1ae-7e17-4425-925f-1f61a2ee428a"]},{"id":"ITEM-2","itemData":{"DOI":"10.1038/jcbfm.1993.83","ISBN":"0271-678X, 1559-7016","abstract":"The Kety-Schmidt technique can be regarded as the reference method for measurement of global aver  age cerebral blood flow (average CBF) and global average cerebral metabolic rate of oxygen (average CMR02).","author":[{"dropping-particle":"","family":"Madsen","given":"Peter Lund","non-dropping-particle":"","parse-names":false,"suffix":""},{"dropping-particle":"","family":"Holm","given":"Søren","non-dropping-particle":"","parse-names":false,"suffix":""},{"dropping-particle":"","family":"Herning","given":"Margrethe","non-dropping-particle":"","parse-names":false,"suffix":""},{"dropping-particle":"","family":"Lassen","given":"Niels A","non-dropping-particle":"","parse-names":false,"suffix":""}],"container-title":"Journal of Cerebral Blood Flow &amp; Metabolism","id":"ITEM-2","issue":"4","issued":{"date-parts":[["1993"]]},"language":"en","page":"646-655","title":"Average Blood Flow and Oxygen Uptake in the Human Brain during Resting Wakefulness: A Critical Appraisal of the Kety—Schmidt Technique","title-short":"Average Blood Flow and Oxygen Uptake in the Human ","type":"article-journal","volume":"13"},"uris":["http://www.mendeley.com/documents/?uuid=a99b2104-c217-41d1-aaa4-7ad6697b1a06"]},{"id":"ITEM-3","itemData":{"DOI":"10.1016/j.nicl.2019.101780","ISBN":"2213-1582","abstract":"This study examined the long-term effects of being born very-low-birth-weight (VLBW, &lt;1500 g) on adult cerebral structural development using a multi-method neuroimaging approach. The New Zealand VLBW study cohort comprised 413 individuals born VLBW in 1986. Of the 338 who survived to discharge, 229 were assessed at age 27–29 years. Of these, 150 had a 3 T MRI scan alongside 50 healthy term-born controls. The VLBW group included 53/57 participants born &lt;28 weeks gestation. MRI analyses included: a) structural MRI to assess grey matter (GM) volume and cortical thickness; b) arterial spin labelling (ASL) to quantify GM perfusion; and c) diffusion tensor imaging (DTI) to measure white matter (WM) integrity. Compared to controls, VLBW adults had smaller GM volumes within frontal, temporal, parietal and occipital cortices, bilateral cingulate gyri and left caudate, as well as greater GM volumes in frontal, temporal and occipital areas. Thinner cortex was observed within frontal, temporal and parietal cortices. VLBW adults also had less GM perfusion within limited temporal areas, bilateral hippocampi and thalami. Finally, lower fractional anisotropy (FA) and axial diffusivity (AD) within principal WM tracts was observed in VLBW subjects. Within the VLBW group, birthweight was positively correlated with GM volume and perfusion in cortical and subcortical regions, as well as FA and AD across numerous principal WM tracts. Between group differences within temporal cortices were evident across all imaging modalities, suggesting that the temporal lobe may be particularly susceptible to disruption in development following preterm birth. Overall, findings reveal enduring and pervasive effects of preterm birth on brain structural development, with individuals born at lower birthweights having greater long-term neuropathology.","author":[{"dropping-particle":"","family":"Pascoe","given":"Maddie J","non-dropping-particle":"","parse-names":false,"suffix":""},{"dropping-particle":"","family":"Melzer","given":"Tracy R","non-dropping-particle":"","parse-names":false,"suffix":""},{"dropping-particle":"","family":"Horwood","given":"L John","non-dropping-particle":"","parse-names":false,"suffix":""},{"dropping-particle":"","family":"Woodward","given":"Lianne J","non-dropping-particle":"","parse-names":false,"suffix":""},{"dropping-particle":"","family":"Darlow","given":"Brian A","non-dropping-particle":"","parse-names":false,"suffix":""}],"container-title":"NeuroImage: Clinical","id":"ITEM-3","issued":{"date-parts":[["2019"]]},"page":"101780","title":"Altered grey matter volume, perfusion and white matter integrity in very low birthweight adults","type":"article-journal","volume":"22"},"uris":["http://www.mendeley.com/documents/?uuid=8b87849a-ba93-4116-bfcf-9e0ac30bd0bd"]}],"mendeley":{"formattedCitation":"[50–52]","plainTextFormattedCitation":"[50–52]","previouslyFormattedCitation":"[50–52]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[50–52]</w:t>
            </w:r>
            <w:r w:rsidRPr="00C644C2">
              <w:rPr>
                <w:rFonts w:eastAsia="Times New Roman" w:cstheme="minorHAnsi"/>
                <w:color w:val="000000"/>
                <w:sz w:val="20"/>
                <w:szCs w:val="20"/>
              </w:rPr>
              <w:fldChar w:fldCharType="end"/>
            </w:r>
          </w:p>
        </w:tc>
      </w:tr>
      <w:tr w:rsidR="00431683" w:rsidRPr="00C644C2" w14:paraId="6A081118" w14:textId="77777777" w:rsidTr="00154697">
        <w:trPr>
          <w:trHeight w:val="78"/>
        </w:trPr>
        <w:tc>
          <w:tcPr>
            <w:tcW w:w="1560" w:type="dxa"/>
            <w:vMerge/>
            <w:vAlign w:val="center"/>
            <w:hideMark/>
          </w:tcPr>
          <w:p w14:paraId="06B095C2"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3F6DE767"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ECF bulk flow</w:t>
            </w:r>
            <w:r w:rsidR="009E487D" w:rsidRPr="00C644C2">
              <w:rPr>
                <w:rFonts w:eastAsia="Times New Roman" w:cstheme="minorHAnsi"/>
                <w:color w:val="000000"/>
                <w:sz w:val="20"/>
                <w:szCs w:val="20"/>
              </w:rPr>
              <w:t xml:space="preserve"> (Q</w:t>
            </w:r>
            <w:r w:rsidR="009E487D" w:rsidRPr="00C644C2">
              <w:rPr>
                <w:rFonts w:eastAsia="Times New Roman" w:cstheme="minorHAnsi"/>
                <w:color w:val="000000"/>
                <w:sz w:val="20"/>
                <w:szCs w:val="20"/>
                <w:vertAlign w:val="subscript"/>
              </w:rPr>
              <w:t>ECF</w:t>
            </w:r>
            <w:r w:rsidR="009E487D" w:rsidRPr="00C644C2">
              <w:rPr>
                <w:rFonts w:eastAsia="Times New Roman" w:cstheme="minorHAnsi"/>
                <w:color w:val="000000"/>
                <w:sz w:val="20"/>
                <w:szCs w:val="20"/>
              </w:rPr>
              <w:t>)</w:t>
            </w:r>
          </w:p>
        </w:tc>
        <w:tc>
          <w:tcPr>
            <w:tcW w:w="1907" w:type="dxa"/>
            <w:shd w:val="clear" w:color="auto" w:fill="auto"/>
            <w:noWrap/>
            <w:vAlign w:val="center"/>
            <w:hideMark/>
          </w:tcPr>
          <w:p w14:paraId="76532F8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0.0002 </w:t>
            </w:r>
          </w:p>
          <w:p w14:paraId="705381C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(0.18E</w:t>
            </w:r>
            <w:r w:rsidRPr="00C644C2">
              <w:rPr>
                <w:rFonts w:eastAsia="Times New Roman" w:cstheme="minorHAnsi"/>
                <w:color w:val="000000"/>
                <w:sz w:val="20"/>
                <w:szCs w:val="20"/>
                <w:vertAlign w:val="superscript"/>
              </w:rPr>
              <w:t>-3</w:t>
            </w:r>
            <w:r w:rsidRPr="00C644C2">
              <w:rPr>
                <w:rFonts w:eastAsia="Times New Roman" w:cstheme="minorHAnsi"/>
                <w:color w:val="000000"/>
                <w:sz w:val="20"/>
                <w:szCs w:val="20"/>
              </w:rPr>
              <w:t xml:space="preserve"> - 0. 2E</w:t>
            </w:r>
            <w:r w:rsidRPr="00C644C2">
              <w:rPr>
                <w:rFonts w:eastAsia="Times New Roman" w:cstheme="minorHAnsi"/>
                <w:color w:val="000000"/>
                <w:sz w:val="20"/>
                <w:szCs w:val="20"/>
                <w:vertAlign w:val="superscript"/>
              </w:rPr>
              <w:t>-3</w:t>
            </w:r>
            <w:r w:rsidRPr="00C644C2">
              <w:rPr>
                <w:rFonts w:eastAsia="Times New Roman" w:cstheme="minorHAnsi"/>
                <w:color w:val="000000"/>
                <w:sz w:val="20"/>
                <w:szCs w:val="20"/>
              </w:rPr>
              <w:t>)</w:t>
            </w:r>
          </w:p>
        </w:tc>
        <w:tc>
          <w:tcPr>
            <w:tcW w:w="3685" w:type="dxa"/>
            <w:shd w:val="clear" w:color="auto" w:fill="auto"/>
            <w:vAlign w:val="center"/>
          </w:tcPr>
          <w:p w14:paraId="4EA73FA8"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{"citationItems":[{"id":"ITEM-1","itemData":{"DOI":"10.1152/ajprenal.1984.246.6.F835","ISBN":"0002-9513","abstract":"Studies were carried out in anesthetized rats comparing dynamics and pathways of interstitial fluid (ISF) drainage from different regions of brain. Rates of drainage from brain and flow into cerebrospinal fluid (CSF) were estimated from the efflux from brain and influx into CSF of radioiodinated albumin (RISA) following microinjection into caudate nucleus, internal capsule, or midbrain: pathways of flow through the subarachnoid space and into lymph were traced from the distribution of horseradish peroxidase and/or Evans blue-labeled albumin after injection into brain. ISF drainage rates (mul X g brain-1 X min-1) estimated for the three injection sites were 0.18, 0.19, and 0.29, respectively. Flow of ISF into bulk CSF sampled from the cisterna magna accounted for 60-75% of efflux from midbrain but only 10-15% of efflux from caudate nucleus or internal capsule. RISA was concentrated in the subarachnoid space, relative to bulk CSF, in sleeves of adventitial tissue surrounding pericerebral arteries, possibly accounting for the low recovery of isotope from bulk CSF. From the subarachnoid space, some fluid drained via olfactory nerve sheaths to retropharyngeal lymph nodes.","author":[{"dropping-particle":"","family":"Szentistványi","given":"I","non-dropping-particle":"","parse-names":false,"suffix":""},{"dropping-particle":"","family":"Patlak","given":"C S","non-dropping-particle":"","parse-names":false,"suffix":""},{"dropping-particle":"","family":"Ellis","given":"R A","non-dropping-particle":"","parse-names":false,"suffix":""},{"dropping-particle":"","family":"Cserr","given":"H F","non-dropping-particle":"","parse-names":false,"suffix":""}],"container-title":"The American Journal of Physiology","id":"ITEM-1","issue":"6 Pt 2","issued":{"date-parts":[["1984"]]},"language":"eng","page":"F835-844","title":"Drainage of interstitial fluid from different regions of rat brain","type":"article-journal","volume":"246"},"uris":["http://www.mendeley.com/documents/?uuid=ebf93d2d-a211-43ff-bfe7-7ffe7c975285"]},{"id":"ITEM-2","itemData":{"DOI":"10.3171/jns.1979.50.3.0343","ISSN":"0022-3085","abstract":"</w:instrText>
            </w:r>
            <w:r w:rsidR="0058321B" w:rsidRPr="00C644C2">
              <w:rPr>
                <w:rFonts w:ascii="Segoe UI Symbol" w:eastAsia="Times New Roman" w:hAnsi="Segoe UI Symbol" w:cs="Segoe UI Symbol"/>
                <w:color w:val="000000"/>
                <w:sz w:val="20"/>
                <w:szCs w:val="20"/>
              </w:rPr>
              <w:instrText>✓</w:instrText>
            </w:r>
            <w:r w:rsidR="0058321B" w:rsidRPr="00C644C2">
              <w:rPr>
                <w:rFonts w:eastAsia="Times New Roman" w:cstheme="minorHAnsi"/>
                <w:color w:val="000000"/>
                <w:sz w:val="20"/>
                <w:szCs w:val="20"/>
              </w:rPr>
              <w:instrText xml:space="preserve"> Arachnoid villi in the intracranial dural sinuses constitute the principal sites for absorption of proteins and particulates from the cerebrospinal fluid (CSF) system. Although arachnoid villi in the rat are morphologically less complex than those found in other mammals, their resistance to CSF outflow, as assessed by a graded series of constant flow manometric infusions, is similar to that found in other species. Moreover, inulin and polystyrene beads, when infused into the spinal subarachnoid space of rats, are rapidly cleared from the CSF system into intracranial dural sinuses. Inulin appeared in sinus blood 3 minutes after onset of infusion and reached concentrations 26 times greater than those found in the systemic circulation; particulate matter in the form of 0.5-µm polystyrene beads showed similar efflux characteristics. Hence, the CSF system of the rat is functionally similar to that found in other mammalian species, with arachnoid villi constituting a major efflux route for clearance of macromolecular and particulate substances.","author":[{"dropping-particle":"","family":"Mann","given":"J. Douglas","non-dropping-particle":"","parse-names":false,"suffix":""},{"dropping-particle":"","family":"Butler","given":"Albert B.","non-dropping-particle":"","parse-names":false,"suffix":""},{"dropping-particle":"","family":"Johnson","given":"Richard N.","non-dropping-particle":"","parse-names":false,"suffix":""},{"dropping-particle":"","family":"Bass","given":"Norman H.","non-dropping-particle":"","parse-names":false,"suffix":""}],"container-title":"Journal of Neurosurgery","id":"ITEM-2","issue":"3","issued":{"date-parts":[["1979"]]},"page":"343-348","title":"Clearance of macromolecular and particulate substances from the cerebrospinal fluid system of the rat","type":"article-journal","volume":"50"},"uris":["http://www.mendeley.com/documents/?uuid=669ec5a1-13dd-4ef6-8f9b-52087c3b50ab"]},{"id":"ITEM-3","itemData":{"DOI":"10.1016/j.neuint.2003.11.006","ISBN":"4420784865","ISSN":"01970186","abstract":"This review surveys evidence for the flow of brain interstitial fluid (ISF) via preferential pathways through the brain, and its relation to cerebrospinal fluid (CSF). Studies over &gt;100 years have raised several controversial points, not all of them resolved. Recent studies have usefully combined a histological and a mathematical approach. Taken together the evidence indicates an ISF bulk flow rate of 0.1-0.3 μl min-1 g-1 in rat brain along preferential pathways especially perivascular spaces and axon tracts. The main source of this fluid is likely to be the brain capillary endothelium, which has the necessary ion transporters, channels and water permeability to generate fluid at a low rate, c1/100th of the rate per square centimeter of CSF secretion across choroid plexus epithelium. There is also evidence that a proportion of CSF may recycle from the subarachnoid space into arterial perivascular spaces on the ventral surface of the brain, and join the circulating ISF, draining back via venous perivascular spaces and axon tracts into CSF compartments, and out both through arachnoid granulations and along cranial nerves to the lymphatics of the neck. The bulk flow of ISF has implications for non-synaptic cell:cell communication (volume transmission); for drug delivery, distribution, and clearance; for brain ionic homeostasis and its disturbance in brain edema; for the immune function of the brain; for the clearance of β-amyloid deposits; and for the migration of cells (malignant cells, stem cells). © 2003 Elsevier Ltd. All rights reserved.","author":[{"dropping-particle":"","family":"Abbott","given":"N. Joan","non-dropping-particle":"","parse-names":false,"suffix":""}],"container-title":"Neurochemistry International","id":"ITEM-3","issue":"4","issued":{"date-parts":[["2004"]]},"page":"545-552","title":"Evidence for bulk flow of brain interstitial fluid: Significance for physiology and pathology","title-short":"Evidence for bulk flow of brain interstitial fluid","type":"article-journal","volume":"45"},"uris":["http://www.mendeley.com/documents/?uuid=cb46ba16-ef96-4aaa-82d4-db43611cba35"]}],"mendeley":{"formattedCitation":"[53–55]","plainTextFormattedCitation":"[53–55]","previouslyFormattedCitation":"[53–55]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[53–55]</w:t>
            </w:r>
            <w:r w:rsidRPr="00C644C2">
              <w:rPr>
                <w:rFonts w:eastAsia="Times New Roman" w:cstheme="minorHAnsi"/>
                <w:color w:val="000000"/>
                <w:sz w:val="20"/>
                <w:szCs w:val="20"/>
              </w:rPr>
              <w:fldChar w:fldCharType="end"/>
            </w:r>
          </w:p>
        </w:tc>
        <w:tc>
          <w:tcPr>
            <w:tcW w:w="1701" w:type="dxa"/>
            <w:vAlign w:val="center"/>
          </w:tcPr>
          <w:p w14:paraId="0141F41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0.2</w:t>
            </w:r>
            <w:r w:rsidRPr="00691E3C">
              <w:rPr>
                <w:rStyle w:val="FootnoteReference"/>
              </w:rPr>
              <w:footnoteReference w:id="12"/>
            </w:r>
          </w:p>
        </w:tc>
        <w:tc>
          <w:tcPr>
            <w:tcW w:w="4111" w:type="dxa"/>
            <w:vAlign w:val="center"/>
          </w:tcPr>
          <w:p w14:paraId="5A3CD018"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{"citationItems":[{"id":"ITEM-1","itemData":{"DOI":"10.1016/j.neuroscience.2004.07.033","ISBN":"0306-4522","abstract":"The mammalian CNS is separated from the blood by tight junctions, collectively termed the blood–brain barrier (BBB). This imposes unique features of solvent and water movement into and out of the CNS. The basic equations for water fluxes driven by osmotic gradients are presented. The anatomy of the BBB and the physiology of the transport processes for cerebrospinal fluid production, extracellular fluid production and intercellular water and solute transport are then described. A quantitative analysis of the need for aquaporin-based water movements to accompany the known rates of CSF production is also presented. Finally, the mechanisms and roles of cellular and vasogenic edema in the CNS, especially in relation to aquaporins, are described.","author":[{"dropping-particle":"","family":"Kimelberg","given":"H K","non-dropping-particle":"","parse-names":false,"suffix":""}],"container-title":"Neuroscience","id":"ITEM-1","issue":"4","issued":{"date-parts":[["2004"]]},"page":"851-860","title":"Water homeostasis in the brain: Basic concepts","title-short":"Water homeostasis in the brain","type":"article-journal","volume":"129"},"uris":["http://www.mendeley.com/documents/?uuid=794d612e-d1ae-435e-af57-ce12666cf8a1"]}],"mendeley":{"formattedCitation":"[56]","plainTextFormattedCitation":"[56]","previouslyFormattedCitation":"[56]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[56]</w:t>
            </w:r>
            <w:r w:rsidRPr="00C644C2">
              <w:rPr>
                <w:rFonts w:eastAsia="Times New Roman" w:cstheme="minorHAnsi"/>
                <w:color w:val="000000"/>
                <w:sz w:val="20"/>
                <w:szCs w:val="20"/>
              </w:rPr>
              <w:fldChar w:fldCharType="end"/>
            </w:r>
          </w:p>
        </w:tc>
      </w:tr>
      <w:tr w:rsidR="00431683" w:rsidRPr="00C644C2" w14:paraId="5007C7CC" w14:textId="77777777" w:rsidTr="00154697">
        <w:trPr>
          <w:trHeight w:val="78"/>
        </w:trPr>
        <w:tc>
          <w:tcPr>
            <w:tcW w:w="1560" w:type="dxa"/>
            <w:vMerge/>
            <w:vAlign w:val="center"/>
            <w:hideMark/>
          </w:tcPr>
          <w:p w14:paraId="5284ABFF"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46C72D27"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CSF flow</w:t>
            </w:r>
            <w:r w:rsidR="009E487D" w:rsidRPr="00C644C2">
              <w:rPr>
                <w:rFonts w:eastAsia="Times New Roman" w:cstheme="minorHAnsi"/>
                <w:color w:val="000000"/>
                <w:sz w:val="20"/>
                <w:szCs w:val="20"/>
              </w:rPr>
              <w:t xml:space="preserve"> (Q</w:t>
            </w:r>
            <w:r w:rsidR="009E487D" w:rsidRPr="00C644C2">
              <w:rPr>
                <w:rFonts w:eastAsia="Times New Roman" w:cstheme="minorHAnsi"/>
                <w:color w:val="000000"/>
                <w:sz w:val="20"/>
                <w:szCs w:val="20"/>
                <w:vertAlign w:val="subscript"/>
              </w:rPr>
              <w:t>CSF</w:t>
            </w:r>
            <w:r w:rsidR="009E487D" w:rsidRPr="00C644C2">
              <w:rPr>
                <w:rFonts w:eastAsia="Times New Roman" w:cstheme="minorHAnsi"/>
                <w:color w:val="000000"/>
                <w:sz w:val="20"/>
                <w:szCs w:val="20"/>
              </w:rPr>
              <w:t>)</w:t>
            </w:r>
          </w:p>
        </w:tc>
        <w:tc>
          <w:tcPr>
            <w:tcW w:w="1907" w:type="dxa"/>
            <w:shd w:val="clear" w:color="auto" w:fill="auto"/>
            <w:noWrap/>
            <w:vAlign w:val="center"/>
            <w:hideMark/>
          </w:tcPr>
          <w:p w14:paraId="621C110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0.0022</w:t>
            </w:r>
          </w:p>
          <w:p w14:paraId="69C5130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 (0.18E</w:t>
            </w:r>
            <w:r w:rsidRPr="00C644C2">
              <w:rPr>
                <w:rFonts w:eastAsia="Times New Roman" w:cstheme="minorHAnsi"/>
                <w:color w:val="000000"/>
                <w:sz w:val="20"/>
                <w:szCs w:val="20"/>
                <w:vertAlign w:val="superscript"/>
              </w:rPr>
              <w:t>-2</w:t>
            </w:r>
            <w:r w:rsidRPr="00C644C2">
              <w:rPr>
                <w:rFonts w:eastAsia="Times New Roman" w:cstheme="minorHAnsi"/>
                <w:color w:val="000000"/>
                <w:sz w:val="20"/>
                <w:szCs w:val="20"/>
              </w:rPr>
              <w:t xml:space="preserve"> - 0.22E</w:t>
            </w:r>
            <w:r w:rsidRPr="00C644C2">
              <w:rPr>
                <w:rFonts w:eastAsia="Times New Roman" w:cstheme="minorHAnsi"/>
                <w:color w:val="000000"/>
                <w:sz w:val="20"/>
                <w:szCs w:val="20"/>
                <w:vertAlign w:val="superscript"/>
              </w:rPr>
              <w:t>-2</w:t>
            </w:r>
            <w:r w:rsidRPr="00C644C2">
              <w:rPr>
                <w:rFonts w:eastAsia="Times New Roman" w:cstheme="minorHAnsi"/>
                <w:color w:val="000000"/>
                <w:sz w:val="20"/>
                <w:szCs w:val="20"/>
              </w:rPr>
              <w:t>)</w:t>
            </w:r>
          </w:p>
        </w:tc>
        <w:tc>
          <w:tcPr>
            <w:tcW w:w="3685" w:type="dxa"/>
            <w:shd w:val="clear" w:color="auto" w:fill="auto"/>
            <w:vAlign w:val="center"/>
          </w:tcPr>
          <w:p w14:paraId="4878C2B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{"citationItems":[{"id":"ITEM-1","itemData":{"DOI":"10.1152/ajplegacy.1965.209.6.1219","ISSN":"00029513","author":[{"dropping-particle":"","family":"Cserr","given":"H.","non-dropping-particle":"","parse-names":false,"suffix":""}],"container-title":"The American journal of physiology","id":"ITEM-1","issue":"6","issued":{"date-parts":[["1965"]]},"page":"1219-1226","title":"Potassium exchange between cerebrospinal fluid, plasma, and brain.","type":"article-journal","volume":"209"},"uris":["http://www.mendeley.com/documents/?uuid=ffb789d8-b44a-4f3e-bd02-8c7351e10311"]},{"id":"ITEM-2","itemData":{"DOI":"10.1186/2045-8118-9-3","ISSN":"20458118","PMID":"22269091","abstract":"Background: Amyloid accumulation in the brain parenchyma is a hallmark of Alzheimer's disease (AD) and is seen in normal aging. Alterations in cerebrospinal fluid (CSF) dynamics are also associated with normal aging and AD. This study analyzed CSF volume, production and turnover rate in relation to amyloid-beta peptide (Aβ) accumulation in the aging rat brain.Methods: Aging Fischer 344/Brown-Norway hybrid rats at 3, 12, 20, and 30 months were studied. CSF production was measured by ventriculo-cisternal perfusion with blue dextran in artificial CSF; CSF volume by MRI; and CSF turnover rate by dividing the CSF production rate by the volume of the CSF space. Aβ40 and Aβ42 concentrations in the cortex and hippocampus were measured by ELISA.Results: There was a significant linear increase in total cranial CSF volume with age: 3-20 months (p &lt; 0.01); 3-30 months (p &lt; 0.001). CSF production rate increased from 3-12 months (p &lt; 0.01) and decreased from 12-30 months (p &lt; 0.05). CSF turnover showed an initial increase from 3 months (9.40 day -1) to 12 months (11.30 day -1) and then a decrease to 20 months (10.23 day -1) and 30 months (6.62 day -1). Aβ40 and Aβ42 concentrations in brain increased from 3-30 months (p &lt; 0.001). Both Aβ42 and Aβ40 concentrations approached a steady state level by 30 months.Conclusions: In young rats there is no correlation between CSF turnover and Aβ brain concentrations. After 12 months, CSF turnover decreases as brain Aβ continues to accumulate. This decrease in CSF turnover rate may be one of several clearance pathway alterations that influence age-related accumulation of brain amyloid. © 2012 Chiu et al; licensee BioMed Central Ltd.","author":[{"dropping-particle":"","family":"Chiu","given":"Catherine","non-dropping-particle":"","parse-names":false,"suffix":""},{"dropping-particle":"","family":"Miller","given":"Miles C.","non-dropping-particle":"","parse-names":false,"suffix":""},{"dropping-particle":"","family":"Caralopoulos","given":"Ilias N.","non-dropping-particle":"","parse-names":false,"suffix":""},{"dropping-particle":"","family":"Worden","given":"Michael S.","non-dropping-particle":"","parse-names":false,"suffix":""},{"dropping-particle":"","family":"Brinker","given":"Thomas","non-dropping-particle":"","parse-names":false,"suffix":""},{"dropping-particle":"","family":"Gordon","given":"Zachary N.","non-dropping-particle":"","parse-names":false,"suffix":""},{"dropping-particle":"","family":"Johanson","given":"Conrad E.","non-dropping-particle":"","parse-names":false,"suffix":""},{"dropping-particle":"","family":"Silverberg","given":"Gerald D.","non-dropping-particle":"","parse-names":false,"suffix":""}],"container-title":"Fluids and Barriers of the CNS","id":"ITEM-2","issue":"3","issued":{"date-parts":[["2012"]]},"page":"1-10","title":"Temporal course of cerebrospinal fluid dynamics and amyloid accumulation in the aging rat brain from three to thirty months","type":"article-journal","volume":"9"},"uris":["http://www.mendeley.com/documents/?uuid=b742b67d-5dff-414d-b190-01cd60bf4412"]}],"mendeley":{"formattedCitation":"[33, 57]","plainTextFormattedCitation":"[33, 57]","previouslyFormattedCitation":"[33, 57]"},"properties":{"noteIndex":0},"schema":"https://github.com/citation-style-language/schema/raw/master/csl-citation.json"}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[33, 57]</w:t>
            </w:r>
            <w:r w:rsidRPr="00C644C2">
              <w:rPr>
                <w:rFonts w:eastAsia="Times New Roman" w:cstheme="minorHAnsi"/>
                <w:color w:val="000000"/>
                <w:sz w:val="20"/>
                <w:szCs w:val="20"/>
              </w:rPr>
              <w:fldChar w:fldCharType="end"/>
            </w:r>
          </w:p>
        </w:tc>
        <w:tc>
          <w:tcPr>
            <w:tcW w:w="1701" w:type="dxa"/>
            <w:vAlign w:val="center"/>
          </w:tcPr>
          <w:p w14:paraId="5BD212DC"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0.42</w:t>
            </w:r>
          </w:p>
          <w:p w14:paraId="252A66DA"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(0.28-0.68)</w:t>
            </w:r>
          </w:p>
        </w:tc>
        <w:tc>
          <w:tcPr>
            <w:tcW w:w="4111" w:type="dxa"/>
            <w:vAlign w:val="center"/>
          </w:tcPr>
          <w:p w14:paraId="66B8865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{"citationItems":[{"id":"ITEM-1","itemData":{"DOI":"10.1152/physrev.1971.51.2.273","author":[{"dropping-particle":"","family":"Cserr","given":"H F","non-dropping-particle":"","parse-names":false,"suffix":""}],"container-title":"Physiological Reviews","id":"ITEM-1","issued":{"date-parts":[["1971"]]},"language":"en","title":"Physiology of the choroid plexus.","type":"article-journal"},"uris":["http://www.mendeley.com/documents/?uuid=5242e38f-88d3-4acb-b35b-c51de1466306"]},{"id":"ITEM-2","itemData":{"DOI":"10.1152/ajpregu.00215.2004","ISBN":"0363-6119","ISSN":"03636119","abstract":"The present study examines the extent of spinal cerebrospinal fluid (CSF) absorption in healthy individuals in relation to physical activity, CSF production, intracranial pressure (ICP), and spinal CSF movement. Thirty-four healthy individuals aged 21-35 yr were examined by lumbar puncture and radionuclide cisternography with repeated imaging. ICP was registered before and after CSF drainage, and CSF production was calculated. Spinal CSF absorption was calculated as reduction in spinal radionuclide activity. The radionuclide activity in the spinal subarachnoidal space was gradually decreased by 20 ± 13% (mean ± SD) during 1 h. The reduction was higher in active than in resting individuals (27 ± 12% vs. 13 ± 9%). The mean ICP in 19 of the individuals was 13.6 ± 3.1 cmH2O. B-waves were found in 79% of the individuals, with a mean frequency of 0.6 ± 0.3 min-1. The mean CSF production rate was 0.34 ± 0.13 ml/min. There were no correlations between radionuclide reduction, spinal movement of the radionuclide, and CSF production rate. The spinal radionuclide reduction found in this study indicates a spinal CSF absorption of 0.11-0.23 ml/min, more pronounced in active than in resting individuals.","author":[{"dropping-particle":"","family":"Edsbagge","given":"Mikael","non-dropping-particle":"","parse-names":false,"suffix":""},{"dropping-particle":"","family":"Tisell","given":"Magnus","non-dropping-particle":"","parse-names":false,"suffix":""},{"dropping-particle":"","family":"Jacobsson","given":"Lars","non-dropping-particle":"","parse-names":false,"suffix":""},{"dropping-particle":"","family":"Wikkelso","given":"Carsten","non-dropping-particle":"","parse-names":false,"suffix":""}],"container-title":"American Journal of Physiology - Regulatory Integrative and Comparative Physiology","id":"ITEM-2","issue":"6","issued":{"date-parts":[["2004"]]},"language":"eng","page":"R1450-R1455","title":"Spinal CSF absorption in healthy individuals","type":"article-journal","volume":"287"},"uris":["http://www.mendeley.com/documents/?uuid=01d4ca1e-1dcd-4670-b0a0-0e2faf8f0ea4"]},{"id":"ITEM-3","itemData":{"ISBN":"978-3-540-79565-0","abstract":"In a specialized field such as neurosurgery, highly specific knowledge is required. Training programs in the EU vary, making it difficult to standardize medical training. This manual forms the basis for a European consensus in neurosurgery. It is written for residents, students and physicians with a special interest in neurosurgery. Diagnostic and therapeutic procedures are detailed according to localization (cranial, spinal, peripheral nerves) with special consideration given to congenital defects and pediatric neurosurgical disorders, functional and stereotactic neurosurgery, as well as critical neurosurgical care. Each chapter contains the basics of anatomy and physiology. The book is well-organized and clearly structured according to each entity and its neurosurgical treatment options. A better understanding of specific neurosurgical problems will help practicing neurosurgeons provide better medical care for their patients, and will also provide the neurosurgery resident with a reliable European standard for step-by-step management of neurosurgical problems, which will prove useful when preparing for the board examination.","author":[{"dropping-particle":"","family":"Lumenta","given":"Christianto B","non-dropping-particle":"","parse-names":false,"suffix":""},{"dropping-particle":"Di","family":"Rocco","given":"Concezio","non-dropping-particle":"","parse-names":false,"suffix":""},{"dropping-particle":"","family":"Haase","given":"Jens","non-dropping-particle":"","parse-names":false,"suffix":""},{"dropping-particle":"","family":"Mooij","given":"J J A","non-dropping-particle":"","parse-names":false,"suffix":""}],"id":"ITEM-3","issued":{"date-parts":[["2009"]]},"language":"en","number-of-pages":"651","publisher":"Springer Science &amp; Business Media","title":"Neurosurgery","type":"book"},"uris":["http://www.mendeley.com/documents/?uuid=1cde096e-8bcf-4cfd-b3e5-e1d066003a3e"]},{"id":"ITEM-4","itemData":{"DOI":"10.1016/j.anorl.2011.03.002","ISBN":"1879-7296","ISSN":"1879730X","abstract":"The cerebrospinal fluid (CSF) is contained in the brain ventricles and the cranial and spinal subarachnoid spaces. The mean CSF volume is 150 ml, with 25 ml in the ventricles and 125 ml in subarachnoid spaces. CSF is predominantly, but not exclusively, secreted by the choroid plexuses. Brain interstitial fluid, ependyma and capillaries may also play a poorly defined role in CSF secretion. CSF circulation from sites of secretion to sites of absorption largely depends on the arterial pulse wave. Additional factors such as respiratory waves, the subject's posture, jugular venous pressure and physical effort also modulate CSF flow dynamics and pressure. Cranial and spinal arachnoid villi have been considered for a long time to be the predominant sites of CSF absorption into the venous outflow system. Experimental data suggest that cranial and spinal nerve sheaths, the cribriform plate and the adventitia of cerebral arteries constitute substantial pathways of CSF drainage into the lymphatic outflow system. CSF is renewed about four times every 24 hours. Reduction of the CSF turnover rate during ageing leads to accumulation of catabolites in the brain and CSF that are also observed in certain neurodegenerative diseases. The CSF space is a dynamic pressure system. CSF pressure determines intracranial pressure with physiological values ranging between 3 and 4 mmHg before the age of one year, and between 10 and 15 mmHg in adults. Apart from its function of hydromechanical protection of the central nervous system, CSF also plays a prominent role in brain development and regulation of brain interstitial fluid homeostasis, which influences neuronal functioning. © 2011 Elsevier Masson SAS. All rights reserved.","author":[{"dropping-particle":"","family":"Sakka","given":"L.","non-dropping-particle":"","parse-names":false,"suffix":""},{"dropping-particle":"","family":"Coll","given":"G.","non-dropping-particle":"","parse-names":false,"suffix":""},{"dropping-particle":"","family":"Chazal","given":"J.","non-dropping-particle":"","parse-names":false,"suffix":""}],"container-title":"European Annals of Otorhinolaryngology, Head and Neck Diseases","id":"ITEM-4","issue":"6","issued":{"date-parts":[["2011"]]},"page":"309-316","publisher":"Elsevier Masson SAS","title":"Anatomy and physiology of cerebrospinal fluid","type":"article-journal","volume":"128"},"uris":["http://www.mendeley.com/documents/?uuid=eef15009-2f29-4e0c-80a0-8d5bfbbf04bb"]},{"id":"ITEM-5","itemData":{"ISBN":"978-3-540-35785-8","author":[{"dropping-particle":"","family":"Wright","given":"Ernest M","non-dropping-particle":"","parse-names":false,"suffix":""}],"container-title":"Reviews of Physiology, Biochemistry and Pharmacology, Volume 83: Volume: 83","id":"ITEM-5","issued":{"date-parts":[["1978"]]},"language":"en","page":"1-34","publisher":"Springer Berlin Heidelberg","publisher-place":"Berlin, Heidelberg","title":"Transport processes in the formation of the cerebrospinal fluid","type":"chapter"},"uris":["http://www.mendeley.com/documents/?uuid=4bc16fa7-455f-4085-b782-c1848bdccf47"]}],"mendeley":{"formattedCitation":"[48, 58–61]","plainTextFormattedCitation":"[48, 58–61]","previouslyFormattedCitation":"[48, 58–61]"},"properties":{"noteIndex":0},"schema":"https://github.com/citation-style-language/schema/raw/master/csl-citation.json"}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[48, 58–61]</w:t>
            </w:r>
            <w:r w:rsidRPr="00C644C2">
              <w:rPr>
                <w:rFonts w:eastAsia="Times New Roman" w:cstheme="minorHAnsi"/>
                <w:color w:val="000000"/>
                <w:sz w:val="20"/>
                <w:szCs w:val="20"/>
              </w:rPr>
              <w:fldChar w:fldCharType="end"/>
            </w:r>
          </w:p>
        </w:tc>
      </w:tr>
      <w:tr w:rsidR="00431683" w:rsidRPr="00C644C2" w14:paraId="1306FE11" w14:textId="77777777" w:rsidTr="00154697">
        <w:trPr>
          <w:trHeight w:val="78"/>
        </w:trPr>
        <w:tc>
          <w:tcPr>
            <w:tcW w:w="1560" w:type="dxa"/>
            <w:vMerge w:val="restart"/>
            <w:shd w:val="clear" w:color="000000" w:fill="D9D9D9"/>
            <w:vAlign w:val="center"/>
            <w:hideMark/>
          </w:tcPr>
          <w:p w14:paraId="5588BC6B"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Surface areas</w:t>
            </w:r>
            <w:r w:rsidRPr="00C644C2">
              <w:rPr>
                <w:rFonts w:eastAsia="Times New Roman" w:cstheme="minorHAnsi"/>
                <w:b/>
                <w:bCs/>
                <w:color w:val="000000"/>
                <w:sz w:val="20"/>
                <w:szCs w:val="20"/>
              </w:rPr>
              <w:br/>
              <w:t>(cm</w:t>
            </w:r>
            <w:r w:rsidRPr="00C644C2">
              <w:rPr>
                <w:rFonts w:eastAsia="Times New Roman" w:cstheme="minorHAnsi"/>
                <w:b/>
                <w:bCs/>
                <w:color w:val="000000"/>
                <w:sz w:val="20"/>
                <w:szCs w:val="20"/>
                <w:vertAlign w:val="superscript"/>
              </w:rPr>
              <w:t>2</w:t>
            </w:r>
            <w:r w:rsidRPr="00C644C2">
              <w:rPr>
                <w:rFonts w:eastAsia="Times New Roman" w:cstheme="minorHAnsi"/>
                <w:b/>
                <w:bCs/>
                <w:color w:val="000000"/>
                <w:sz w:val="20"/>
                <w:szCs w:val="20"/>
              </w:rPr>
              <w:t>)</w:t>
            </w:r>
          </w:p>
        </w:tc>
        <w:tc>
          <w:tcPr>
            <w:tcW w:w="2913" w:type="dxa"/>
            <w:shd w:val="clear" w:color="auto" w:fill="auto"/>
            <w:noWrap/>
            <w:vAlign w:val="center"/>
            <w:hideMark/>
          </w:tcPr>
          <w:p w14:paraId="79B13081"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Blood brain barrier (</w:t>
            </w:r>
            <w:r w:rsidR="00FF605E" w:rsidRPr="00C644C2">
              <w:rPr>
                <w:rFonts w:eastAsia="Times New Roman" w:cstheme="minorHAnsi"/>
                <w:color w:val="000000"/>
                <w:sz w:val="20"/>
                <w:szCs w:val="20"/>
              </w:rPr>
              <w:t>SA</w:t>
            </w:r>
            <w:r w:rsidRPr="00C644C2">
              <w:rPr>
                <w:rFonts w:eastAsia="Times New Roman" w:cstheme="minorHAnsi"/>
                <w:color w:val="000000"/>
                <w:sz w:val="20"/>
                <w:szCs w:val="20"/>
                <w:vertAlign w:val="subscript"/>
              </w:rPr>
              <w:t>BBB</w:t>
            </w:r>
            <w:r w:rsidRPr="00C644C2">
              <w:rPr>
                <w:rFonts w:eastAsia="Times New Roman" w:cstheme="minorHAnsi"/>
                <w:color w:val="000000"/>
                <w:sz w:val="20"/>
                <w:szCs w:val="20"/>
              </w:rPr>
              <w:t>)</w:t>
            </w:r>
          </w:p>
        </w:tc>
        <w:tc>
          <w:tcPr>
            <w:tcW w:w="1907" w:type="dxa"/>
            <w:shd w:val="clear" w:color="auto" w:fill="auto"/>
            <w:noWrap/>
            <w:vAlign w:val="center"/>
            <w:hideMark/>
          </w:tcPr>
          <w:p w14:paraId="1D9ECAB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155</w:t>
            </w:r>
          </w:p>
          <w:p w14:paraId="6FD2854C"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 (150 - 188)</w:t>
            </w:r>
          </w:p>
        </w:tc>
        <w:tc>
          <w:tcPr>
            <w:tcW w:w="3685" w:type="dxa"/>
            <w:shd w:val="clear" w:color="auto" w:fill="auto"/>
            <w:vAlign w:val="center"/>
          </w:tcPr>
          <w:p w14:paraId="7A5099C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{"citationItems":[{"id":"ITEM-1","itemData":{"DOI":"10.1016/0165-3806(90)90163-S","ISBN":"0165-3806","ISSN":"01653806","abstract":"Morphometric changes in the rat lateral ventricle choroid plexus epithelium and endothelium and in the ventricular ependyma were studied between 16 days gestation and 30 days after birth, using stereological techniques. The epithelial apical surface density increased from 0.6 to 3.3 μm 2 /μm 3 and the mitochondrial volume fraction from 3.2 to 7.6% during this period. The endothelial fenestrations increased from 0.05 to 0.39 μm -1 . These changes may be related to postnatal increases in choroid plexus function. Morphological changes in basolateral surface density, cell height and nucleus and glycogen volume fraction have also been measured. The development of the lateral ventricle choroid plexus was qualitatively similar to the fourth ventricle plexus reported previously, but small quantitative differences occurred. The ventricular ependyma also showed a significant increase in mitochondrial volume fraction after birth, though to a lesser extent than the plexus epithelium. The total apical surface area of the choroid plexuses was estimated at 75 cm 2 for 30-day-old rats. This figure, which takes into account the apical microvilli, is much greater than previous estimates and is similar to the surface area of the cerebral capillaries (155 cm 2 ), and suggests that the choroid plexuses may play a more important role in the regulation of the brain microenvironment than previously thought. © 1990.","author":[{"dropping-particle":"","family":"Keep","given":"R. F.","non-dropping-particle":"","parse-names":false,"suffix":""},{"dropping-particle":"","family":"Jones","given":"H. C.","non-dropping-particle":"","parse-names":false,"suffix":""}],"container-title":"Developmental Brain Research","id":"ITEM-1","issue":"1","issued":{"date-parts":[["1990"]]},"page":"47-53","title":"A morphometric study on the development of the lateral ventricle choroid plexus, choroid plexus capillaries and ventricular ependyma in the rat","type":"article-journal","volume":"56"},"uris":["http://www.mendeley.com/documents/?uuid=54047c5a-88e6-4a15-9fde-22ed5a43116d"]},{"id":"ITEM-2","itemData":{"DOI":"10.1007/BF00378113","ISSN":"09387714","abstract":"A mouse monoclonal antibody which specifically reacts with putative blood-brain barrier (BBB) competent endothelial cells of rat cerebral capillaries was used to identify barrier competent cells in the central nervous system (CNS). The development of the cerebral capillaries and the BBB was examined and quantified, from day 6 to day 40 postpartum, using immunocytochemical and unbiased stereological techniques. There was a progressive increase in capillary formation postnatally, with collateral branching observed with progressive age. BBB development was confined to individual endothelial cells located at the periphery of the cortex until day 10 postpartum. Antibody binding progressively increased postnatally, contributing 30% of the total capillary surface area by day 20. There was a rapid elevation of reactivity from day 20 to day 40, with a mean of 83% by day 40. The BBB constitutes minimal amounts of brain vascular capillaries before day 10 of life in the rat. There is a slower increase in BBB than in total capillaries between days 10 and 20. There is a reversal of this trend between days 20 and 40.","author":[{"dropping-particle":"","family":"Sibbons","given":"P. D.","non-dropping-particle":"","parse-names":false,"suffix":""},{"dropping-particle":"","family":"Aylward","given":"G. L.","non-dropping-particle":"","parse-names":false,"suffix":""},{"dropping-particle":"V.","family":"Howard","given":"C.","non-dropping-particle":"","parse-names":false,"suffix":""},{"dropping-particle":"","family":"Velzen","given":"D.","non-dropping-particle":"Van","parse-names":false,"suffix":""}],"container-title":"Comparative Haematology International","id":"ITEM-2","issue":"4","issued":{"date-parts":[["1996"]]},"page":"214-220","title":"A quantitative immunocytochemical analysis of total surface area of blood-brain barrier in developing rat brain","type":"article-journal","volume":"6"},"uris":["http://www.mendeley.com/documents/?uuid=9df3ac20-3530-42cf-8a67-69cb90275335"]},{"id":"ITEM-3","itemData":{"DOI":"10.1007/s11095-007-9502-2","ISBN":"0724-8741","ISSN":"07248741","PMID":"18058202","abstract":"To define and differentiate relevant aspects of blood-brain barrier transport and distribution in order to aid research methodology in brain drug delivery. Pharmacokinetic parameters relative to the rate and extent of brain drug delivery are described and illustrated with relevant data, with special emphasis on the unbound, pharmacologically active drug molecule. Drug delivery to the brain can be comprehensively described using three parameters: Kp,uu (concentration ratio of unbound drug in brain to blood), CLin (permeability clearance into the brain), and Vu,brain (intra-brain distribution). The permeability of the blood-brain barrier is less relevant to drug action within the CNS than the extent of drug delivery, as most drugs are administered on a continuous (repeated) basis. Kp,uu can differ between CNS-active drugs by a factor of up to 150-fold. This range is much smaller than that for log BB ratios (Kp), which can differ by up to at least 2,000-fold, or for BBB permeabilities, which span an even larger range (up to at least 20,000-fold difference). Methods that measure the three parameters Kp,uu, CLin, and Vu,brain can give clinically valuable estimates of brain drug delivery in early drug discovery programmes.","author":[{"dropping-particle":"","family":"Hammarlund-Udenaes","given":"Margareta","non-dropping-particle":"","parse-names":false,"suffix":""},{"dropping-particle":"","family":"Fridén","given":"Markus","non-dropping-particle":"","parse-names":false,"suffix":""},{"dropping-particle":"","family":"Syvänen","given":"Stina","non-dropping-particle":"","parse-names":false,"suffix":""},{"dropping-particle":"","family":"Gupta","given":"Anubha","non-dropping-particle":"","parse-names":false,"suffix":""}],"container-title":"Pharmaceutical Research","id":"ITEM-3","issue":"8","issued":{"date-parts":[["2008"]]},"page":"1737-1750","title":"On the rate and extent of drug delivery to the brain","type":"article-journal","volume":"25"},"uris":["http://www.mendeley.com/documents/?uuid=fd9a5c50-d601-4555-8222-cd7b7e41dead"]}],"mendeley":{"formattedCitation":"[62–64]","plainTextFormattedCitation":"[62–64]","previouslyFormattedCitation":"[62–64]"},"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[62–64]</w:t>
            </w:r>
            <w:r w:rsidRPr="00C644C2">
              <w:rPr>
                <w:rFonts w:eastAsia="Times New Roman" w:cstheme="minorHAnsi"/>
                <w:color w:val="000000"/>
                <w:sz w:val="20"/>
                <w:szCs w:val="20"/>
              </w:rPr>
              <w:fldChar w:fldCharType="end"/>
            </w:r>
          </w:p>
        </w:tc>
        <w:tc>
          <w:tcPr>
            <w:tcW w:w="1701" w:type="dxa"/>
            <w:vAlign w:val="center"/>
          </w:tcPr>
          <w:p w14:paraId="0127B01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150000</w:t>
            </w:r>
          </w:p>
          <w:p w14:paraId="6A9A817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(140 E</w:t>
            </w:r>
            <w:r w:rsidRPr="00C644C2">
              <w:rPr>
                <w:rFonts w:eastAsia="Times New Roman" w:cstheme="minorHAnsi"/>
                <w:color w:val="000000"/>
                <w:sz w:val="20"/>
                <w:szCs w:val="20"/>
                <w:vertAlign w:val="superscript"/>
              </w:rPr>
              <w:t>3</w:t>
            </w:r>
            <w:r w:rsidRPr="00C644C2">
              <w:rPr>
                <w:rFonts w:eastAsia="Times New Roman" w:cstheme="minorHAnsi"/>
                <w:color w:val="000000"/>
                <w:sz w:val="20"/>
                <w:szCs w:val="20"/>
              </w:rPr>
              <w:t>-360 E</w:t>
            </w:r>
            <w:r w:rsidRPr="00C644C2">
              <w:rPr>
                <w:rFonts w:eastAsia="Times New Roman" w:cstheme="minorHAnsi"/>
                <w:color w:val="000000"/>
                <w:sz w:val="20"/>
                <w:szCs w:val="20"/>
                <w:vertAlign w:val="superscript"/>
              </w:rPr>
              <w:t>3</w:t>
            </w:r>
            <w:r w:rsidRPr="00C644C2">
              <w:rPr>
                <w:rFonts w:eastAsia="Times New Roman" w:cstheme="minorHAnsi"/>
                <w:color w:val="000000"/>
                <w:sz w:val="20"/>
                <w:szCs w:val="20"/>
              </w:rPr>
              <w:t>)</w:t>
            </w:r>
          </w:p>
        </w:tc>
        <w:tc>
          <w:tcPr>
            <w:tcW w:w="4111" w:type="dxa"/>
            <w:vAlign w:val="center"/>
          </w:tcPr>
          <w:p w14:paraId="4465DE1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 xml:space="preserve">ADDIN CSL_CITATION {"citationItems":[{"id":"ITEM-1","itemData":{"DOI":"10.1016/j.nbd.2009.07.030","ISBN":"09699961","abstract":"Neural signalling within the central nervous system (CNS) requires a highly controlled microenvironment. Cells at three key interfaces form barriers between the blood and the CNS: the blood–brain barrier (BBB), blood–CSF barrier and the arachnoid barrier. The BBB at the level of brain microvessel endothelium is the major site of blood–CNS exchange. The structure and function of the BBB is summarised, the physical barrier formed by the endothelial tight junctions, and the transport barrier resulting from membrane transporters and vesicular mechanisms. The roles of associated cells are outlined, especially the endfeet of astrocytic glial cells, and pericytes and microglia. The embryonic development of the BBB, and changes in pathology are described. The BBB is subject to short and long-term regulation, which may be disturbed in pathology. Any programme for drug discovery or delivery, to target or avoid the CNS, needs to consider the special features of the BBB.","author":[{"dropping-particle":"","family":"Abbott","given":"N Joan","non-dropping-particle":"","parse-names":false,"suffix":""},{"dropping-particle":"","family":"Patabendige","given":"Adjanie A K","non-dropping-particle":"","parse-names":false,"suffix":""},{"dropping-particle":"","family":"Dolman","given":"Diana E M","non-dropping-particle":"","parse-names":false,"suffix":""},{"dropping-particle":"","family":"Yusof","given":"Siti R","non-dropping-particle":"","parse-names":false,"suffix":""},{"dropping-particle":"","family":"Begley","given":"David J","non-dropping-particle":"","parse-names":false,"suffix":""}],"container-title":"Neurobiology of Disease","id":"ITEM-1","issue":"1","issued":{"date-parts":[["2010"]]},"language":"en","page":"13-25","title":"Structure and function of the blood–brain barrier","type":"article-journal","volume":"37"},"uris":["http://www.mendeley.com/documents/?uuid=58f5b33d-1913-4430-b826-b4405bd5b9ca"]},{"id":"ITEM-2","itemData":{"DOI":"10.1111/j.1748-1716.1963.tb02652.x","ISBN":"1365-201X","abstract":"Crone, C. The permeability of capillaries in various organs as deter-mined by use of the ‘Indicator Diffusion’ method. Acta physiol. scand. 1963. 58. 292—305. — The theory of a single injection technique, the ‘Indicator Diffusion’ method, for quantitative studies of capillary permeability is developed. It is shown that the permeability of a capillary area can be expressed by three parameters: the initial extraction (E) of test substances added in a single injection to the blood flowing to an organ, the blood flow (Q) and the surface area (A) of the capillaries. The equation relating these figures is: P = (=/A) × loge1/(1—E). The permeability coefficients of capillaries in kidney, liver, lung, brain and hind limb to inulin and sucrose are reported. It is found that the permeability of capillaries varies considerably from organ to organ. It is questioned whether the pore model adequately describes the functional characteristics of the capillaries in the muscles. The existence of pores should result in a pronounced deviation of the ratio between the permeability coefficients for sucrose and inulin from the ratio between the free diffusion coefficients. This was not found to be the case.","author":[{"dropping-particle":"","family":"Crone","given":"Christian","non-dropping-particle":"","parse-names":false,"suffix":""}],"container-title":"Acta Physiologica Scandinavica","id":"ITEM-2","issue":"4","issued":{"date-parts":[["1963"]]},"language":"en","page":"292-305","title":"The Permeability of Capillaries in Various Organs as Determined by Use of the ‘Indicator Diffusion’ Method","type":"article-journal","volume":"58"},"uris":["http://www.mendeley.com/documents/?uuid=59a07ce8-3bd4-4ab7-8541-42361ec8b89a"]},{"id":"ITEM-3","itemData":{"ISBN":"978-1-118-78835-6","abstract":"Focused on central nervous system (CNS) drug discovery efforts, this book educates drug researchers about the blood-brain barrier (BBB) so they can affect important improvements in one of the most significant – and most challenging – areas of drug discovery. • Written by world experts to provide practical solutions to increase brain penetration or minimize CNS side-effects • Reviews state-of-the-art in silico, in vitro, and in vivo tools to assess brain penetration and advanced CNS drug delivery strategies • Covers BBB physiology, medicinal chemistry design principles, free drug hypothesis for the BBB, and transport mechanisms including passive diffusion, uptake/efflux transporters, and receptor-mediated processes • Highlights the advances in modelling BBB pharmacokinetics and dynamics relationships (PK/PD) and physiologically-based pharmacokinetics (PBPK) • Discusses case studies of successful CNS and non-CNS drugs, lessons learned and paths to the market","author":[{"dropping-particle":"","family":"Di","given":"Li","non-dropping-particle":"","parse-names":false,"suffix":""},{"dropping-particle":"","family":"Kerns","given":"Edward H","non-dropping-particle":"","parse-names":false,"suffix":""}],"id":"ITEM-3","issued":{"date-parts":[["2015"]]},"language":"en","number-of-pages":"604","publisher":"John Wiley &amp; Sons","title":"Blood-Brain Barrier in Drug Discovery: Optimizing Brain Exposure of CNS Drugs and Minimizing Brain Side Effects for Peripheral Drugs","title-short":"Blood-Brain Barrier in Drug Discovery","type":"book"},"uris":["http://www.mendeley.com/documents/?uuid=5e39d84b-8410-49ec-8424-8731751eb209"]},{"id":"ITEM-4","itemData":{"ISBN":"978-0-12-814002-4","abstract":"Brain Targeted Drug Delivery Systems: A Focus on Nanotechnology and Nanoparticulates provides a guide on nanoparticulates to both academic and industry researchers. The book discusses key points in the development of brain targeted drug delivery, summarizes available strategies, and considers the main problems and pitfalls evidenced in current studies on brain targeted drug delivery systems. As the brain is the most important organ in the human body, and disorders of the central nervous system (CNS) are the most serious threat to human life, this book highlights advances and new research in drug delivery methods to the brain. Provides an overview of brain targeting drug delivery that is useful to both academic and industry-based researchersDiscusses key points in developing brain targeting drug delivery systemsSummarizes and presents currently available strategies for brain targeting drug deliveryCovers not only current studies and their strengths, but also gives insight into the pitfalls of current research","author":[{"dropping-particle":"","family":"Gao","given":"Huile","non-dropping-particle":"","parse-names":false,"suffix":""},{"dropping-particle":"","family":"Gao","given":"Xiaoling","non-dropping-particle":"","parse-names":false,"suffix":""}],"id":"ITEM-4","issued":{"date-parts":[["2018"]]},"language":"en","number-of-pages":"502","publisher":"Academic Press","title":"Brain Targeted Drug Delivery Systems: A Focus on Nanotechnology and Nanoparticulates","title-short":"Brain Targeted Drug Delivery Systems","type":"book"},"uris":["http://www.mendeley.com/documents/?uuid=29da638c-420b-49a1-8ffa-e90fd5f5aa47"]},{"id":"ITEM-5","itemData":{"URL":"https://www.karger.com/Article/Abstract/158652","author":[{"dropping-particle":"","family":"Gross","given":"","non-dropping-particle":"","parse-names":false,"suffix":""},{"dropping-particle":"","family":"Sposito","given":"","non-dropping-particle":"","parse-names":false,"suffix":""},{"dropping-particle":"","family":"Fenstermacher","given":"","non-dropping-particle":"","parse-names":false,"suffix":""}],"id":"ITEM-5","issued":{"date-parts":[["1986"]]},"title":"Differences in Function and Structure of the Capillary Endothelium in Gray Matter, White Matter and a Circumventricular Organ of Rat Brain - Abstract - Journal of Vascular Research 1986, Vol. 23, No. 6 - Karger Publishers","type":"webpage"},"uris":["http://www.mendeley.com/documents/?uuid=f6de24be-4508-496c-ab0e-e2d717e8c74e"]},{"id":"ITEM-6","itemData":{"DOI":"10.1602/neurorx.2.1.3","ISBN":"1545-5343","ISSN":"15455351","abstract":"Summary: The blood-brain barrier (BBB) is formed by the brain capillary endothelium and excludes from the brain </w:instrText>
            </w:r>
            <w:r w:rsidR="0058321B" w:rsidRPr="00C644C2">
              <w:rPr>
                <w:rFonts w:ascii="Cambria Math" w:eastAsia="Times New Roman" w:hAnsi="Cambria Math" w:cs="Cambria Math"/>
                <w:color w:val="000000"/>
                <w:sz w:val="20"/>
                <w:szCs w:val="20"/>
              </w:rPr>
              <w:instrText>∼</w:instrText>
            </w:r>
            <w:r w:rsidR="0058321B" w:rsidRPr="00C644C2">
              <w:rPr>
                <w:rFonts w:eastAsia="Times New Roman" w:cstheme="minorHAnsi"/>
                <w:color w:val="000000"/>
                <w:sz w:val="20"/>
                <w:szCs w:val="20"/>
              </w:rPr>
              <w:instrText>100% of large-molecule neurotherapeutics and more than 98% of all small-molecule drugs. Despite the importance of the BBB to the neurotherapeutics mission, the BBB receives insufficient attention in either academic neuroscience or industry programs. The combination of so little effort in developing solutions to the BBB problem, and the minimal BBB transport of the majority of all potential CNS drugs, leads predictably to the present situation in neurotherapeutics, which is that there are few effective treatments for the majority of CNS disorders. This situation can be reversed by an accelerated effort to develop a knowledge base in the fundamental transport properties of the BBB, and the molecular and cellular biology of the brain capillary endothelium. This provides the platform for CNS drug delivery programs, which should be developed in parallel with traditional CNS drug discovery efforts in the molecular neurosciences.","author":[{"dropping-particle":"","family":"Pardridge","given":"William M.","non-dropping-particle":"","parse-names":false,"suffix":""}],"container-title":"NeuroRx","id":"ITEM-6","issue":"1","issued":{"date-parts":[["2005"]]},"page":"3-14","title":"The Blood-Brain Barrier: Bottleneck in Brain Drug Development","title-short":"The Blood-Brain Barrier","type":"article-journal","volume":"2"},"uris":["http://www.mendeley.com/documents/?uuid=7d9287b4-df9c-462e-974f-14c8998e1d2d"]},{"id":"ITEM-7","itemData":{"DOI":"10.1186/2045-8118-8-3","ISBN":"2045-8118","abstract":"Efficient processing of information by the central nervous system (CNS) represents an important evolutionary advantage. Thus, homeostatic mechanisms have developed that provide appropriate circumstances for neuronal signaling, including a highly controlled and stable microenvironment. To provide such a milieu for neurons, extracellular fluids of the CNS are separated from the changeable environment of blood at three major interfaces: at the brain capillaries by the blood-brain barrier (BBB), which is localized at the level of the endothelial cells and separates brain interstitial fluid (ISF) from blood; at the epithelial layer of four choroid plexuses, the blood-cerebrospinal fluid (CSF) barrier (BCSFB), which separates CSF from the CP ISF, and at the arachnoid barrier. The two barriers that represent the largest interface between blood and brain extracellular fluids, the BBB and the BCSFB, prevent the free paracellular diffusion of polar molecules by complex morphological features, including tight junctions (TJs) that interconnect the endothelial and epithelial cells, respectively. The first part of this review focuses on the molecular biology of TJs and adherens junctions in the brain capillary endothelial cells and in the CP epithelial cells. However, normal function of the CNS depends on a constant supply of essential molecules, like glucose and amino acids from the blood, exchange of electrolytes between brain extracellular fluids and blood, as well as on efficient removal of metabolic waste products and excess neurotransmitters from the brain ISF. Therefore, a number of specific transport proteins are expressed in brain capillary endothelial cells and CP epithelial cells that provide transport of nutrients and ions into the CNS and removal of waste products and ions from the CSF. The second part of this review concentrates on the molecular biology of various solute carrier (SLC) transport proteins at those two barriers and underlines differences in their expression between the two barriers. Also, many blood-borne molecules and xenobiotics can diffuse into brain ISF and then into neuronal membranes due to their physicochemical properties. Entry of these compounds could be detrimental for neural transmission and signalling. Thus, BBB and BCSFB express transport proteins that actively restrict entry of lipophilic and amphipathic substances from blood and/or remove those molecules from the brain extracellular fluids. The third part of this review conc…","author":[{"dropping-particle":"","family":"Redzic","given":"Zoran","non-dropping-particle":"","parse-names":false,"suffix":""}],"container-title":"Fluids and Barriers of the CNS","id":"ITEM-7","issued":{"date-parts":[["2011"]]},"page":"3","title":"Molecular biology of the blood-brain and the blood-cerebrospinal fluid barriers: similarities and differences","title-short":"Molecular biology of the blood-brain and the blood","type":"article-journal","volume":"8"},"uris":["http://www.mendeley.com/documents/?uuid=0b9d8c63-197b-4c7a-9346-cf9936a00c73"]},{"id":"ITEM-8","itemData":{"ISBN":"978-0-08-052822-9","abstract":"Recent research into the anatomy and pathophysiology of the blood-brain and blood-spinal cord barriers suggests that a breakdown in these barriers can result in several diseases affecting the central nervous system (CNS). This book presents new findings in the area of blood-brain barrier research that suggest barriers play important roles in health and disease conditions. It also discusses the development of new drugs that can modulate the barrier function in the CNS and may provide new approaches to treating neurological diseases such as Alzheimer's disease and other motor neuron diseases, as well as spinal cord trauma.Key Features* Presents the recent progress made in the research on the blood-brain and spinal cord barrier* Contains numerous illustrations of light and electron micrographs* Includes Foreword written by two eminent researchers in the field, Milton Brightman and Jorge Cervos-Navarro","author":[{"dropping-particle":"","family":"Sharma","given":"Hari Shanker","non-dropping-particle":"","parse-names":false,"suffix":""}],"id":"ITEM-8","issued":{"date-parts":[["2003"]]},"language":"en","number-of-pages":"623","publisher":"Elsevier","title":"Blood-Spinal Cord and Brain Barriers in Health and Disease","type":"book"},"uris":["http://www.mendeley.com/documents/?uuid=df7114a9-099f-4d47-8dfc-f66766c8dc95"]},{"id":"ITEM-9","itemData":{"DOI":"10.3389/fneng.2013.00007","ISBN":"1662-6443","abstract":"It has been more than 100 years since Paul Ehrlich reported that various water-soluble dyes injected into the circulation did not enter the brain. Since Ehrlich’s first experiments, only a small number of molecules, such as alcohol and caffeine have been found to cross the blood-brain barrier, and it remains the major roadblock to treatment of many central nervous system diseases. At the same time, many central nervous system diseases are associated with disruption of the blood-brain barrier that can lead to changes in permeability, modulation of immune cell transport, and trafficking of pathogens into the brain. Therefore advances in our understanding of the structure and function of the blood-brain barrier are key to advances in treatment of a wide range of central nervous system diseases. Over the past 10 years it has become recognized that the blood-brain barrier is a complex dynamic system that involves biomechanical and biochemical signaling between the vascular system and the brain. Here we reconstruct the structure, function, and transport properties of the blood-brain barrier from an engineering perspective. New insight into the physics of the blood-brain barrier could ultimately lead to clinical advances in the treatment of central nervous system diseases.","author":[{"dropping-particle":"","family":"Wong","given":"Andrew D.","non-dropping-particle":"","parse-names":false,"suffix":""},{"dropping-particle":"","family":"Ye","given":"Mao","non-dropping-particle":"","parse-names":false,"suffix":""},{"dropping-particle":"","family":"Levy","given":"Amanda F.","non-dropping-particle":"","parse-names":false,"suffix":""},{"dropping-particle":"","family":"Rothstein","given":"Jeffrey D.","non-dropping-particle":"","parse-names":false,"suffix":""},{"dropping-particle":"","family":"Bergles","given":"Dwight E.","non-dropping-particle":"","parse-names":false,"suffix":""},{"dropping-particle":"","family":"Searson","given":"Peter C.","non-dropping-particle":"","parse-names":false,"suffix":""}],"container-title":"Frontiers in Neuroengineering","id":"ITEM-9","issue":"August","issued":{"date-parts":[["2013"]]},"page":"1-22","title":"The blood-brain barrier: an engineering perspective","title-short":"The blood-brain barrier","type":"article-journal","volume":"6"},"uris":["http://www.mendeley.com/documents/?uuid=5472c095-c0bb-4db0-a233-92f9e1b39f3d"]}],"mendeley":{"formattedCitation":"[65–73]","plainTextFormattedCitation":"[65–73]","previouslyFormattedCitation":"[65–73]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[65–73]</w:t>
            </w:r>
            <w:r w:rsidRPr="00C644C2">
              <w:rPr>
                <w:rFonts w:eastAsia="Times New Roman" w:cstheme="minorHAnsi"/>
                <w:color w:val="000000"/>
                <w:sz w:val="20"/>
                <w:szCs w:val="20"/>
              </w:rPr>
              <w:fldChar w:fldCharType="end"/>
            </w:r>
          </w:p>
        </w:tc>
      </w:tr>
      <w:tr w:rsidR="00431683" w:rsidRPr="00C644C2" w14:paraId="1212519B" w14:textId="77777777" w:rsidTr="00154697">
        <w:trPr>
          <w:trHeight w:val="78"/>
        </w:trPr>
        <w:tc>
          <w:tcPr>
            <w:tcW w:w="1560" w:type="dxa"/>
            <w:vMerge/>
            <w:vAlign w:val="center"/>
            <w:hideMark/>
          </w:tcPr>
          <w:p w14:paraId="0E4D8B80"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4FED5F40"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Blood CSF barrier (</w:t>
            </w:r>
            <w:r w:rsidR="00FF605E" w:rsidRPr="00C644C2">
              <w:rPr>
                <w:rFonts w:eastAsia="Times New Roman" w:cstheme="minorHAnsi"/>
                <w:color w:val="000000"/>
                <w:sz w:val="20"/>
                <w:szCs w:val="20"/>
              </w:rPr>
              <w:t>SA</w:t>
            </w:r>
            <w:r w:rsidRPr="00C644C2">
              <w:rPr>
                <w:rFonts w:eastAsia="Times New Roman" w:cstheme="minorHAnsi"/>
                <w:color w:val="000000"/>
                <w:sz w:val="20"/>
                <w:szCs w:val="20"/>
                <w:vertAlign w:val="subscript"/>
              </w:rPr>
              <w:t>BCSFB</w:t>
            </w:r>
            <w:r w:rsidRPr="00C644C2">
              <w:rPr>
                <w:rFonts w:eastAsia="Times New Roman" w:cstheme="minorHAnsi"/>
                <w:color w:val="000000"/>
                <w:sz w:val="20"/>
                <w:szCs w:val="20"/>
              </w:rPr>
              <w:t>)</w:t>
            </w:r>
          </w:p>
        </w:tc>
        <w:tc>
          <w:tcPr>
            <w:tcW w:w="1907" w:type="dxa"/>
            <w:shd w:val="clear" w:color="auto" w:fill="auto"/>
            <w:noWrap/>
            <w:vAlign w:val="center"/>
            <w:hideMark/>
          </w:tcPr>
          <w:p w14:paraId="606C0B7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25</w:t>
            </w:r>
            <w:bookmarkStart w:id="3" w:name="_Ref25796453"/>
            <w:r w:rsidRPr="00691E3C">
              <w:rPr>
                <w:rStyle w:val="FootnoteReference"/>
              </w:rPr>
              <w:footnoteReference w:id="13"/>
            </w:r>
            <w:bookmarkEnd w:id="3"/>
          </w:p>
        </w:tc>
        <w:tc>
          <w:tcPr>
            <w:tcW w:w="3685" w:type="dxa"/>
            <w:shd w:val="clear" w:color="auto" w:fill="auto"/>
            <w:noWrap/>
            <w:vAlign w:val="center"/>
          </w:tcPr>
          <w:p w14:paraId="2C00BFA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{"citationItems":[{"id":"ITEM-1","itemData":{"DOI":"10.1016/0165-3806(90)90163-S","ISBN":"0165-3806","ISSN":"01653806","abstract":"Morphometric changes in the rat lateral ventricle choroid plexus epithelium and endothelium and in the ventricular ependyma were studied between 16 days gestation and 30 days after birth, using stereological techniques. The epithelial apical surface density increased from 0.6 to 3.3 μm 2 /μm 3 and the mitochondrial volume fraction from 3.2 to 7.6% during this period. The endothelial fenestrations increased from 0.05 to 0.39 μm -1 . These changes may be related to postnatal increases in choroid plexus function. Morphological changes in basolateral surface density, cell height and nucleus and glycogen volume fraction have also been measured. The development of the lateral ventricle choroid plexus was qualitatively similar to the fourth ventricle plexus reported previously, but small quantitative differences occurred. The ventricular ependyma also showed a significant increase in mitochondrial volume fraction after birth, though to a lesser extent than the plexus epithelium. The total apical surface area of the choroid plexuses was estimated at 75 cm 2 for 30-day-old rats. This figure, which takes into account the apical microvilli, is much greater than previous estimates and is similar to the surface area of the cerebral capillaries (155 cm 2 ), and suggests that the choroid plexuses may play a more important role in the regulation of the brain microenvironment than previously thought. © 1990.","author":[{"dropping-particle":"","family":"Keep","given":"R. F.","non-dropping-particle":"","parse-names":false,"suffix":""},{"dropping-particle":"","family":"Jones","given":"H. C.","non-dropping-particle":"","parse-names":false,"suffix":""}],"container-title":"Developmental Brain Research","id":"ITEM-1","issue":"1","issued":{"date-parts":[["1990"]]},"page":"47-53","title":"A morphometric study on the development of the lateral ventricle choroid plexus, choroid plexus capillaries and ventricular ependyma in the rat","type":"article-journal","volume":"56"},"uris":["http://www.mendeley.com/documents/?uuid=54047c5a-88e6-4a15-9fde-22ed5a43116d"]}],"mendeley":{"formattedCitation":"[62]","plainTextFormattedCitation":"[62]","previouslyFormattedCitation":"[62]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[62]</w:t>
            </w:r>
            <w:r w:rsidRPr="00C644C2">
              <w:rPr>
                <w:rFonts w:eastAsia="Times New Roman" w:cstheme="minorHAnsi"/>
                <w:color w:val="000000"/>
                <w:sz w:val="20"/>
                <w:szCs w:val="20"/>
              </w:rPr>
              <w:fldChar w:fldCharType="end"/>
            </w:r>
          </w:p>
        </w:tc>
        <w:tc>
          <w:tcPr>
            <w:tcW w:w="1701" w:type="dxa"/>
            <w:vAlign w:val="center"/>
          </w:tcPr>
          <w:p w14:paraId="33C63BD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15000</w:t>
            </w:r>
            <w:r w:rsidRPr="00691E3C">
              <w:rPr>
                <w:rStyle w:val="FootnoteReference"/>
              </w:rPr>
              <w:footnoteReference w:id="14"/>
            </w:r>
          </w:p>
        </w:tc>
        <w:tc>
          <w:tcPr>
            <w:tcW w:w="4111" w:type="dxa"/>
            <w:vAlign w:val="center"/>
          </w:tcPr>
          <w:p w14:paraId="56F1B75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{"citationItems":[{"id":"ITEM-1","itemData":{"DOI":"10.1517/17425247.2016.1171315","ISBN":"1742-5247, 1744-7593","abstract":"Introduction: There are 2 misconceptions about the cerebrospinal fluid (CSF), the blood-brain barrier (BBB), and brain drug delivery, which date back to the discovery of a barrier between blood and brain over 100 years ago. Misconception 1 is that drug distribution into CSF is a measure of BBB transport. Misconception 2 is that drug injected into the CSF compartment distributes to the inner parenchyma of brain.","author":[{"dropping-particle":"","family":"Pardridge","given":"William M","non-dropping-particle":"","parse-names":false,"suffix":""}],"container-title":"Expert Opinion on Drug Delivery","id":"ITEM-1","issue":"7","issued":{"date-parts":[["2016"]]},"language":"en","page":"963-975","title":"CSF, blood-brain barrier, and brain drug delivery","type":"article-journal","volume":"13"},"uris":["http://www.mendeley.com/documents/?uuid=b2b899db-dde0-4316-bf1f-9c3cbe02121c"]},{"id":"ITEM-2","itemData":{"DOI":"10.1016/j.expneurol.2015.02.032","ISBN":"0014-4886","abstract":"Recently tremendous progress has been made in studying choroid plexus (CP) physiology and pathophysiology; and correcting several misconceptions about the CP. Specifically, the details of how CP, a locus of the blood–CSF barrier (BCSFB), secretes and purifies CSF, generates intracranial pressure (ICP), maintains CSF ion homeostasis, and provides micronutrients, proteins and hormones for neuronal and glial development, maintenance and function, are being understood on a molecular level. Unequivocal evidence that the CP secretory epithelium is the predominant supplier of CSF for the ventricles comes from multiple lines: uptake kinetics of tracer 22Na and 36Cl penetration from blood to CSF, autoradiographic mapping of rapid 22Na and 36Cl permeation (high permeability coefficients) into the cerebroventricles, CSF sampling from several different in vivo and in vitro CP preparations, CP hyperplasia that increases CSF formation and ICP; and in vitro analysis of CP ability to transport molecules (with expected directionality) and actively secrete fluid against an hydrostatic fluid column. Furthermore, clinical support for this CP–CSF model comes from neurosurgical procedures to remove lateral ventricle CPs in hydrocephalic children to reduce CSF formation, thereby relieving elevated ICP. In terms of micronutrient transport, ascorbic acid, folate and other essential factors are transported by specific (cloned) carriers across CP into ventricular CSF, from which they penetrate across the ependyma and pia mater deeply into the brain to support its viability and function. Without these choroidal functions, severe neurological disease and even death can occur. In terms of efflux or clearance transport, the active carriers (many of which have been cloned and expressed) in the CP basolateral and apical membranes perform regulatory removal of some metabolites (e.g. choline) and certain drugs (e.g. antibiotics like penicillin) from CSF, thus reducing agents such as penicillin to sub-therapeutic levels. Altogether, these multiple transport and secretory functions in CP support CSF homeostasis and fluid dynamics essential for brain function.","author":[{"dropping-particle":"","family":"Spector","given":"Reynold","non-dropping-particle":"","parse-names":false,"suffix":""},{"dropping-particle":"","family":"Keep","given":"Richard F","non-dropping-particle":"","parse-names":false,"suffix":""},{"dropping-particle":"","family":"Robert Snodgrass","given":"S","non-dropping-particle":"","parse-names":false,"suffix":""},{"dropping-particle":"","family":"Smith","given":"Quentin R","non-dropping-particle":"","parse-names":false,"suffix":""},{"dropping-particle":"","family":"Johanson","given":"Conrad E","non-dropping-particle":"","parse-names":false,"suffix":""}],"container-title":"Experimental Neurology","id":"ITEM-2","issued":{"date-parts":[["2015"]]},"page":"78-86","title":"A balanced view of choroid plexus structure and function: Focus on adult humans","title-short":"A balanced view of choroid plexus structure and fu","type":"article-journal","volume":"267"},"uris":["http://www.mendeley.com/documents/?uuid=cc159dd5-c39f-4008-8a1d-1a0b3b037513"]}],"mendeley":{"formattedCitation":"[74, 75]","plainTextFormattedCitation":"[74, 75]","previouslyFormattedCitation":"[74, 75]"},"properties":{"noteIndex":0},"schema":"https://github.com/citation-style-language/schema/raw/master/csl-citation.json"}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[74, 75]</w:t>
            </w:r>
            <w:r w:rsidRPr="00C644C2">
              <w:rPr>
                <w:rFonts w:eastAsia="Times New Roman" w:cstheme="minorHAnsi"/>
                <w:color w:val="000000"/>
                <w:sz w:val="20"/>
                <w:szCs w:val="20"/>
              </w:rPr>
              <w:fldChar w:fldCharType="end"/>
            </w:r>
          </w:p>
        </w:tc>
      </w:tr>
      <w:tr w:rsidR="00431683" w:rsidRPr="00C644C2" w14:paraId="42FE3A67" w14:textId="77777777" w:rsidTr="00154697">
        <w:trPr>
          <w:trHeight w:val="78"/>
        </w:trPr>
        <w:tc>
          <w:tcPr>
            <w:tcW w:w="1560" w:type="dxa"/>
            <w:vMerge/>
            <w:vAlign w:val="center"/>
            <w:hideMark/>
          </w:tcPr>
          <w:p w14:paraId="63D15D1B"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71EDBEAE"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cell membrane</w:t>
            </w:r>
            <w:r w:rsidR="00FF605E" w:rsidRPr="00C644C2">
              <w:rPr>
                <w:rFonts w:eastAsia="Times New Roman" w:cstheme="minorHAnsi"/>
                <w:color w:val="000000"/>
                <w:sz w:val="20"/>
                <w:szCs w:val="20"/>
              </w:rPr>
              <w:t xml:space="preserve"> (SA</w:t>
            </w:r>
            <w:r w:rsidR="00FF605E" w:rsidRPr="00C644C2">
              <w:rPr>
                <w:rFonts w:eastAsia="Times New Roman" w:cstheme="minorHAnsi"/>
                <w:color w:val="000000"/>
                <w:sz w:val="20"/>
                <w:szCs w:val="20"/>
                <w:vertAlign w:val="subscript"/>
              </w:rPr>
              <w:t>BCM</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48B90C4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4250</w:t>
            </w:r>
            <w:bookmarkStart w:id="4" w:name="_Ref25796153"/>
            <w:r w:rsidRPr="00691E3C">
              <w:rPr>
                <w:rStyle w:val="FootnoteReference"/>
              </w:rPr>
              <w:footnoteReference w:id="15"/>
            </w:r>
            <w:bookmarkEnd w:id="4"/>
          </w:p>
        </w:tc>
        <w:tc>
          <w:tcPr>
            <w:tcW w:w="3685" w:type="dxa"/>
            <w:shd w:val="clear" w:color="auto" w:fill="auto"/>
            <w:noWrap/>
            <w:vAlign w:val="center"/>
          </w:tcPr>
          <w:p w14:paraId="7E19BFC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{"citationItems":[{"id":"ITEM-1","itemData":{"DOI":"10.1073/pnas.0604911103","ISSN":"0027-8424","abstract":"How do cell number and size determine brain size? Here, we show that, in the order Rodentia, increased size of the cerebral cortex, cerebellum, and remaining areas across six species is achieved through greater numbers of neurons of larger size, and much greater numbers of nonneuronal cells of roughly invariant size, such that the ratio between total neuronal and nonneuronal mass remains constant across species. Although relative cerebellar size remains stable among rodents, the number of cerebellar neurons increases with brain size more rapidly than in the cortex, such that the cerebellar fraction of total brain neurons increases with brain size. In contrast, although the relative cortical size increases with total brain size, the cortical fraction of total brain neurons remains constant. We propose that the faster increase in average neuronal size in the cerebral cortex than in the cerebellum as these structures gain neurons and the rapidly increasing glial numbers that generate glial mass to match total neuronal mass at a fixed glia/neuron total mass ratio are fundamental cellular constraints that lead to the relative expansion of cerebral cortical volume across species.","author":[{"dropping-particle":"","family":"Herculano-Houzel","given":"S.","non-dropping-particle":"","parse-names":false,"suffix":""},{"dropping-particle":"","family":"Mota","given":"B.","non-dropping-particle":"","parse-names":false,"suffix":""},{"dropping-particle":"","family":"Lent","given":"R.","non-dropping-particle":"","parse-names":false,"suffix":""}],"container-title":"Proceedings of the National Academy of Sciences","id":"ITEM-1","issue":"32","issued":{"date-parts":[["2006"]]},"page":"12138-12143","title":"Cellular scaling rules for rodent brains","type":"article-journal","volume":"103"},"uris":["http://www.mendeley.com/documents/?uuid=61e990f1-6eea-4c81-ba5b-8c6095110714"]}],"mendeley":{"formattedCitation":"[76]","plainTextFormattedCitation":"[76]","previouslyFormattedCitation":"[76]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[76]</w:t>
            </w:r>
            <w:r w:rsidRPr="00C644C2">
              <w:rPr>
                <w:rFonts w:eastAsia="Times New Roman" w:cstheme="minorHAnsi"/>
                <w:color w:val="000000"/>
                <w:sz w:val="20"/>
                <w:szCs w:val="20"/>
              </w:rPr>
              <w:fldChar w:fldCharType="end"/>
            </w:r>
          </w:p>
        </w:tc>
        <w:tc>
          <w:tcPr>
            <w:tcW w:w="1701" w:type="dxa"/>
            <w:vAlign w:val="center"/>
          </w:tcPr>
          <w:p w14:paraId="3CE0603C" w14:textId="77777777" w:rsidR="00431683" w:rsidRPr="00C644C2" w:rsidRDefault="00431683" w:rsidP="00D07A78">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266</w:t>
            </w:r>
            <w:r w:rsidR="00D07A78" w:rsidRPr="00C644C2">
              <w:rPr>
                <w:rFonts w:eastAsia="Times New Roman" w:cstheme="minorHAnsi"/>
                <w:color w:val="000000"/>
                <w:sz w:val="20"/>
                <w:szCs w:val="20"/>
              </w:rPr>
              <w:t>6520</w:t>
            </w:r>
            <w:r w:rsidRPr="00C644C2">
              <w:rPr>
                <w:rFonts w:eastAsia="Times New Roman" w:cstheme="minorHAnsi"/>
                <w:color w:val="000000"/>
                <w:sz w:val="20"/>
                <w:szCs w:val="20"/>
                <w:vertAlign w:val="superscript"/>
              </w:rPr>
              <w:fldChar w:fldCharType="begin"/>
            </w:r>
            <w:r w:rsidRPr="00C644C2">
              <w:rPr>
                <w:rFonts w:eastAsia="Times New Roman" w:cstheme="minorHAnsi"/>
                <w:color w:val="000000"/>
                <w:sz w:val="20"/>
                <w:szCs w:val="20"/>
                <w:vertAlign w:val="superscript"/>
              </w:rPr>
              <w:instrText xml:space="preserve"> NOTEREF _Ref25796153 \h  \* MERGEFORMAT </w:instrText>
            </w:r>
            <w:r w:rsidRPr="00C644C2">
              <w:rPr>
                <w:rFonts w:eastAsia="Times New Roman" w:cstheme="minorHAnsi"/>
                <w:color w:val="000000"/>
                <w:sz w:val="20"/>
                <w:szCs w:val="20"/>
                <w:vertAlign w:val="superscript"/>
              </w:rPr>
            </w:r>
            <w:r w:rsidRPr="00C644C2">
              <w:rPr>
                <w:rFonts w:eastAsia="Times New Roman" w:cstheme="minorHAnsi"/>
                <w:color w:val="000000"/>
                <w:sz w:val="20"/>
                <w:szCs w:val="20"/>
                <w:vertAlign w:val="superscript"/>
              </w:rPr>
              <w:fldChar w:fldCharType="separate"/>
            </w:r>
            <w:r w:rsidR="008C78C2" w:rsidRPr="00C644C2">
              <w:rPr>
                <w:rFonts w:eastAsia="Times New Roman" w:cstheme="minorHAnsi"/>
                <w:color w:val="000000"/>
                <w:sz w:val="20"/>
                <w:szCs w:val="20"/>
                <w:vertAlign w:val="superscript"/>
              </w:rPr>
              <w:t>o</w:t>
            </w:r>
            <w:r w:rsidRPr="00C644C2">
              <w:rPr>
                <w:rFonts w:eastAsia="Times New Roman" w:cstheme="minorHAnsi"/>
                <w:color w:val="000000"/>
                <w:sz w:val="20"/>
                <w:szCs w:val="20"/>
                <w:vertAlign w:val="superscript"/>
              </w:rPr>
              <w:fldChar w:fldCharType="end"/>
            </w:r>
          </w:p>
        </w:tc>
        <w:tc>
          <w:tcPr>
            <w:tcW w:w="4111" w:type="dxa"/>
            <w:vAlign w:val="center"/>
          </w:tcPr>
          <w:p w14:paraId="06D8B75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{"citationItems":[{"id":"ITEM-1","itemData":{"DOI":"10.1093/brain/awt273","ISBN":"0006-8950","abstract":"Abstract.  Alzheimer’s disease is the commonest cause of dementia in the elderly, but its pathological determinants are still debated. Amyloid-β plaques and neu","author":[{"dropping-particle":"","family":"Andrade-Moraes","given":"Carlos Humberto","non-dropping-particle":"","parse-names":false,"suffix":""},{"dropping-particle":"V","family":"Oliveira-Pinto","given":"Ana","non-dropping-particle":"","parse-names":false,"suffix":""},{"dropping-particle":"","family":"Castro-Fonseca","given":"Emily","non-dropping-particle":"","parse-names":false,"suffix":""},{"dropping-particle":"","family":"Silva","given":"Camila G","non-dropping-particle":"da","parse-names":false,"suffix":""},{"dropping-particle":"","family":"Guimarães","given":"Daniel M","non-dropping-particle":"","parse-names":false,"suffix":""},{"dropping-particle":"","family":"Szczupak","given":"Diego","non-dropping-particle":"","parse-names":false,"suffix":""},{"dropping-particle":"","family":"Parente-Bruno","given":"Danielle R","non-dropping-particle":"","parse-names":false,"suffix":""},{"dropping-particle":"","family":"Carvalho","given":"Ludmila R B","non-dropping-particle":"","parse-names":false,"suffix":""},{"dropping-particle":"","family":"Polichiso","given":"Lívia","non-dropping-particle":"","parse-names":false,"suffix":""},{"dropping-particle":"V","family":"Gomes","given":"Bruna","non-dropping-particle":"","parse-names":false,"suffix":""},{"dropping-particle":"","family":"Oliveira","given":"Lays M","non-dropping-particle":"","parse-names":false,"suffix":""},{"dropping-particle":"","family":"Rodriguez","given":"Roberta D","non-dropping-particle":"","parse-names":false,"suffix":""},{"dropping-particle":"","family":"Leite","given":"Renata E P","non-dropping-particle":"","parse-names":false,"suffix":""},{"dropping-particle":"","family":"Ferretti-Rebustini","given":"Renata E L","non-dropping-particle":"","parse-names":false,"suffix":""},{"dropping-particle":"","family":"Jacob-Filho","given":"Wilson","non-dropping-particle":"","parse-names":false,"suffix":""},{"dropping-particle":"","family":"Pasqualucci","given":"Carlos A","non-dropping-particle":"","parse-names":false,"suffix":""},{"dropping-particle":"","family":"Grinberg","given":"Lea T","non-dropping-particle":"","parse-names":false,"suffix":""},{"dropping-particle":"","family":"Lent","given":"Roberto","non-dropping-particle":"","parse-names":false,"suffix":""}],"container-title":"Brain","id":"ITEM-1","issue":"12","issued":{"date-parts":[["2013"]]},"language":"en","page":"3738-3752","title":"Cell number changes in Alzheimer’s disease relate to dementia, not to plaques and tangles","type":"article-journal","volume":"136"},"uris":["http://www.mendeley.com/documents/?uuid=bc3cc77a-0ccb-44fd-bd97-f2b4a909826c"]},{"id":"ITEM-2","itemData":{"DOI":"10.1002/cne.21974","ISBN":"1096-9861","abstract":"The human brain is often considered to be the most cognitively capable among mammalian brains and to be much larger than expected for a mammal of our body size. Although the number of neurons is generally assumed to be a determinant of computational power, and despite the widespread quotes that the human brain contains 100 billion neurons and ten times more glial cells, the absolute number of neurons and glial cells in the human brain remains unknown. Here we determine these numbers by using the isotropic fractionator and compare them with the expected values for a human-sized primate. We find that the adult male human brain contains on average 86.1 ± 8.1 billion NeuN-positive cells (“neurons”) and 84.6 ± 9.8 billion NeuN-negative (“nonneuronal”) cells. With only 19% of all neurons located in the cerebral cortex, greater cortical size (representing 82% of total brain mass) in humans compared with other primates does not reflect an increased relative number of cortical neurons. The ratios between glial cells and neurons in the human brain structures are similar to those found in other primates, and their numbers of cells match those expected for a primate of human proportions. These findings challenge the common view that humans stand out from other primates in their brain composition and indicate that, with regard to numbers of neuronal and nonneuronal cells, the human brain is an isometrically scaled-up primate brain. J. Comp. Neurol. 513:532–541, 2009. © 2009 Wiley-Liss, Inc.","author":[{"dropping-particle":"","family":"Azevedo","given":"Frederico A C","non-dropping-particle":"","parse-names":false,"suffix":""},{"dropping-particle":"","family":"Carvalho","given":"Ludmila R B","non-dropping-particle":"","parse-names":false,"suffix":""},{"dropping-particle":"","family":"Grinberg","given":"Lea T","non-dropping-particle":"","parse-names":false,"suffix":""},{"dropping-particle":"","family":"Farfel","given":"José Marcelo","non-dropping-particle":"","parse-names":false,"suffix":""},{"dropping-particle":"","family":"Ferretti","given":"Renata E L","non-dropping-particle":"","parse-names":false,"suffix":""},{"dropping-particle":"","family":"Leite","given":"Renata E P","non-dropping-particle":"","parse-names":false,"suffix":""},{"dropping-particle":"","family":"Filho","given":"Wilson Jacob","non-dropping-particle":"","parse-names":false,"suffix":""},{"dropping-particle":"","family":"Lent","given":"Roberto","non-dropping-particle":"","parse-names":false,"suffix":""},{"dropping-particle":"","family":"Herculano‐Houzel","given":"Suzana","non-dropping-particle":"","parse-names":false,"suffix":""}],"container-title":"Journal of Comparative Neurology","id":"ITEM-2","issue":"5","issued":{"date-parts":[["2009"]]},"language":"en","page":"532-541","title":"Equal numbers of neuronal and nonneuronal cells make the human brain an isometrically scaled-up primate brain","type":"article-journal","volume":"513"},"uris":["http://www.mendeley.com/documents/?uuid=6292f18b-1a34-4ade-82af-2c87b2854c25"]}],"mendeley":{"formattedCitation":"[77, 78]","plainTextFormattedCitation":"[77, 78]","previouslyFormattedCitation":"[77, 78]"},"properties":{"noteIndex":0},"schema":"https://github.com/citation-style-language/schema/raw/master/csl-citation.json"}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[77, 78]</w:t>
            </w:r>
            <w:r w:rsidRPr="00C644C2">
              <w:rPr>
                <w:rFonts w:eastAsia="Times New Roman" w:cstheme="minorHAnsi"/>
                <w:color w:val="000000"/>
                <w:sz w:val="20"/>
                <w:szCs w:val="20"/>
              </w:rPr>
              <w:fldChar w:fldCharType="end"/>
            </w:r>
          </w:p>
        </w:tc>
      </w:tr>
      <w:tr w:rsidR="00431683" w:rsidRPr="00C644C2" w14:paraId="4A82129D" w14:textId="77777777" w:rsidTr="00154697">
        <w:trPr>
          <w:trHeight w:val="78"/>
        </w:trPr>
        <w:tc>
          <w:tcPr>
            <w:tcW w:w="1560" w:type="dxa"/>
            <w:vMerge/>
            <w:vAlign w:val="center"/>
            <w:hideMark/>
          </w:tcPr>
          <w:p w14:paraId="2E136B4B"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noWrap/>
            <w:vAlign w:val="center"/>
            <w:hideMark/>
          </w:tcPr>
          <w:p w14:paraId="3A07E8F9" w14:textId="77777777" w:rsidR="00431683" w:rsidRPr="00C644C2" w:rsidRDefault="00431683" w:rsidP="00FF605E">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Lysosomes membrane</w:t>
            </w:r>
            <w:r w:rsidR="00FF605E" w:rsidRPr="00C644C2">
              <w:rPr>
                <w:rFonts w:eastAsia="Times New Roman" w:cstheme="minorHAnsi"/>
                <w:color w:val="000000"/>
                <w:sz w:val="20"/>
                <w:szCs w:val="20"/>
              </w:rPr>
              <w:t xml:space="preserve"> (SA</w:t>
            </w:r>
            <w:r w:rsidR="00FF605E" w:rsidRPr="00C644C2">
              <w:rPr>
                <w:rFonts w:eastAsia="Times New Roman" w:cstheme="minorHAnsi"/>
                <w:color w:val="000000"/>
                <w:sz w:val="20"/>
                <w:szCs w:val="20"/>
                <w:vertAlign w:val="subscript"/>
              </w:rPr>
              <w:t>LYS</w:t>
            </w:r>
            <w:r w:rsidR="00FF605E" w:rsidRPr="00C644C2">
              <w:rPr>
                <w:rFonts w:eastAsia="Times New Roman" w:cstheme="minorHAnsi"/>
                <w:color w:val="000000"/>
                <w:sz w:val="20"/>
                <w:szCs w:val="20"/>
              </w:rPr>
              <w:t>)</w:t>
            </w:r>
          </w:p>
        </w:tc>
        <w:tc>
          <w:tcPr>
            <w:tcW w:w="1907" w:type="dxa"/>
            <w:shd w:val="clear" w:color="auto" w:fill="auto"/>
            <w:noWrap/>
            <w:vAlign w:val="center"/>
            <w:hideMark/>
          </w:tcPr>
          <w:p w14:paraId="5C81724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2700</w:t>
            </w:r>
            <w:r w:rsidRPr="00691E3C">
              <w:rPr>
                <w:rStyle w:val="FootnoteReference"/>
              </w:rPr>
              <w:footnoteReference w:id="16"/>
            </w:r>
          </w:p>
        </w:tc>
        <w:tc>
          <w:tcPr>
            <w:tcW w:w="3685" w:type="dxa"/>
            <w:shd w:val="clear" w:color="auto" w:fill="auto"/>
            <w:noWrap/>
            <w:vAlign w:val="center"/>
          </w:tcPr>
          <w:p w14:paraId="6D0A9F4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{"citationItems":[{"id":"ITEM-1","itemData":{"ISSN":"0021-9533","PMID":"9378772","abstract":"Previous studies demonstrated that microinjection of antibodies to the cytoplasmic domain of the lysosomal glycoprotein lgp120 induces aggregation of lysosomes in NRK cells. Here we show that the antibody-clustered vesicles do not co-localize with MPR and ss-COP-containing organelles, confirming their lysosomal nature. Observations by transmission and high voltage electron microscopy indicated that, although tightly apposed to each other, aggregated lysosomes remained as separate vesicles, with an average diameter of 0.3-0.4 micron. However, when cells microinjected with antibody were exposed to the Ca2+ ionophore ionomycin, large vesicles were formed within the lysosome clusters, suggesting the occurrence of lysosome-lysosome fusion. Stereological measurements of lysosome diameters on confocal and transmission electron microscopy indicated that the large lgp120-positive vesicles could have originated from the fusion of 3 up to 15 individual lysosomes. To verify if agents that mobilize Ca2+ from intracellular stores had the same effect, anti-lgp120-microinjected cells were treated with thapsigargin, and with the receptor-mediated agonists bombesin and thrombin. Thapsigargin also induced the formation of large lgp120-containing vesicles, detected by both confocal and transmission electron microscopy. Analysis of antibody-clustered lysosomes in streptolysin O-permeabilized cells indicated that an intracellular free Ca2+ concentration of 1 microM was sufficient to trigger formation of large lysosomes.","author":[{"dropping-particle":"","family":"Bakker","given":"Annette C","non-dropping-particle":"","parse-names":false,"suffix":""},{"dropping-particle":"","family":"Webster","given":"Paul","non-dropping-particle":"","parse-names":false,"suffix":""},{"dropping-particle":"","family":"Jacob","given":"Wim A","non-dropping-particle":"","parse-names":false,"suffix":""},{"dropping-particle":"","family":"Andrews","given":"Norma W","non-dropping-particle":"","parse-names":false,"suffix":""}],"container-title":"Journal of Cell Science","id":"ITEM-1","issued":{"date-parts":[["1997"]]},"language":"eng","page":"2227-38","title":"Homotypic fusion between aggregated lysosomes triggered by elevated [Ca2+]i in fibroblasts.","type":"article-journal","volume":"110"},"uris":["http://www.mendeley.com/documents/?uuid=8f2f6266-fa77-48d3-ab0d-897629ba848e"]}],"mendeley":{"formattedCitation":"[79]","plainTextFormattedCitation":"[79]","previouslyFormattedCitation":"[79]"},"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[79]</w:t>
            </w:r>
            <w:r w:rsidRPr="00C644C2">
              <w:rPr>
                <w:rFonts w:eastAsia="Times New Roman" w:cstheme="minorHAnsi"/>
                <w:color w:val="000000"/>
                <w:sz w:val="20"/>
                <w:szCs w:val="20"/>
              </w:rPr>
              <w:fldChar w:fldCharType="end"/>
            </w:r>
          </w:p>
        </w:tc>
        <w:tc>
          <w:tcPr>
            <w:tcW w:w="1701" w:type="dxa"/>
            <w:vAlign w:val="center"/>
          </w:tcPr>
          <w:p w14:paraId="4B8D668C" w14:textId="77777777" w:rsidR="00431683" w:rsidRPr="00C644C2" w:rsidRDefault="00D07A78" w:rsidP="00D07A78">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198026</w:t>
            </w:r>
            <w:r w:rsidR="00431683" w:rsidRPr="00C644C2">
              <w:rPr>
                <w:rFonts w:eastAsia="Times New Roman" w:cstheme="minorHAnsi"/>
                <w:color w:val="000000"/>
                <w:sz w:val="20"/>
                <w:szCs w:val="20"/>
              </w:rPr>
              <w:t>0</w:t>
            </w:r>
            <w:r w:rsidR="00431683" w:rsidRPr="00691E3C">
              <w:rPr>
                <w:rStyle w:val="FootnoteReference"/>
              </w:rPr>
              <w:footnoteReference w:id="17"/>
            </w:r>
          </w:p>
        </w:tc>
        <w:tc>
          <w:tcPr>
            <w:tcW w:w="4111" w:type="dxa"/>
            <w:vAlign w:val="center"/>
          </w:tcPr>
          <w:p w14:paraId="0AA3D72A"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{"citationItems":[{"id":"ITEM-1","itemData":{"ISSN":"0021-9533","PMID":"9378772","abstract":"Previous studies demonstrated that microinjection of antibodies to the cytoplasmic domain of the lysosomal glycoprotein lgp120 induces aggregation of lysosomes in NRK cells. Here we show that the antibody-clustered vesicles do not co-localize with MPR and ss-COP-containing organelles, confirming their lysosomal nature. Observations by transmission and high voltage electron microscopy indicated that, although tightly apposed to each other, aggregated lysosomes remained as separate vesicles, with an average diameter of 0.3-0.4 micron. However, when cells microinjected with antibody were exposed to the Ca2+ ionophore ionomycin, large vesicles were formed within the lysosome clusters, suggesting the occurrence of lysosome-lysosome fusion. Stereological measurements of lysosome diameters on confocal and transmission electron microscopy indicated that the large lgp120-positive vesicles could have originated from the fusion of 3 up to 15 individual lysosomes. To verify if agents that mobilize Ca2+ from intracellular stores had the same effect, anti-lgp120-microinjected cells were treated with thapsigargin, and with the receptor-mediated agonists bombesin and thrombin. Thapsigargin also induced the formation of large lgp120-containing vesicles, detected by both confocal and transmission electron microscopy. Analysis of antibody-clustered lysosomes in streptolysin O-permeabilized cells indicated that an intracellular free Ca2+ concentration of 1 microM was sufficient to trigger formation of large lysosomes.","author":[{"dropping-particle":"","family":"Bakker","given":"Annette C","non-dropping-particle":"","parse-names":false,"suffix":""},{"dropping-particle":"","family":"Webster","given":"Paul","non-dropping-particle":"","parse-names":false,"suffix":""},{"dropping-particle":"","family":"Jacob","given":"Wim A","non-dropping-particle":"","parse-names":false,"suffix":""},{"dropping-particle":"","family":"Andrews","given":"Norma W","non-dropping-particle":"","parse-names":false,"suffix":""}],"container-title":"Journal of Cell Science","id":"ITEM-1","issued":{"date-parts":[["1997"]]},"language":"eng","page":"2227-38","title":"Homotypic fusion between aggregated lysosomes triggered by elevated [Ca2+]i in fibroblasts.","type":"article-journal","volume":"110"},"uris":["http://www.mendeley.com/documents/?uuid=8f2f6266-fa77-48d3-ab0d-897629ba848e"]},{"id":"ITEM-2","itemData":{"DOI":"10.1371/journal.pone.0086847","ISSN":"19326203","abstract":"Lysosomes are membrane-bound organelles responsible for the transport and degradation of intracellular and extracellular cargo. The intracellular motion of lysosomes is both diffusive and active, mediated by motor proteins moving lysosomes along microtubules. We sought to determine how lysosome diameter influences lysosome transport. We used osmotic swelling to double the diameter of lysosomes, creating a population of enlarged lysosomes. This allowed us to directly examine the intracellular transport of the same organelle as a function of diameter. Lysosome transport was measured using live cell fluorescence microscopy and single particle tracking. We find, as expected, the diffusive component of intracellular transport is decreased proportional to the increased lysosome diameter. Active transport of the enlarged lysosomes is not affected by the increased lysosome diameter.","author":[{"dropping-particle":"","family":"Bandyopadhyay","given":"Debjyoti","non-dropping-particle":"","parse-names":false,"suffix":""},{"dropping-particle":"","family":"Cyphersmith","given":"Austin","non-dropping-particle":"","parse-names":false,"suffix":""},{"dropping-particle":"","family":"Zapata","given":"Jairo A.","non-dropping-particle":"","parse-names":false,"suffix":""},{"dropping-particle":"","family":"Kim","given":"Y. Joseph","non-dropping-particle":"","parse-names":false,"suffix":""},{"dropping-particle":"","family":"Payne","given":"Christine K.","non-dropping-particle":"","parse-names":false,"suffix":""}],"container-title":"PLoS ONE","id":"ITEM-2","issue":"1","issued":{"date-parts":[["2014"]]},"page":"e86847","title":"Lysosome transport as a function of lysosome diameter","type":"article-journal","volume":"9"},"uris":["http://www.mendeley.com/documents/?uuid=acb74ddc-9967-4419-9246-c98fdcd74944"]},{"id":"ITEM-3","itemData":{"DOI":"10.1074/jbc.M115.695825","ISSN":"0021-9258, 1083-351X","abstract":"Alterations in mitochondrial function, as observed in neurodegenerative diseases, lead to disrupted energy metabolism and production of damaging reactive oxygen species. Here, we demonstrate that mitochondrial dysfunction also disrupts the structure and function of lysosomes, the main degradation and recycling organelle. Specifically, inhibition of mitochondrial function, following deletion of the mitochondrial protein AIF, OPA1, or PINK1, as well as chemical inhibition of the electron transport chain, impaired lysosomal activity and caused the appearance of large lysosomal vacuoles. Importantly, our results show that lysosomal impairment is dependent on reactive oxygen species. Given that alterations in both mitochondrial function and lysosomal activity are key features of neurodegenerative diseases, this work provides important insights into the etiology of neurodegenerative diseases.","author":[{"dropping-particle":"","family":"Demers-Lamarche","given":"Julie","non-dropping-particle":"","parse-names":false,"suffix":""},{"dropping-particle":"","family":"Guillebaud","given":"Gérald","non-dropping-particle":"","parse-names":false,"suffix":""},{"dropping-particle":"","family":"Tlili","given":"Mouna","non-dropping-particle":"","parse-names":false,"suffix":""},{"dropping-particle":"","family":"Todkar","given":"Kiran","non-dropping-particle":"","parse-names":false,"suffix":""},{"dropping-particle":"","family":"Bélanger","given":"Noémie","non-dropping-particle":"","parse-names":false,"suffix":""},{"dropping-particle":"","family":"Grondin","given":"Martine","non-dropping-particle":"","parse-names":false,"suffix":""},{"dropping-particle":"","family":"Nguyen","given":"Angela P","non-dropping-particle":"","parse-names":false,"suffix":""},{"dropping-particle":"","family":"Michel","given":"Jennifer","non-dropping-particle":"","parse-names":false,"suffix":""},{"dropping-particle":"","family":"Germain","given":"Marc","non-dropping-particle":"","parse-names":false,"suffix":""}],"container-title":"Journal of Biological Chemistry","id":"ITEM-3","issue":"19","issued":{"date-parts":[["2016","6","19"]]},"language":"en","page":"10263-10276","title":"Loss of Mitochondrial Function Impairs Lysosomes","type":"article-journal","volume":"291"},"uris":["http://www.mendeley.com/documents/?uuid=ff339532-ffc2-4b25-8704-609b76ab6e25"]},{"id":"ITEM-4","itemData":{"DOI":"10.1083/jcb.13.2.253","ISSN":"00219525","abstract":"Fractions from rat thymuses were isolated by sucrose density-gradient centrifugation, before and after 1000 r whole-body x-irradiation, and examined by electron microscopy. Cytochrome oxidase and acid phosphatase activities of these fractions were tested as well. Electron-opaque bodies with diameters ranging from 0.10 to 0.35 micro, with a mean of 0.25 micro, were found in fractions having high acid phosphatase activity, while the fractions rich in cytochrome oxidase consisted mostly of mitochondria. After irradiation, there was an increased ratio of dense bodies to mitochondria. These particles are considered to be lysosomes similar to those identified in other rat tissues. Their relationship to the mitochondria is discussed.","author":[{"dropping-particle":"","family":"RAHMAN","given":"Y. E.","non-dropping-particle":"","parse-names":false,"suffix":""}],"container-title":"The Journal of cell biology","id":"ITEM-4","issued":{"date-parts":[["1962"]]},"page":"253-260","title":"Electron microscopy of lysosome-rich fractions from rat thymus isolated by density-gradient centrifugation before and after whole-body x-irradiation","type":"article-journal","volume":"13"},"uris":["http://www.mendeley.com/documents/?uuid=254ce50a-267c-44ff-af1c-524c3abf2935"]},{"id":"ITEM-5","itemData":{"DOI":"10.1146/annurev-physiol-021014-071649","ISBN":"0066-4278","abstract":"Lysosomes are acidic compartments filled with more than 60 different types of hydrolases. They mediate the degradation of extracellular particles from endocytosis and of intracellular components from autophagy. The digested products are transported out of the lysosome via specific catabolite exporters or via vesicular membrane trafficking. Lysosomes also contain more than 50 membrane proteins and are equipped with the machinery to sense nutrient availability, which determines the distribution, number, size, and activity of lysosomes to control the specificity of cargo flux and timing (the initiation and termination) of degradation. Defects in degradation, export, or trafficking result in lysosomal dysfunction and lysosomal storage diseases (LSDs). Lysosomal channels and transporters mediate ion flux across perimeter membranes to regulate lysosomal ion homeostasis, membrane potential, catabolite export, membrane trafficking, and nutrient sensing. Dysregulation of lysosomal channels underlies the pathogenesis of many LSDs and possibly that of metabolic and common neurodegenerative diseases.","author":[{"dropping-particle":"","family":"Xu","given":"Haoxing","non-dropping-particle":"","parse-names":false,"suffix":""},{"dropping-particle":"","family":"Ren","given":"Dejian","non-dropping-particle":"","parse-names":false,"suffix":""}],"container-title":"Annual review of physiology","id":"ITEM-5","issued":{"date-parts":[["2015"]]},"page":"57-80","title":"Lysosomal Physiology","type":"article-journal","volume":"77"},"uris":["http://www.mendeley.com/documents/?uuid=1233ad88-6fed-4df4-97c3-7f5b5c2df433"]}],"mendeley":{"formattedCitation":"[79–83]","plainTextFormattedCitation":"[79–83]","previouslyFormattedCitation":"[79–83]"},"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[79–83]</w:t>
            </w:r>
            <w:r w:rsidRPr="00C644C2">
              <w:rPr>
                <w:rFonts w:eastAsia="Times New Roman" w:cstheme="minorHAnsi"/>
                <w:color w:val="000000"/>
                <w:sz w:val="20"/>
                <w:szCs w:val="20"/>
              </w:rPr>
              <w:fldChar w:fldCharType="end"/>
            </w:r>
          </w:p>
        </w:tc>
      </w:tr>
      <w:tr w:rsidR="00431683" w:rsidRPr="00C644C2" w14:paraId="3A99249E" w14:textId="77777777" w:rsidTr="00154697">
        <w:trPr>
          <w:trHeight w:val="270"/>
        </w:trPr>
        <w:tc>
          <w:tcPr>
            <w:tcW w:w="1560" w:type="dxa"/>
            <w:vMerge w:val="restart"/>
            <w:shd w:val="clear" w:color="000000" w:fill="D9D9D9"/>
            <w:vAlign w:val="bottom"/>
            <w:hideMark/>
          </w:tcPr>
          <w:p w14:paraId="7B10FF40"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Width</w:t>
            </w:r>
          </w:p>
          <w:p w14:paraId="561D41DF"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 xml:space="preserve"> (µm)</w:t>
            </w:r>
          </w:p>
        </w:tc>
        <w:tc>
          <w:tcPr>
            <w:tcW w:w="2913" w:type="dxa"/>
            <w:shd w:val="clear" w:color="auto" w:fill="auto"/>
            <w:noWrap/>
            <w:vAlign w:val="center"/>
            <w:hideMark/>
          </w:tcPr>
          <w:p w14:paraId="3B74D929" w14:textId="77777777" w:rsidR="00431683" w:rsidRPr="00C644C2" w:rsidRDefault="00431683" w:rsidP="003454A6">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Blood brain barrier</w:t>
            </w:r>
            <w:r w:rsidR="00FF605E" w:rsidRPr="00C644C2">
              <w:rPr>
                <w:rFonts w:eastAsia="Times New Roman" w:cstheme="minorHAnsi"/>
                <w:color w:val="000000"/>
                <w:sz w:val="20"/>
                <w:szCs w:val="20"/>
              </w:rPr>
              <w:t xml:space="preserve"> (</w:t>
            </w:r>
            <w:r w:rsidR="003454A6" w:rsidRPr="00C644C2">
              <w:rPr>
                <w:rFonts w:eastAsia="Times New Roman" w:cstheme="minorHAnsi"/>
                <w:color w:val="000000"/>
                <w:sz w:val="20"/>
                <w:szCs w:val="20"/>
              </w:rPr>
              <w:t>W</w:t>
            </w:r>
            <w:r w:rsidR="003454A6" w:rsidRPr="00C644C2">
              <w:rPr>
                <w:rFonts w:eastAsia="Times New Roman" w:cstheme="minorHAnsi"/>
                <w:color w:val="000000"/>
                <w:sz w:val="20"/>
                <w:szCs w:val="20"/>
                <w:vertAlign w:val="subscript"/>
              </w:rPr>
              <w:t>BBB</w:t>
            </w:r>
            <w:r w:rsidR="00FF605E" w:rsidRPr="00C644C2">
              <w:rPr>
                <w:rFonts w:eastAsia="Times New Roman" w:cstheme="minorHAnsi"/>
                <w:color w:val="000000"/>
                <w:sz w:val="20"/>
                <w:szCs w:val="20"/>
              </w:rPr>
              <w:t>)</w:t>
            </w:r>
          </w:p>
        </w:tc>
        <w:tc>
          <w:tcPr>
            <w:tcW w:w="1907" w:type="dxa"/>
            <w:vMerge w:val="restart"/>
            <w:shd w:val="clear" w:color="auto" w:fill="auto"/>
            <w:noWrap/>
            <w:vAlign w:val="center"/>
            <w:hideMark/>
          </w:tcPr>
          <w:p w14:paraId="0CBBC8D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0.5</w:t>
            </w:r>
          </w:p>
          <w:p w14:paraId="1B15D7B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 xml:space="preserve"> (0.2-0.5)</w:t>
            </w:r>
          </w:p>
        </w:tc>
        <w:tc>
          <w:tcPr>
            <w:tcW w:w="3685" w:type="dxa"/>
            <w:vMerge w:val="restart"/>
            <w:shd w:val="clear" w:color="auto" w:fill="auto"/>
            <w:vAlign w:val="center"/>
          </w:tcPr>
          <w:p w14:paraId="30019D5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{"citationItems":[{"id":"ITEM-1","itemData":{"DOI":"10.1016/0026-2862(90)90036-Q","ISSN":"10959319","abstract":"In order to determine whether any structural changes occur in the blood-brain barrier during development which can be related to changes in barrier function over the same period, morphometric methods were used on pieces of visual cortex taken from rats between 16 days gestation and adult and processed for light and electron microscopy. Capillary volume fraction, numbers per unit area, and surface density increased in two phases, before birth and between 10 and 20 days after birth, with no subsequent change after 20 days. Brain parenchymal mitochondria, assumed to be a measure of brain oxidative activity, did not change before birth but increased gradually and continuously after birth from 1.7% to 5.7% in adults. The capillary endothelial mitochondrial volume fraction as a percentage of the endothelial cell cytoplasm, previously thought to be important for ion transport, did not change with age (mean = 5.4%), although there was evidence that mitochondria either divide or change in shape up to 30 days after birth. The endothelial cell thickness decreased with age from 0.6 to 0.2 μm, probably through cell elongation during vascular growth. By combining the data on endothelial mitochondria and vascularity, it was shown that the total endothelial mitochondrial volume per unit length of capillary decreased with age, whereas per unit volume of tissue it increased. © 1990.","author":[{"dropping-particle":"","family":"Keep","given":"R. F.","non-dropping-particle":"","parse-names":false,"suffix":""},{"dropping-particle":"","family":"Jones","given":"H. C.","non-dropping-particle":"","parse-names":false,"suffix":""}],"container-title":"Microvascular Research","id":"ITEM-1","issue":"3","issued":{"date-parts":[["1990"]]},"page":"412-426","title":"Cortical microvessels during brain development: A morphometric study in the rat","type":"article-journal","volume":"40"},"uris":["http://www.mendeley.com/documents/?uuid=331d1293-0127-45d1-82c1-da65cd485a9c"]}],"mendeley":{"formattedCitation":"[84]","plainTextFormattedCitation":"[84]","previouslyFormattedCitation":"[84]"},"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[84]</w:t>
            </w:r>
            <w:r w:rsidRPr="00C644C2">
              <w:rPr>
                <w:rFonts w:eastAsia="Times New Roman" w:cstheme="minorHAnsi"/>
                <w:color w:val="000000"/>
                <w:sz w:val="20"/>
                <w:szCs w:val="20"/>
              </w:rPr>
              <w:fldChar w:fldCharType="end"/>
            </w:r>
          </w:p>
        </w:tc>
        <w:tc>
          <w:tcPr>
            <w:tcW w:w="1701" w:type="dxa"/>
            <w:vMerge w:val="restart"/>
            <w:vAlign w:val="center"/>
          </w:tcPr>
          <w:p w14:paraId="48FDD0D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0.5 (0.2-0.4)</w:t>
            </w:r>
          </w:p>
        </w:tc>
        <w:tc>
          <w:tcPr>
            <w:tcW w:w="4111" w:type="dxa"/>
            <w:vMerge w:val="restart"/>
            <w:vAlign w:val="center"/>
          </w:tcPr>
          <w:p w14:paraId="4C42D2A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7D3829" w:rsidRPr="00C644C2">
              <w:rPr>
                <w:rFonts w:eastAsia="Times New Roman" w:cstheme="minorHAnsi"/>
                <w:color w:val="000000"/>
                <w:sz w:val="20"/>
                <w:szCs w:val="20"/>
              </w:rPr>
              <w:instrText xml:space="preserve">ADDIN CSL_CITATION {"citationItems":[{"id":"ITEM-1","itemData":{"DOI":"10.1097/00004647-199801000-00003","ISBN":"0271-678X","ISSN":"0271-678X","abstract":"Immunogold electron microscopy was used to ana­ lyze and quantify the Glutl glucose transporter in brain tissue from five patients undergoing surgery for treatment of seizures. Samples were prepared from two different regions of each re­ section: (I) the most actively spiking epileptogenic site, and (2) the least actively spiking region, as indicated by intraoperative EEG monitoring. Two configurations of endothelial cell Glutl were observed. About one half of the capillary profiles exam­ ined displayed abundant Glutl immunoreactivity on both lu­ minal and abluminal endothelial membranes. In the remainder of the profiles, reduced Glutl labeling was seen, but adjacent erythrocyte membranes remained highly Glutl immunoreac­ tive, suggesting that reduced endothelial Glutl reactivity was not attributable to method artifacts. Immunogold studies using antisera to human glial fibrillary acidic protein and human se­ rum albumin demonstrated increased quantities of these two epitopes in the extravascular regions in which more EEG spik­ ing activity had been demonstrated. These observations were consistent with the hypotheses that capillary integrity was more compromised, and gliosis was quantitatively increased, in the more actively spiking region of the resection. Altered glucose Studies of seizure-induced animals suggest that blood-brain barrier (BBB) glucose transport is ictally","author":[{"dropping-particle":"","family":"Cornford","given":"Eain M.","non-dropping-particle":"","parse-names":false,"suffix":""},{"dropping-particle":"","family":"Hyman","given":"Shigeyo","non-dropping-particle":"","parse-names":false,"suffix":""},{"dropping-particle":"","family":"Cornford","given":"Marcia E.","non-dropping-particle":"","parse-names":false,"suffix":""},{"dropping-particle":"","family":"Landaw","given":"Elliot M.","non-dropping-particle":"","parse-names":false,"suffix":""},{"dropping-particle":"V","family":"Delgado-Escueta","given":"Antonio","non-dropping-particle":"","parse-names":false,"suffix":""},{"dropping-particle":"","family":"Hyman","given":"Shigeyo","non-dropping-particle":"","parse-names":false,"suffix":""},{"dropping-particle":"","family":"Cornford","given":"Eain M.","non-dropping-particle":"","parse-names":false,"suffix":""},{"dropping-particle":"V","family":"Delgado-Escueta","given":"Antonio","non-dropping-particle":"","parse-names":false,"suffix":""}],"container-title":"Journal of Cerebral Blood Flow &amp; Metabolism","id":"ITEM-1","issue":"1","issued":{"date-parts":[["1998"]]},"language":"en","page":"26-42","title":"Interictal Seizure Resections Show Two Configurations of Endothelial Glut1 Glucose Transporter in the Human Blood–Brain Barrier","type":"article-journal","volume":"18"},"uris":["http://www.mendeley.com/documents/?uuid=e3d54d11-1cd5-49cc-9893-1b8631bfe964"]},{"id":"ITEM-2","itemData":{"DOI":"10.1602/neurorx.2.1.3","ISBN":"1545-5343","ISSN":"15455351","abstract":"Summary: The blood-brain barrier (BBB) is formed by the brain capillary endothelium and excludes from the brain </w:instrText>
            </w:r>
            <w:r w:rsidR="007D3829" w:rsidRPr="00C644C2">
              <w:rPr>
                <w:rFonts w:ascii="Cambria Math" w:eastAsia="Times New Roman" w:hAnsi="Cambria Math" w:cs="Cambria Math"/>
                <w:color w:val="000000"/>
                <w:sz w:val="20"/>
                <w:szCs w:val="20"/>
              </w:rPr>
              <w:instrText>∼</w:instrText>
            </w:r>
            <w:r w:rsidR="007D3829" w:rsidRPr="00C644C2">
              <w:rPr>
                <w:rFonts w:eastAsia="Times New Roman" w:cstheme="minorHAnsi"/>
                <w:color w:val="000000"/>
                <w:sz w:val="20"/>
                <w:szCs w:val="20"/>
              </w:rPr>
              <w:instrText>100% of large-molecule neurotherapeutics and more than 98% of all small-molecule drugs. Despite the importance of the BBB to the neurotherapeutics mission, the BBB receives insufficient attention in either academic neuroscience or industry programs. The combination of so little effort in developing solutions to the BBB problem, and the minimal BBB transport of the majority of all potential CNS drugs, leads predictably to the present situation in neurotherapeutics, which is that there are few effective treatments for the majority of CNS disorders. This situation can be reversed by an accelerated effort to develop a knowledge base in the fundamental transport properties of the BBB, and the molecular and cellular biology of the brain capillary endothelium. This provides the platform for CNS drug delivery programs, which should be developed in parallel with traditional CNS drug discovery efforts in the molecular neurosciences.","author":[{"dropping-particle":"","family":"Pardridge","given":"William M.","non-dropping-particle":"","parse-names":false,"suffix":""}],"container-title":"NeuroRx","id":"ITEM-2","issue":"1","issued":{"date-parts":[["2005"]]},"page":"3-14","title":"The Blood-Brain Barrier: Bottleneck in Brain Drug Development","title-short":"The Blood-Brain Barrier","type":"article-journal","volume":"2"},"uris":["http://www.mendeley.com/documents/?uuid=7d9287b4-df9c-462e-974f-14c8998e1d2d"]}],"mendeley":{"formattedCitation":"[70, 85]","plainTextFormattedCitation":"[70, 85]","previouslyFormattedCitation":"[70, 85]"},"properties":{"noteIndex":0},"schema":"https://github.com/citation-style-language/schema/raw/master/csl-citation.json"}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[70, 85]</w:t>
            </w:r>
            <w:r w:rsidRPr="00C644C2">
              <w:rPr>
                <w:rFonts w:eastAsia="Times New Roman" w:cstheme="minorHAnsi"/>
                <w:color w:val="000000"/>
                <w:sz w:val="20"/>
                <w:szCs w:val="20"/>
              </w:rPr>
              <w:fldChar w:fldCharType="end"/>
            </w:r>
          </w:p>
        </w:tc>
      </w:tr>
      <w:tr w:rsidR="00431683" w:rsidRPr="00C644C2" w14:paraId="5934F347" w14:textId="77777777" w:rsidTr="00154697">
        <w:trPr>
          <w:trHeight w:val="270"/>
        </w:trPr>
        <w:tc>
          <w:tcPr>
            <w:tcW w:w="1560" w:type="dxa"/>
            <w:vMerge/>
            <w:shd w:val="clear" w:color="000000" w:fill="D9D9D9"/>
            <w:vAlign w:val="bottom"/>
          </w:tcPr>
          <w:p w14:paraId="201E9F36" w14:textId="77777777" w:rsidR="00431683" w:rsidRPr="00C644C2" w:rsidRDefault="00431683" w:rsidP="006B306D">
            <w:pPr>
              <w:spacing w:after="0" w:line="240" w:lineRule="auto"/>
              <w:jc w:val="center"/>
              <w:rPr>
                <w:rFonts w:eastAsia="Times New Roman" w:cstheme="minorHAnsi"/>
                <w:b/>
                <w:bCs/>
                <w:color w:val="000000"/>
                <w:sz w:val="20"/>
                <w:szCs w:val="20"/>
              </w:rPr>
            </w:pPr>
          </w:p>
        </w:tc>
        <w:tc>
          <w:tcPr>
            <w:tcW w:w="2913" w:type="dxa"/>
            <w:shd w:val="clear" w:color="auto" w:fill="auto"/>
            <w:noWrap/>
            <w:vAlign w:val="center"/>
          </w:tcPr>
          <w:p w14:paraId="51CE9DFA" w14:textId="77777777" w:rsidR="00431683" w:rsidRPr="00C644C2" w:rsidRDefault="00431683" w:rsidP="003454A6">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Blood CSF barrier</w:t>
            </w:r>
            <w:r w:rsidR="00FF605E" w:rsidRPr="00C644C2">
              <w:rPr>
                <w:rFonts w:eastAsia="Times New Roman" w:cstheme="minorHAnsi"/>
                <w:color w:val="000000"/>
                <w:sz w:val="20"/>
                <w:szCs w:val="20"/>
              </w:rPr>
              <w:t xml:space="preserve"> (</w:t>
            </w:r>
            <w:r w:rsidR="003454A6" w:rsidRPr="00C644C2">
              <w:rPr>
                <w:rFonts w:eastAsia="Times New Roman" w:cstheme="minorHAnsi"/>
                <w:color w:val="000000"/>
                <w:sz w:val="20"/>
                <w:szCs w:val="20"/>
              </w:rPr>
              <w:t>W</w:t>
            </w:r>
            <w:r w:rsidR="00FF605E" w:rsidRPr="00C644C2">
              <w:rPr>
                <w:rFonts w:eastAsia="Times New Roman" w:cstheme="minorHAnsi"/>
                <w:color w:val="000000"/>
                <w:sz w:val="20"/>
                <w:szCs w:val="20"/>
                <w:vertAlign w:val="subscript"/>
              </w:rPr>
              <w:t>BCSFB</w:t>
            </w:r>
            <w:r w:rsidR="00FF605E" w:rsidRPr="00C644C2">
              <w:rPr>
                <w:rFonts w:eastAsia="Times New Roman" w:cstheme="minorHAnsi"/>
                <w:color w:val="000000"/>
                <w:sz w:val="20"/>
                <w:szCs w:val="20"/>
              </w:rPr>
              <w:t>)</w:t>
            </w:r>
          </w:p>
        </w:tc>
        <w:tc>
          <w:tcPr>
            <w:tcW w:w="1907" w:type="dxa"/>
            <w:vMerge/>
            <w:shd w:val="clear" w:color="auto" w:fill="auto"/>
            <w:noWrap/>
            <w:vAlign w:val="center"/>
          </w:tcPr>
          <w:p w14:paraId="7E8F64F8"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3685" w:type="dxa"/>
            <w:vMerge/>
            <w:shd w:val="clear" w:color="auto" w:fill="auto"/>
            <w:vAlign w:val="center"/>
          </w:tcPr>
          <w:p w14:paraId="5E218689"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1701" w:type="dxa"/>
            <w:vMerge/>
            <w:vAlign w:val="center"/>
          </w:tcPr>
          <w:p w14:paraId="47332D21"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4111" w:type="dxa"/>
            <w:vMerge/>
            <w:vAlign w:val="center"/>
          </w:tcPr>
          <w:p w14:paraId="11573264"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7E9790EB" w14:textId="77777777" w:rsidTr="00154697">
        <w:trPr>
          <w:trHeight w:val="78"/>
        </w:trPr>
        <w:tc>
          <w:tcPr>
            <w:tcW w:w="1560" w:type="dxa"/>
            <w:shd w:val="clear" w:color="000000" w:fill="D9D9D9"/>
            <w:noWrap/>
            <w:vAlign w:val="bottom"/>
            <w:hideMark/>
          </w:tcPr>
          <w:p w14:paraId="5F65D989"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Number</w:t>
            </w:r>
          </w:p>
        </w:tc>
        <w:tc>
          <w:tcPr>
            <w:tcW w:w="2913" w:type="dxa"/>
            <w:shd w:val="clear" w:color="auto" w:fill="auto"/>
            <w:noWrap/>
            <w:vAlign w:val="bottom"/>
            <w:hideMark/>
          </w:tcPr>
          <w:p w14:paraId="61574871"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Total brain cells</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N</w:t>
            </w:r>
            <w:r w:rsidR="00334238" w:rsidRPr="00C644C2">
              <w:rPr>
                <w:rFonts w:eastAsia="Times New Roman" w:cstheme="minorHAnsi"/>
                <w:color w:val="000000"/>
                <w:sz w:val="20"/>
                <w:szCs w:val="20"/>
                <w:vertAlign w:val="subscript"/>
              </w:rPr>
              <w:t>br,cells</w:t>
            </w:r>
            <w:proofErr w:type="spellEnd"/>
            <w:r w:rsidR="00334238" w:rsidRPr="00C644C2">
              <w:rPr>
                <w:rFonts w:eastAsia="Times New Roman" w:cstheme="minorHAnsi"/>
                <w:color w:val="000000"/>
                <w:sz w:val="20"/>
                <w:szCs w:val="20"/>
              </w:rPr>
              <w:t>)</w:t>
            </w:r>
          </w:p>
        </w:tc>
        <w:tc>
          <w:tcPr>
            <w:tcW w:w="1907" w:type="dxa"/>
            <w:shd w:val="clear" w:color="auto" w:fill="auto"/>
            <w:noWrap/>
            <w:vAlign w:val="center"/>
            <w:hideMark/>
          </w:tcPr>
          <w:p w14:paraId="6C82F19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3.32E</w:t>
            </w:r>
            <w:r w:rsidRPr="00C644C2">
              <w:rPr>
                <w:rFonts w:eastAsia="Times New Roman" w:cstheme="minorHAnsi"/>
                <w:color w:val="000000"/>
                <w:sz w:val="20"/>
                <w:szCs w:val="20"/>
                <w:vertAlign w:val="superscript"/>
              </w:rPr>
              <w:t>8</w:t>
            </w:r>
          </w:p>
        </w:tc>
        <w:tc>
          <w:tcPr>
            <w:tcW w:w="3685" w:type="dxa"/>
            <w:shd w:val="clear" w:color="auto" w:fill="auto"/>
            <w:noWrap/>
            <w:vAlign w:val="center"/>
          </w:tcPr>
          <w:p w14:paraId="767A0B5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{"citationItems":[{"id":"ITEM-1","itemData":{"DOI":"10.1073/pnas.0604911103","ISSN":"0027-8424","abstract":"How do cell number and size determine brain size? Here, we show that, in the order Rodentia, increased size of the cerebral cortex, cerebellum, and remaining areas across six species is achieved through greater numbers of neurons of larger size, and much greater numbers of nonneuronal cells of roughly invariant size, such that the ratio between total neuronal and nonneuronal mass remains constant across species. Although relative cerebellar size remains stable among rodents, the number of cerebellar neurons increases with brain size more rapidly than in the cortex, such that the cerebellar fraction of total brain neurons increases with brain size. In contrast, although the relative cortical size increases with total brain size, the cortical fraction of total brain neurons remains constant. We propose that the faster increase in average neuronal size in the cerebral cortex than in the cerebellum as these structures gain neurons and the rapidly increasing glial numbers that generate glial mass to match total neuronal mass at a fixed glia/neuron total mass ratio are fundamental cellular constraints that lead to the relative expansion of cerebral cortical volume across species.","author":[{"dropping-particle":"","family":"Herculano-Houzel","given":"S.","non-dropping-particle":"","parse-names":false,"suffix":""},{"dropping-particle":"","family":"Mota","given":"B.","non-dropping-particle":"","parse-names":false,"suffix":""},{"dropping-particle":"","family":"Lent","given":"R.","non-dropping-particle":"","parse-names":false,"suffix":""}],"container-title":"Proceedings of the National Academy of Sciences","id":"ITEM-1","issue":"32","issued":{"date-parts":[["2006"]]},"page":"12138-12143","title":"Cellular scaling rules for rodent brains","type":"article-journal","volume":"103"},"uris":["http://www.mendeley.com/documents/?uuid=61e990f1-6eea-4c81-ba5b-8c6095110714"]}],"mendeley":{"formattedCitation":"[76]","plainTextFormattedCitation":"[76]","previouslyFormattedCitation":"[76]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[76]</w:t>
            </w:r>
            <w:r w:rsidRPr="00C644C2">
              <w:rPr>
                <w:rFonts w:eastAsia="Times New Roman" w:cstheme="minorHAnsi"/>
                <w:color w:val="000000"/>
                <w:sz w:val="20"/>
                <w:szCs w:val="20"/>
              </w:rPr>
              <w:fldChar w:fldCharType="end"/>
            </w:r>
          </w:p>
        </w:tc>
        <w:tc>
          <w:tcPr>
            <w:tcW w:w="1701" w:type="dxa"/>
            <w:vAlign w:val="center"/>
          </w:tcPr>
          <w:p w14:paraId="4311BCF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1.71E</w:t>
            </w:r>
            <w:r w:rsidRPr="00C644C2">
              <w:rPr>
                <w:rFonts w:eastAsia="Times New Roman" w:cstheme="minorHAnsi"/>
                <w:color w:val="000000"/>
                <w:sz w:val="20"/>
                <w:szCs w:val="20"/>
                <w:vertAlign w:val="superscript"/>
              </w:rPr>
              <w:t xml:space="preserve">11 </w:t>
            </w:r>
            <w:r w:rsidRPr="00691E3C">
              <w:rPr>
                <w:rStyle w:val="FootnoteReference"/>
              </w:rPr>
              <w:footnoteReference w:id="18"/>
            </w:r>
          </w:p>
        </w:tc>
        <w:tc>
          <w:tcPr>
            <w:tcW w:w="4111" w:type="dxa"/>
            <w:vAlign w:val="center"/>
          </w:tcPr>
          <w:p w14:paraId="1A8BC1D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{"citationItems":[{"id":"ITEM-1","itemData":{"DOI":"10.1093/brain/awt273","ISBN":"0006-8950","abstract":"Abstract.  Alzheimer’s disease is the commonest cause of dementia in the elderly, but its pathological determinants are still debated. Amyloid-β plaques and neu","author":[{"dropping-particle":"","family":"Andrade-Moraes","given":"Carlos Humberto","non-dropping-particle":"","parse-names":false,"suffix":""},{"dropping-particle":"V","family":"Oliveira-Pinto","given":"Ana","non-dropping-particle":"","parse-names":false,"suffix":""},{"dropping-particle":"","family":"Castro-Fonseca","given":"Emily","non-dropping-particle":"","parse-names":false,"suffix":""},{"dropping-particle":"","family":"Silva","given":"Camila G","non-dropping-particle":"da","parse-names":false,"suffix":""},{"dropping-particle":"","family":"Guimarães","given":"Daniel M","non-dropping-particle":"","parse-names":false,"suffix":""},{"dropping-particle":"","family":"Szczupak","given":"Diego","non-dropping-particle":"","parse-names":false,"suffix":""},{"dropping-particle":"","family":"Parente-Bruno","given":"Danielle R","non-dropping-particle":"","parse-names":false,"suffix":""},{"dropping-particle":"","family":"Carvalho","given":"Ludmila R B","non-dropping-particle":"","parse-names":false,"suffix":""},{"dropping-particle":"","family":"Polichiso","given":"Lívia","non-dropping-particle":"","parse-names":false,"suffix":""},{"dropping-particle":"V","family":"Gomes","given":"Bruna","non-dropping-particle":"","parse-names":false,"suffix":""},{"dropping-particle":"","family":"Oliveira","given":"Lays M","non-dropping-particle":"","parse-names":false,"suffix":""},{"dropping-particle":"","family":"Rodriguez","given":"Roberta D","non-dropping-particle":"","parse-names":false,"suffix":""},{"dropping-particle":"","family":"Leite","given":"Renata E P","non-dropping-particle":"","parse-names":false,"suffix":""},{"dropping-particle":"","family":"Ferretti-Rebustini","given":"Renata E L","non-dropping-particle":"","parse-names":false,"suffix":""},{"dropping-particle":"","family":"Jacob-Filho","given":"Wilson","non-dropping-particle":"","parse-names":false,"suffix":""},{"dropping-particle":"","family":"Pasqualucci","given":"Carlos A","non-dropping-particle":"","parse-names":false,"suffix":""},{"dropping-particle":"","family":"Grinberg","given":"Lea T","non-dropping-particle":"","parse-names":false,"suffix":""},{"dropping-particle":"","family":"Lent","given":"Roberto","non-dropping-particle":"","parse-names":false,"suffix":""}],"container-title":"Brain","id":"ITEM-1","issue":"12","issued":{"date-parts":[["2013"]]},"language":"en","page":"3738-3752","title":"Cell number changes in Alzheimer’s disease relate to dementia, not to plaques and tangles","type":"article-journal","volume":"136"},"uris":["http://www.mendeley.com/documents/?uuid=bc3cc77a-0ccb-44fd-bd97-f2b4a909826c"]},{"id":"ITEM-2","itemData":{"DOI":"10.1002/cne.21974","ISBN":"1096-9861","abstract":"The human brain is often considered to be the most cognitively capable among mammalian brains and to be much larger than expected for a mammal of our body size. Although the number of neurons is generally assumed to be a determinant of computational power, and despite the widespread quotes that the human brain contains 100 billion neurons and ten times more glial cells, the absolute number of neurons and glial cells in the human brain remains unknown. Here we determine these numbers by using the isotropic fractionator and compare them with the expected values for a human-sized primate. We find that the adult male human brain contains on average 86.1 ± 8.1 billion NeuN-positive cells (“neurons”) and 84.6 ± 9.8 billion NeuN-negative (“nonneuronal”) cells. With only 19% of all neurons located in the cerebral cortex, greater cortical size (representing 82% of total brain mass) in humans compared with other primates does not reflect an increased relative number of cortical neurons. The ratios between glial cells and neurons in the human brain structures are similar to those found in other primates, and their numbers of cells match those expected for a primate of human proportions. These findings challenge the common view that humans stand out from other primates in their brain composition and indicate that, with regard to numbers of neuronal and nonneuronal cells, the human brain is an isometrically scaled-up primate brain. J. Comp. Neurol. 513:532–541, 2009. © 2009 Wiley-Liss, Inc.","author":[{"dropping-particle":"","family":"Azevedo","given":"Frederico A C","non-dropping-particle":"","parse-names":false,"suffix":""},{"dropping-particle":"","family":"Carvalho","given":"Ludmila R B","non-dropping-particle":"","parse-names":false,"suffix":""},{"dropping-particle":"","family":"Grinberg","given":"Lea T","non-dropping-particle":"","parse-names":false,"suffix":""},{"dropping-particle":"","family":"Farfel","given":"José Marcelo","non-dropping-particle":"","parse-names":false,"suffix":""},{"dropping-particle":"","family":"Ferretti","given":"Renata E L","non-dropping-particle":"","parse-names":false,"suffix":""},{"dropping-particle":"","family":"Leite","given":"Renata E P","non-dropping-particle":"","parse-names":false,"suffix":""},{"dropping-particle":"","family":"Filho","given":"Wilson Jacob","non-dropping-particle":"","parse-names":false,"suffix":""},{"dropping-particle":"","family":"Lent","given":"Roberto","non-dropping-particle":"","parse-names":false,"suffix":""},{"dropping-particle":"","family":"Herculano‐Houzel","given":"Suzana","non-dropping-particle":"","parse-names":false,"suffix":""}],"container-title":"Journal of Comparative Neurology","id":"ITEM-2","issue":"5","issued":{"date-parts":[["2009"]]},"language":"en","page":"532-541","title":"Equal numbers of neuronal and nonneuronal cells make the human brain an isometrically scaled-up primate brain","type":"article-journal","volume":"513"},"uris":["http://www.mendeley.com/documents/?uuid=6292f18b-1a34-4ade-82af-2c87b2854c25"]}],"mendeley":{"formattedCitation":"[77, 78]","plainTextFormattedCitation":"[77, 78]","previouslyFormattedCitation":"[77, 78]"},"properties":{"noteIndex":0},"schema":"https://github.com/citation-style-language/schema/raw/master/csl-citation.json"}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[77, 78]</w:t>
            </w:r>
            <w:r w:rsidRPr="00C644C2">
              <w:rPr>
                <w:rFonts w:eastAsia="Times New Roman" w:cstheme="minorHAnsi"/>
                <w:color w:val="000000"/>
                <w:sz w:val="20"/>
                <w:szCs w:val="20"/>
              </w:rPr>
              <w:fldChar w:fldCharType="end"/>
            </w:r>
          </w:p>
        </w:tc>
      </w:tr>
      <w:tr w:rsidR="00431683" w:rsidRPr="00C644C2" w14:paraId="577F171F" w14:textId="77777777" w:rsidTr="00154697">
        <w:trPr>
          <w:trHeight w:val="78"/>
        </w:trPr>
        <w:tc>
          <w:tcPr>
            <w:tcW w:w="1560" w:type="dxa"/>
            <w:vMerge w:val="restart"/>
            <w:shd w:val="clear" w:color="000000" w:fill="D9D9D9"/>
            <w:vAlign w:val="center"/>
          </w:tcPr>
          <w:p w14:paraId="179F7C56"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Pore size</w:t>
            </w:r>
          </w:p>
          <w:p w14:paraId="5C71B78C"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(µm)</w:t>
            </w:r>
          </w:p>
        </w:tc>
        <w:tc>
          <w:tcPr>
            <w:tcW w:w="2913" w:type="dxa"/>
            <w:shd w:val="clear" w:color="auto" w:fill="auto"/>
            <w:vAlign w:val="center"/>
          </w:tcPr>
          <w:p w14:paraId="119B5A91"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Blood brain barrier</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pTJ</w:t>
            </w:r>
            <w:r w:rsidR="00334238" w:rsidRPr="00C644C2">
              <w:rPr>
                <w:rFonts w:eastAsia="Times New Roman" w:cstheme="minorHAnsi"/>
                <w:color w:val="000000"/>
                <w:sz w:val="20"/>
                <w:szCs w:val="20"/>
                <w:vertAlign w:val="subscript"/>
              </w:rPr>
              <w:t>BBB</w:t>
            </w:r>
            <w:proofErr w:type="spellEnd"/>
            <w:r w:rsidR="00334238" w:rsidRPr="00C644C2">
              <w:rPr>
                <w:rFonts w:eastAsia="Times New Roman" w:cstheme="minorHAnsi"/>
                <w:color w:val="000000"/>
                <w:sz w:val="20"/>
                <w:szCs w:val="20"/>
              </w:rPr>
              <w:t>)</w:t>
            </w:r>
          </w:p>
        </w:tc>
        <w:tc>
          <w:tcPr>
            <w:tcW w:w="1907" w:type="dxa"/>
            <w:shd w:val="clear" w:color="auto" w:fill="auto"/>
            <w:noWrap/>
            <w:vAlign w:val="center"/>
          </w:tcPr>
          <w:p w14:paraId="0FEE24F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0.001</w:t>
            </w:r>
          </w:p>
        </w:tc>
        <w:tc>
          <w:tcPr>
            <w:tcW w:w="3685" w:type="dxa"/>
            <w:shd w:val="clear" w:color="auto" w:fill="auto"/>
            <w:vAlign w:val="center"/>
          </w:tcPr>
          <w:p w14:paraId="3E0C419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c>
          <w:tcPr>
            <w:tcW w:w="1701" w:type="dxa"/>
            <w:vAlign w:val="center"/>
          </w:tcPr>
          <w:p w14:paraId="773C0F7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w:t>
            </w:r>
            <w:r w:rsidR="00D07A78" w:rsidRPr="00C644C2">
              <w:rPr>
                <w:rFonts w:eastAsia="Times New Roman" w:cstheme="minorHAnsi"/>
                <w:color w:val="000000"/>
                <w:sz w:val="20"/>
                <w:szCs w:val="20"/>
              </w:rPr>
              <w:t>07</w:t>
            </w:r>
            <w:r w:rsidRPr="00C644C2">
              <w:rPr>
                <w:rFonts w:eastAsia="Times New Roman" w:cstheme="minorHAnsi"/>
                <w:color w:val="000000"/>
                <w:sz w:val="20"/>
                <w:szCs w:val="20"/>
              </w:rPr>
              <w:t xml:space="preserve"> </w:t>
            </w:r>
          </w:p>
          <w:p w14:paraId="562B6156"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(0.0008- 0.001)</w:t>
            </w:r>
          </w:p>
        </w:tc>
        <w:tc>
          <w:tcPr>
            <w:tcW w:w="4111" w:type="dxa"/>
            <w:vAlign w:val="center"/>
          </w:tcPr>
          <w:p w14:paraId="5942172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permeability","type":"article-journal","volume":"2"},"uris":["http://www.mendeley.com/documents/?uuid=c72dcd7a-a7a4-4599-95a6-b72994b37c57"]},{"id":"ITEM-2","itemData":{"DOI":"10.4103/2348-0548.197435","ISBN":"2348-0548, 2348-926X","abstract":"Fluid therapy in neurosurgical patients aims to restore intravascular volume, optimise haemodynamic parameters and maintain tissue perfusion, integrity and function. The goal is to minimise the risk of inadequate cerebral perfusion pressure and to maintain good neurosurgical conditions. However, fluid management in brain-injured patients has several distinctive features compared with non-brain-injured critically ill patients. The ROSE concept advocates the restriction of fluids, which is consistent with the prevention of a ‘tight brain’ in neurosurgery. Whether this imbalance in fluid management studies between different types of brain injuries is a reflection of differences in clinical relevance of fluid management is not clear. Further randomised controlled trials in the future are essential in subarachnoid haemorrhage and traumatic brain injury patients who are critical and need long-term Intensive Care Unit stay to elucidate and define the role and relevance of the ROSE concept in neuroanaesthesia and neurocritical care.","author":[{"dropping-particle":"","family":"Monteiro","given":"Joseph N","non-dropping-particle":"","parse-names":false,"suffix":""},{"dropping-particle":"","family":"Goraksha","given":"Shwetal U","non-dropping-particle":"","parse-names":false,"suffix":""}],"container-title":"Journal of Neuroanaesthesiology and Critical Care","id":"ITEM-2","issue":"01","issued":{"date-parts":[["2017"]]},"language":"en","page":"10-16","title":"‘ROSE concept’ of fluid management: Relevance in neuroanaesthesia and neurocritical care","title-short":"‘ROSE concept’ of fluid management","type":"article-journal","volume":"04"},"uris":["http://www.mendeley.com/documents/?uuid=45aad328-5fe0-426d-96b5-fad13f995c31"]}],"mendeley":{"formattedCitation":"[86, 87]","plainTextFormattedCitation":"[86, 87]","previouslyFormattedCitation":"[86, 87]"},"properties":{"noteIndex":0},"schema":"https://github.com/citation-style-language/schema/raw/master/csl-citation.json"}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 87]</w:t>
            </w:r>
            <w:r w:rsidRPr="00C644C2">
              <w:rPr>
                <w:rFonts w:eastAsia="Times New Roman" w:cstheme="minorHAnsi"/>
                <w:color w:val="000000"/>
                <w:sz w:val="20"/>
                <w:szCs w:val="20"/>
              </w:rPr>
              <w:fldChar w:fldCharType="end"/>
            </w:r>
          </w:p>
        </w:tc>
      </w:tr>
      <w:tr w:rsidR="00431683" w:rsidRPr="00C644C2" w14:paraId="24A6ED10" w14:textId="77777777" w:rsidTr="00154697">
        <w:trPr>
          <w:trHeight w:val="78"/>
        </w:trPr>
        <w:tc>
          <w:tcPr>
            <w:tcW w:w="1560" w:type="dxa"/>
            <w:vMerge/>
            <w:shd w:val="clear" w:color="000000" w:fill="D9D9D9"/>
            <w:vAlign w:val="center"/>
          </w:tcPr>
          <w:p w14:paraId="41A6E5F1" w14:textId="77777777" w:rsidR="00431683" w:rsidRPr="00C644C2" w:rsidRDefault="00431683" w:rsidP="006B306D">
            <w:pPr>
              <w:spacing w:after="0" w:line="240" w:lineRule="auto"/>
              <w:jc w:val="center"/>
              <w:rPr>
                <w:rFonts w:eastAsia="Times New Roman" w:cstheme="minorHAnsi"/>
                <w:b/>
                <w:bCs/>
                <w:color w:val="000000"/>
                <w:sz w:val="20"/>
                <w:szCs w:val="20"/>
              </w:rPr>
            </w:pPr>
          </w:p>
        </w:tc>
        <w:tc>
          <w:tcPr>
            <w:tcW w:w="2913" w:type="dxa"/>
            <w:shd w:val="clear" w:color="auto" w:fill="auto"/>
            <w:vAlign w:val="bottom"/>
          </w:tcPr>
          <w:p w14:paraId="3AD014AF"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 xml:space="preserve">Blood CSF barrier </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pTJ</w:t>
            </w:r>
            <w:r w:rsidR="00334238" w:rsidRPr="00C644C2">
              <w:rPr>
                <w:rFonts w:eastAsia="Times New Roman" w:cstheme="minorHAnsi"/>
                <w:color w:val="000000"/>
                <w:sz w:val="20"/>
                <w:szCs w:val="20"/>
                <w:vertAlign w:val="subscript"/>
              </w:rPr>
              <w:t>BCSFB</w:t>
            </w:r>
            <w:proofErr w:type="spellEnd"/>
            <w:r w:rsidR="00334238" w:rsidRPr="00C644C2">
              <w:rPr>
                <w:rFonts w:eastAsia="Times New Roman" w:cstheme="minorHAnsi"/>
                <w:color w:val="000000"/>
                <w:sz w:val="20"/>
                <w:szCs w:val="20"/>
              </w:rPr>
              <w:t>)</w:t>
            </w:r>
          </w:p>
        </w:tc>
        <w:tc>
          <w:tcPr>
            <w:tcW w:w="1907" w:type="dxa"/>
            <w:shd w:val="clear" w:color="auto" w:fill="auto"/>
            <w:noWrap/>
            <w:vAlign w:val="center"/>
          </w:tcPr>
          <w:p w14:paraId="5BB6580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0.009</w:t>
            </w:r>
          </w:p>
        </w:tc>
        <w:tc>
          <w:tcPr>
            <w:tcW w:w="3685" w:type="dxa"/>
            <w:shd w:val="clear" w:color="auto" w:fill="auto"/>
            <w:vAlign w:val="center"/>
          </w:tcPr>
          <w:p w14:paraId="7D5B4E2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c>
          <w:tcPr>
            <w:tcW w:w="1701" w:type="dxa"/>
            <w:vAlign w:val="center"/>
          </w:tcPr>
          <w:p w14:paraId="32D1C03A" w14:textId="77777777" w:rsidR="00431683" w:rsidRPr="00C644C2" w:rsidRDefault="00431683" w:rsidP="00D07A78">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w:t>
            </w:r>
            <w:r w:rsidR="00D07A78" w:rsidRPr="00C644C2">
              <w:rPr>
                <w:rFonts w:eastAsia="Times New Roman" w:cstheme="minorHAnsi"/>
                <w:color w:val="000000"/>
                <w:sz w:val="20"/>
                <w:szCs w:val="20"/>
              </w:rPr>
              <w:t>27</w:t>
            </w:r>
          </w:p>
        </w:tc>
        <w:tc>
          <w:tcPr>
            <w:tcW w:w="4111" w:type="dxa"/>
            <w:vAlign w:val="center"/>
          </w:tcPr>
          <w:p w14:paraId="33C8425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r>
      <w:tr w:rsidR="00431683" w:rsidRPr="00C644C2" w14:paraId="66D92401" w14:textId="77777777" w:rsidTr="00154697">
        <w:trPr>
          <w:trHeight w:val="78"/>
        </w:trPr>
        <w:tc>
          <w:tcPr>
            <w:tcW w:w="1560" w:type="dxa"/>
            <w:vMerge w:val="restart"/>
            <w:shd w:val="clear" w:color="000000" w:fill="D9D9D9"/>
            <w:vAlign w:val="center"/>
            <w:hideMark/>
          </w:tcPr>
          <w:p w14:paraId="32E13B48"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 xml:space="preserve">Effective surface area </w:t>
            </w:r>
            <w:r w:rsidRPr="00C644C2">
              <w:rPr>
                <w:rFonts w:eastAsia="Times New Roman" w:cstheme="minorHAnsi"/>
                <w:b/>
                <w:bCs/>
                <w:color w:val="000000"/>
                <w:sz w:val="20"/>
                <w:szCs w:val="20"/>
              </w:rPr>
              <w:br/>
              <w:t>(%)</w:t>
            </w:r>
          </w:p>
        </w:tc>
        <w:tc>
          <w:tcPr>
            <w:tcW w:w="2913" w:type="dxa"/>
            <w:shd w:val="clear" w:color="auto" w:fill="auto"/>
            <w:vAlign w:val="bottom"/>
            <w:hideMark/>
          </w:tcPr>
          <w:p w14:paraId="05AC030A" w14:textId="77777777" w:rsidR="00431683" w:rsidRPr="00C644C2" w:rsidRDefault="00431683" w:rsidP="00272BB2">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BBB Transcellular transport</w:t>
            </w:r>
            <w:r w:rsidR="00334238" w:rsidRPr="00C644C2">
              <w:rPr>
                <w:rFonts w:eastAsia="Times New Roman" w:cstheme="minorHAnsi"/>
                <w:color w:val="000000"/>
                <w:sz w:val="20"/>
                <w:szCs w:val="20"/>
              </w:rPr>
              <w:t xml:space="preserve"> (SA</w:t>
            </w:r>
            <w:r w:rsidR="00334238" w:rsidRPr="00C644C2">
              <w:rPr>
                <w:rFonts w:eastAsia="Times New Roman" w:cstheme="minorHAnsi"/>
                <w:color w:val="000000"/>
                <w:sz w:val="20"/>
                <w:szCs w:val="20"/>
                <w:vertAlign w:val="subscript"/>
              </w:rPr>
              <w:t>BBB,</w:t>
            </w:r>
            <w:r w:rsidR="00272BB2" w:rsidRPr="00C644C2">
              <w:rPr>
                <w:rFonts w:eastAsia="Times New Roman" w:cstheme="minorHAnsi"/>
                <w:color w:val="000000"/>
                <w:sz w:val="20"/>
                <w:szCs w:val="20"/>
                <w:vertAlign w:val="subscript"/>
              </w:rPr>
              <w:t>T</w:t>
            </w:r>
            <w:r w:rsidR="00334238" w:rsidRPr="00C644C2">
              <w:rPr>
                <w:rFonts w:eastAsia="Times New Roman" w:cstheme="minorHAnsi"/>
                <w:color w:val="000000"/>
                <w:sz w:val="20"/>
                <w:szCs w:val="20"/>
              </w:rPr>
              <w:t>)</w:t>
            </w:r>
          </w:p>
        </w:tc>
        <w:tc>
          <w:tcPr>
            <w:tcW w:w="1907" w:type="dxa"/>
            <w:shd w:val="clear" w:color="auto" w:fill="auto"/>
            <w:noWrap/>
            <w:vAlign w:val="center"/>
            <w:hideMark/>
          </w:tcPr>
          <w:p w14:paraId="32FD4DD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99.8</w:t>
            </w:r>
            <w:bookmarkStart w:id="5" w:name="_Ref26384278"/>
            <w:r w:rsidRPr="00691E3C">
              <w:rPr>
                <w:rStyle w:val="FootnoteReference"/>
              </w:rPr>
              <w:footnoteReference w:id="19"/>
            </w:r>
            <w:bookmarkEnd w:id="5"/>
          </w:p>
        </w:tc>
        <w:tc>
          <w:tcPr>
            <w:tcW w:w="3685" w:type="dxa"/>
            <w:vMerge w:val="restart"/>
            <w:shd w:val="clear" w:color="auto" w:fill="auto"/>
            <w:vAlign w:val="center"/>
          </w:tcPr>
          <w:p w14:paraId="3AA09F6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{"citationItems":[{"id":"ITEM-1","itemData":{"DOI":"10.1006/mvre.1996.1999","ISBN":"0026-2862","ISSN":"00262862","abstract":"We examined the morphological parameters of arteriolar endothelial and smooth muscle cell dimensions and gap junctional surface areas to obtain an indication of the coupling capacity of each cell type. Silver nitrate staining was utilized to define cell borders of endothelial and smooth muscle cells in arterioles of several vascular beds from two species. From video images of silver-stained arterioles, the mean endothelial cell length of hamster cheek pouch arterioles (diameter 20 to 110 μm) was found to be 141 ± 2 μm. Mean endothelial cell width was 7 ± 0.2 μm in the same arterioles. Mean smooth muscle cell length in hamster cheek pouch arterioles of diameter 80 to 150 μm was 66 ± 3 μm, with an average cell width of 8 ± 0.2 μm. Dimensions of both endothelial and smooth muscle cells varied moderately with arteriole size and tissue type, but no general trends were seen. Based on the measured dimensions and the specific orientation of cell types within the arteriole, it was calculated that in hamster cheek pouch arterioles (60 μm diameter), 6 or 7 endothelial cell lengths would constitute a 1-mm segment of vessel, whereas approximately 140 smooth muscle cell widths would be required to span the same length. Estimates of connexin43 gap junctional plaque surface areas in each cell type suggest that endothelial cell junctional surface area is approximately eight times that of smooth muscle cells. Thus, combined measurement of cell dimensions and orientation with estimates of junctional plaque density leads to the conclusion that the endothelial cell layer forms a more permissive pathway for longitudinal conduction of signals through the blood vessel.","author":[{"dropping-particle":"","family":"Haas","given":"Tara L.","non-dropping-particle":"","parse-names":false,"suffix":""},{"dropping-particle":"","family":"Duling","given":"Brian R.","non-dropping-particle":"","parse-names":false,"suffix":""}],"container-title":"Microvascular Research","id":"ITEM-1","issue":"2","issued":{"date-parts":[["1997"]]},"page":"113-120","title":"Morphology favors an endothelial cell pathway for longitudinal conduction within arterioles","type":"article-journal","volume":"53"},"uris":["http://www.mendeley.com/documents/?uuid=c46f3fb7-26f1-41cf-b0f4-f4effaf63ba3"]},{"id":"ITEM-2","itemData":{"DOI":"10.1016/0165-3806(92)90125-G","ISSN":"01653806","abstract":"The endothelium of brain capillaries represents the structural basis for the blood-brain barrier in vertebrates. Individual endothelial cells are linked by a continuous belt of complex tight junctions (zonulae occludents). Hydrophilic solutes and macromolecules are believed to cross the barrier through specific carrier mechanisms. Unspecific paracellular ionic leak is thought to be very low. In rats the blood-brain barrier is not fully developed until postnatal day 24. We investigated the ultrastructure of the developing blood-brain barrier at 5 developmental stages between embryonic day 17 and young adults. The use of high power goniometric tilting of ultrathin sections allows one to gather information about the exact relationship between two opposing membranes throughout the entire length of the cleft. Our results suggest that the maturation of blood-brain barrier interendothelial clefts is accompanied by the establishment of a characteristic ratio of 'narrow zone' (complex tight junctions) to 'wide zone' (15-20 nm), and of a typical cleft length. Membrane separations larger than 20 nm disappear and individual tight junctional contacts undergo structural changes. © 1992.","author":[{"dropping-particle":"","family":"Schulze","given":"Charlotte","non-dropping-particle":"","parse-names":false,"suffix":""},{"dropping-particle":"","family":"Firth","given":"J. Anthony","non-dropping-particle":"","parse-names":false,"suffix":""}],"container-title":"Developmental Brain Research","id":"ITEM-2","issue":"1","issued":{"date-parts":[["1992"]]},"language":"en","page":"85-95","title":"Interendothelial junctions during blood-brain barrier development in the rat: morphological changes at the level of individual tight junctional contacts","type":"article-journal","volume":"69"},"uris":["http://www.mendeley.com/documents/?uuid=804b08cf-fda6-436a-953c-a9d7a42fe899"]},{"id":"ITEM-3","itemData":{"DOI":"10.1002/psp4.12250","ISSN":"21638306","PMID":"28891201","author":[{"dropping-particle":"","family":"Yamamoto","given":"Y","non-dropping-particle":"","parse-names":false,"suffix":""},{"dropping-particle":"","family":"Välitalo","given":"PA","non-dropping-particle":"","parse-names":false,"suffix":""},{"dropping-particle":"","family":"Huntjens","given":"DR","non-dropping-particle":"","parse-names":false,"suffix":""},{"dropping-particle":"","family":"Proost","given":"JH","non-dropping-particle":"","parse-names":false,"suffix":""},{"dropping-particle":"","family":"Vermeulen","given":"A","non-dropping-particle":"","parse-names":false,"suffix":""},{"dropping-particle":"","family":"Krauwinkel","given":"W","non-dropping-particle":"","parse-names":false,"suffix":""},{"dropping-particle":"","family":"Beukers","given":"MW","non-dropping-particle":"","parse-names":false,"suffix":""},{"dropping-particle":"","family":"Berg","given":"DJ","non-dropping-particle":"van den","parse-names":false,"suffix":""},{"dropping-particle":"","family":"Hartman","given":"RJ","non-dropping-particle":"","parse-names":false,"suffix":""},{"dropping-particle":"","family":"Wong","given":"YC","non-dropping-particle":"","parse-names":false,"suffix":""},{"dropping-particle":"","family":"Danhof","given":"M","non-dropping-particle":"","parse-names":false,"suffix":""},{"dropping-particle":"","family":"Hasselt","given":"JGC","non-dropping-particle":"van","parse-names":false,"suffix":""},{"dropping-particle":"","family":"Lange","given":"ECM","non-dropping-particle":"De","parse-names":false,"suffix":""}],"container-title":"CPT: Pharmacometrics &amp; Systems Pharmacology","id":"ITEM-3","issue":"11","issued":{"date-parts":[["2017"]]},"page":"765-777","title":"Predicting drug concentration-time profiles in multiple relevant CNS compartments using a comprehensive physiologically-based pharmacokinetic model","type":"article-journal","volume":"6"},"uris":["http://www.mendeley.com/documents/?uuid=6e2d4ac0-7759-4436-8635-39d8dc2695b7"]}],"mendeley":{"formattedCitation":"[9, 88, 89]","plainTextFormattedCitation":"[9, 88, 89]","previouslyFormattedCitation":"[9, 88, 89]"},"properties":{"noteIndex":0},"schema":"https://github.com/citation-style-language/schema/raw/master/csl-citation.json"}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 88, 89]</w:t>
            </w:r>
            <w:r w:rsidRPr="00C644C2">
              <w:rPr>
                <w:rFonts w:eastAsia="Times New Roman" w:cstheme="minorHAnsi"/>
                <w:color w:val="000000"/>
                <w:sz w:val="20"/>
                <w:szCs w:val="20"/>
              </w:rPr>
              <w:fldChar w:fldCharType="end"/>
            </w:r>
          </w:p>
        </w:tc>
        <w:tc>
          <w:tcPr>
            <w:tcW w:w="1701" w:type="dxa"/>
            <w:vAlign w:val="center"/>
          </w:tcPr>
          <w:p w14:paraId="3F0F176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99.8</w:t>
            </w:r>
            <w:bookmarkStart w:id="6" w:name="_Ref26384298"/>
            <w:r w:rsidRPr="00691E3C">
              <w:rPr>
                <w:rStyle w:val="FootnoteReference"/>
              </w:rPr>
              <w:footnoteReference w:id="20"/>
            </w:r>
            <w:bookmarkEnd w:id="6"/>
          </w:p>
        </w:tc>
        <w:tc>
          <w:tcPr>
            <w:tcW w:w="4111" w:type="dxa"/>
            <w:vMerge w:val="restart"/>
            <w:vAlign w:val="center"/>
          </w:tcPr>
          <w:p w14:paraId="4101384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58321B" w:rsidRPr="00C644C2">
              <w:rPr>
                <w:rFonts w:eastAsia="Times New Roman" w:cstheme="minorHAnsi"/>
                <w:color w:val="000000"/>
                <w:sz w:val="20"/>
                <w:szCs w:val="20"/>
              </w:rPr>
              <w:instrText>ADDIN CSL_CITATION {"citationItems":[{"id":"ITEM-1","itemData":{"DOI":"10.1006/mvre.1996.1999","ISBN":"0026-2862","ISSN":"00262862","abstract":"We examined the morphological parameters of arteriolar endothelial and smooth muscle cell dimensions and gap junctional surface areas to obtain an indication of the coupling capacity of each cell type. Silver nitrate staining was utilized to define cell borders of endothelial and smooth muscle cells in arterioles of several vascular beds from two species. From video images of silver-stained arterioles, the mean endothelial cell length of hamster cheek pouch arterioles (diameter 20 to 110 μm) was found to be 141 ± 2 μm. Mean endothelial cell width was 7 ± 0.2 μm in the same arterioles. Mean smooth muscle cell length in hamster cheek pouch arterioles of diameter 80 to 150 μm was 66 ± 3 μm, with an average cell width of 8 ± 0.2 μm. Dimensions of both endothelial and smooth muscle cells varied moderately with arteriole size and tissue type, but no general trends were seen. Based on the measured dimensions and the specific orientation of cell types within the arteriole, it was calculated that in hamster cheek pouch arterioles (60 μm diameter), 6 or 7 endothelial cell lengths would constitute a 1-mm segment of vessel, whereas approximately 140 smooth muscle cell widths would be required to span the same length. Estimates of connexin43 gap junctional plaque surface areas in each cell type suggest that endothelial cell junctional surface area is approximately eight times that of smooth muscle cells. Thus, combined measurement of cell dimensions and orientation with estimates of junctional plaque density leads to the conclusion that the endothelial cell layer forms a more permissive pathway for longitudinal conduction of signals through the blood vessel.","author":[{"dropping-particle":"","family":"Haas","given":"Tara L.","non-dropping-particle":"","parse-names":false,"suffix":""},{"dropping-particle":"","family":"Duling","given":"Brian R.","non-dropping-particle":"","parse-names":false,"suffix":""}],"container-title":"Microvascular Research","id":"ITEM-1","issue":"2","issued":{"date-parts":[["1997"]]},"page":"113-120","title":"Morphology favors an endothelial cell pathway for longitudinal conduction within arterioles","type":"article-journal","volume":"53"},"uris":["http://www.mendeley.com/documents/?uuid=c46f3fb7-26f1-41cf-b0f4-f4effaf63ba3"]},{"id":"ITEM-2","itemData":{"DOI":"10.1016/0165-3806(92)90125-G","ISSN":"01653806","abstract":"The endothelium of brain capillaries represents the structural basis for the blood-brain barrier in vertebrates. Individual endothelial cells are linked by a continuous belt of complex tight junctions (zonulae occludents). Hydrophilic solutes and macromolecules are believed to cross the barrier through specific carrier mechanisms. Unspecific paracellular ionic leak is thought to be very low. In rats the blood-brain barrier is not fully developed until postnatal day 24. We investigated the ultrastructure of the developing blood-brain barrier at 5 developmental stages between embryonic day 17 and young adults. The use of high power goniometric tilting of ultrathin sections allows one to gather information about the exact relationship between two opposing membranes throughout the entire length of the cleft. Our results suggest that the maturation of blood-brain barrier interendothelial clefts is accompanied by the establishment of a characteristic ratio of 'narrow zone' (complex tight junctions) to 'wide zone' (15-20 nm), and of a typical cleft length. Membrane separations larger than 20 nm disappear and individual tight junctional contacts undergo structural changes. © 1992.","author":[{"dropping-particle":"","family":"Schulze","given":"Charlotte","non-dropping-particle":"","parse-names":false,"suffix":""},{"dropping-particle":"","family":"Firth","given":"J. Anthony","non-dropping-particle":"","parse-names":false,"suffix":""}],"container-title":"Developmental Brain Research","id":"ITEM-2","issue":"1","issued":{"date-parts":[["1992"]]},"language":"en","page":"85-95","title":"Interendothelial junctions during blood-brain barrier development in the rat: morphological changes at the level of individual tight junctional contacts","type":"article-journal","volume":"69"},"uris":["http://www.mendeley.com/documents/?uuid=804b08cf-fda6-436a-953c-a9d7a42fe899"]},{"id":"ITEM-3","itemData":{"DOI":"10.1002/psp4.12250","ISSN":"21638306","PMID":"28891201","author":[{"dropping-particle":"","family":"Yamamoto","given":"Y","non-dropping-particle":"","parse-names":false,"suffix":""},{"dropping-particle":"","family":"Välitalo","given":"PA","non-dropping-particle":"","parse-names":false,"suffix":""},{"dropping-particle":"","family":"Huntjens","given":"DR","non-dropping-particle":"","parse-names":false,"suffix":""},{"dropping-particle":"","family":"Proost","given":"JH","non-dropping-particle":"","parse-names":false,"suffix":""},{"dropping-particle":"","family":"Vermeulen","given":"A","non-dropping-particle":"","parse-names":false,"suffix":""},{"dropping-particle":"","family":"Krauwinkel","given":"W","non-dropping-particle":"","parse-names":false,"suffix":""},{"dropping-particle":"","family":"Beukers","given":"MW","non-dropping-particle":"","parse-names":false,"suffix":""},{"dropping-particle":"","family":"Berg","given":"DJ","non-dropping-particle":"van den","parse-names":false,"suffix":""},{"dropping-particle":"","family":"Hartman","given":"RJ","non-dropping-particle":"","parse-names":false,"suffix":""},{"dropping-particle":"","family":"Wong","given":"YC","non-dropping-particle":"","parse-names":false,"suffix":""},{"dropping-particle":"","family":"Danhof","given":"M","non-dropping-particle":"","parse-names":false,"suffix":""},{"dropping-particle":"","family":"Hasselt","given":"JGC","non-dropping-particle":"van","parse-names":false,"suffix":""},{"dropping-particle":"","family":"Lange","given":"ECM","non-dropping-particle":"De","parse-names":false,"suffix":""}],"container-title":"CPT: Pharmacometrics &amp; Systems Pharmacology","id":"ITEM-3","issue":"11","issued":{"date-parts":[["2017"]]},"page":"765-777","title":"Predicting drug concentration-time profiles in multiple relevant CNS compartments using a comprehensive physiologically-based pharmacokinetic model","type":"article-journal","volume":"6"},"uris":["http://www.mendeley.com/documents/?uuid=6e2d4ac0-7759-4436-8635-39d8dc2695b7"]}],"mendeley":{"formattedCitation":"[9, 88, 89]","plainTextFormattedCitation":"[9, 88, 89]","previouslyFormattedCitation":"[9, 88, 89]"},"properties":{"noteIndex":0},"schema":"https://github.com/citation-style-language/schema/raw/master/csl-citation.json"}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 88, 89]</w:t>
            </w:r>
            <w:r w:rsidRPr="00C644C2">
              <w:rPr>
                <w:rFonts w:eastAsia="Times New Roman" w:cstheme="minorHAnsi"/>
                <w:color w:val="000000"/>
                <w:sz w:val="20"/>
                <w:szCs w:val="20"/>
              </w:rPr>
              <w:fldChar w:fldCharType="end"/>
            </w:r>
          </w:p>
        </w:tc>
      </w:tr>
      <w:tr w:rsidR="00431683" w:rsidRPr="00C644C2" w14:paraId="28B33F56" w14:textId="77777777" w:rsidTr="00154697">
        <w:trPr>
          <w:trHeight w:val="78"/>
        </w:trPr>
        <w:tc>
          <w:tcPr>
            <w:tcW w:w="1560" w:type="dxa"/>
            <w:vMerge/>
            <w:vAlign w:val="center"/>
            <w:hideMark/>
          </w:tcPr>
          <w:p w14:paraId="33473240"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hideMark/>
          </w:tcPr>
          <w:p w14:paraId="4D5F8CB4" w14:textId="77777777" w:rsidR="00431683" w:rsidRPr="00C644C2" w:rsidRDefault="00431683" w:rsidP="00272BB2">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BCSFB Transcellular transport</w:t>
            </w:r>
            <w:r w:rsidR="00334238" w:rsidRPr="00C644C2">
              <w:rPr>
                <w:rFonts w:eastAsia="Times New Roman" w:cstheme="minorHAnsi"/>
                <w:color w:val="000000"/>
                <w:sz w:val="20"/>
                <w:szCs w:val="20"/>
              </w:rPr>
              <w:t xml:space="preserve"> </w:t>
            </w:r>
            <w:r w:rsidR="00272BB2" w:rsidRPr="00C644C2">
              <w:rPr>
                <w:rFonts w:eastAsia="Times New Roman" w:cstheme="minorHAnsi"/>
                <w:color w:val="000000"/>
                <w:sz w:val="20"/>
                <w:szCs w:val="20"/>
              </w:rPr>
              <w:t>(SA</w:t>
            </w:r>
            <w:r w:rsidR="00272BB2" w:rsidRPr="00C644C2">
              <w:rPr>
                <w:rFonts w:eastAsia="Times New Roman" w:cstheme="minorHAnsi"/>
                <w:color w:val="000000"/>
                <w:sz w:val="20"/>
                <w:szCs w:val="20"/>
                <w:vertAlign w:val="subscript"/>
              </w:rPr>
              <w:t>BCSFB,T</w:t>
            </w:r>
            <w:r w:rsidR="00272BB2" w:rsidRPr="00C644C2">
              <w:rPr>
                <w:rFonts w:eastAsia="Times New Roman" w:cstheme="minorHAnsi"/>
                <w:color w:val="000000"/>
                <w:sz w:val="20"/>
                <w:szCs w:val="20"/>
              </w:rPr>
              <w:t>)</w:t>
            </w:r>
          </w:p>
        </w:tc>
        <w:tc>
          <w:tcPr>
            <w:tcW w:w="1907" w:type="dxa"/>
            <w:shd w:val="clear" w:color="auto" w:fill="auto"/>
            <w:noWrap/>
            <w:vAlign w:val="center"/>
            <w:hideMark/>
          </w:tcPr>
          <w:p w14:paraId="65A5ABDB"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99.8</w:t>
            </w:r>
            <w:r w:rsidRPr="00C644C2">
              <w:rPr>
                <w:rFonts w:eastAsia="Times New Roman" w:cstheme="minorHAnsi"/>
                <w:color w:val="000000"/>
                <w:sz w:val="20"/>
                <w:szCs w:val="20"/>
              </w:rPr>
              <w:fldChar w:fldCharType="begin"/>
            </w:r>
            <w:r w:rsidRPr="00C644C2">
              <w:rPr>
                <w:rFonts w:eastAsia="Times New Roman" w:cstheme="minorHAnsi"/>
                <w:color w:val="000000"/>
                <w:sz w:val="20"/>
                <w:szCs w:val="20"/>
              </w:rPr>
              <w:instrText xml:space="preserve"> NOTEREF _Ref26384278 \f \h </w:instrText>
            </w:r>
            <w:r w:rsidR="001344EA" w:rsidRPr="00C644C2">
              <w:rPr>
                <w:rFonts w:eastAsia="Times New Roman" w:cstheme="minorHAnsi"/>
                <w:color w:val="000000"/>
                <w:sz w:val="20"/>
                <w:szCs w:val="20"/>
              </w:rPr>
              <w:instrText xml:space="preserve"> \* MERGEFORMAT </w:instrText>
            </w:r>
            <w:r w:rsidRPr="00C644C2">
              <w:rPr>
                <w:rFonts w:eastAsia="Times New Roman" w:cstheme="minorHAnsi"/>
                <w:color w:val="000000"/>
                <w:sz w:val="20"/>
                <w:szCs w:val="20"/>
              </w:rPr>
            </w:r>
            <w:r w:rsidRPr="00C644C2">
              <w:rPr>
                <w:rFonts w:eastAsia="Times New Roman" w:cstheme="minorHAnsi"/>
                <w:color w:val="000000"/>
                <w:sz w:val="20"/>
                <w:szCs w:val="20"/>
              </w:rPr>
              <w:fldChar w:fldCharType="separate"/>
            </w:r>
            <w:r w:rsidR="008C78C2" w:rsidRPr="00C644C2">
              <w:rPr>
                <w:rStyle w:val="FootnoteReference"/>
                <w:rFonts w:cstheme="minorHAnsi"/>
                <w:sz w:val="20"/>
                <w:szCs w:val="20"/>
              </w:rPr>
              <w:t>s</w:t>
            </w:r>
            <w:r w:rsidRPr="00C644C2">
              <w:rPr>
                <w:rFonts w:eastAsia="Times New Roman" w:cstheme="minorHAnsi"/>
                <w:color w:val="000000"/>
                <w:sz w:val="20"/>
                <w:szCs w:val="20"/>
              </w:rPr>
              <w:fldChar w:fldCharType="end"/>
            </w:r>
          </w:p>
        </w:tc>
        <w:tc>
          <w:tcPr>
            <w:tcW w:w="3685" w:type="dxa"/>
            <w:vMerge/>
            <w:vAlign w:val="center"/>
          </w:tcPr>
          <w:p w14:paraId="1FBEE1ED"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1701" w:type="dxa"/>
            <w:vAlign w:val="center"/>
          </w:tcPr>
          <w:p w14:paraId="78EE141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99.8</w:t>
            </w:r>
            <w:r w:rsidRPr="00C644C2">
              <w:rPr>
                <w:rFonts w:eastAsia="Times New Roman" w:cstheme="minorHAnsi"/>
                <w:color w:val="000000"/>
                <w:sz w:val="20"/>
                <w:szCs w:val="20"/>
              </w:rPr>
              <w:fldChar w:fldCharType="begin"/>
            </w:r>
            <w:r w:rsidRPr="00C644C2">
              <w:rPr>
                <w:rFonts w:eastAsia="Times New Roman" w:cstheme="minorHAnsi"/>
                <w:color w:val="000000"/>
                <w:sz w:val="20"/>
                <w:szCs w:val="20"/>
              </w:rPr>
              <w:instrText xml:space="preserve"> NOTEREF _Ref26384298 \f \h </w:instrText>
            </w:r>
            <w:r w:rsidR="00154697" w:rsidRPr="00C644C2">
              <w:rPr>
                <w:rFonts w:eastAsia="Times New Roman" w:cstheme="minorHAnsi"/>
                <w:color w:val="000000"/>
                <w:sz w:val="20"/>
                <w:szCs w:val="20"/>
              </w:rPr>
              <w:instrText xml:space="preserve"> \* MERGEFORMAT </w:instrText>
            </w:r>
            <w:r w:rsidRPr="00C644C2">
              <w:rPr>
                <w:rFonts w:eastAsia="Times New Roman" w:cstheme="minorHAnsi"/>
                <w:color w:val="000000"/>
                <w:sz w:val="20"/>
                <w:szCs w:val="20"/>
              </w:rPr>
            </w:r>
            <w:r w:rsidRPr="00C644C2">
              <w:rPr>
                <w:rFonts w:eastAsia="Times New Roman" w:cstheme="minorHAnsi"/>
                <w:color w:val="000000"/>
                <w:sz w:val="20"/>
                <w:szCs w:val="20"/>
              </w:rPr>
              <w:fldChar w:fldCharType="separate"/>
            </w:r>
            <w:r w:rsidR="008C78C2" w:rsidRPr="00C644C2">
              <w:rPr>
                <w:rStyle w:val="FootnoteReference"/>
                <w:rFonts w:cstheme="minorHAnsi"/>
                <w:sz w:val="20"/>
                <w:szCs w:val="20"/>
              </w:rPr>
              <w:t>t</w:t>
            </w:r>
            <w:r w:rsidRPr="00C644C2">
              <w:rPr>
                <w:rFonts w:eastAsia="Times New Roman" w:cstheme="minorHAnsi"/>
                <w:color w:val="000000"/>
                <w:sz w:val="20"/>
                <w:szCs w:val="20"/>
              </w:rPr>
              <w:fldChar w:fldCharType="end"/>
            </w:r>
          </w:p>
        </w:tc>
        <w:tc>
          <w:tcPr>
            <w:tcW w:w="4111" w:type="dxa"/>
            <w:vMerge/>
            <w:vAlign w:val="center"/>
          </w:tcPr>
          <w:p w14:paraId="6086A6A0"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7941B0C3" w14:textId="77777777" w:rsidTr="00154697">
        <w:trPr>
          <w:trHeight w:val="78"/>
        </w:trPr>
        <w:tc>
          <w:tcPr>
            <w:tcW w:w="1560" w:type="dxa"/>
            <w:vMerge/>
            <w:vAlign w:val="center"/>
            <w:hideMark/>
          </w:tcPr>
          <w:p w14:paraId="7F919FB4"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hideMark/>
          </w:tcPr>
          <w:p w14:paraId="10A8B7F3" w14:textId="77777777" w:rsidR="00431683" w:rsidRPr="00C644C2" w:rsidRDefault="00431683" w:rsidP="00272BB2">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BBB paracellular transport</w:t>
            </w:r>
            <w:r w:rsidR="00272BB2" w:rsidRPr="00C644C2">
              <w:rPr>
                <w:rFonts w:eastAsia="Times New Roman" w:cstheme="minorHAnsi"/>
                <w:color w:val="000000"/>
                <w:sz w:val="20"/>
                <w:szCs w:val="20"/>
              </w:rPr>
              <w:t xml:space="preserve"> (SA</w:t>
            </w:r>
            <w:r w:rsidR="00272BB2" w:rsidRPr="00C644C2">
              <w:rPr>
                <w:rFonts w:eastAsia="Times New Roman" w:cstheme="minorHAnsi"/>
                <w:color w:val="000000"/>
                <w:sz w:val="20"/>
                <w:szCs w:val="20"/>
                <w:vertAlign w:val="subscript"/>
              </w:rPr>
              <w:t>BBB,P</w:t>
            </w:r>
            <w:r w:rsidR="00272BB2" w:rsidRPr="00C644C2">
              <w:rPr>
                <w:rFonts w:eastAsia="Times New Roman" w:cstheme="minorHAnsi"/>
                <w:color w:val="000000"/>
                <w:sz w:val="20"/>
                <w:szCs w:val="20"/>
              </w:rPr>
              <w:t>)</w:t>
            </w:r>
          </w:p>
        </w:tc>
        <w:tc>
          <w:tcPr>
            <w:tcW w:w="1907" w:type="dxa"/>
            <w:shd w:val="clear" w:color="auto" w:fill="auto"/>
            <w:noWrap/>
            <w:vAlign w:val="center"/>
            <w:hideMark/>
          </w:tcPr>
          <w:p w14:paraId="33A5ACFC"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0.006</w:t>
            </w:r>
            <w:bookmarkStart w:id="7" w:name="_Ref25796320"/>
            <w:r w:rsidRPr="00691E3C">
              <w:rPr>
                <w:rStyle w:val="FootnoteReference"/>
              </w:rPr>
              <w:footnoteReference w:id="21"/>
            </w:r>
            <w:bookmarkEnd w:id="7"/>
          </w:p>
        </w:tc>
        <w:tc>
          <w:tcPr>
            <w:tcW w:w="3685" w:type="dxa"/>
            <w:shd w:val="clear" w:color="auto" w:fill="auto"/>
            <w:noWrap/>
            <w:vAlign w:val="center"/>
          </w:tcPr>
          <w:p w14:paraId="75EA12DD"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c>
          <w:tcPr>
            <w:tcW w:w="1701" w:type="dxa"/>
            <w:vAlign w:val="center"/>
          </w:tcPr>
          <w:p w14:paraId="2FE2A7E4" w14:textId="77777777" w:rsidR="00431683" w:rsidRPr="00C644C2" w:rsidRDefault="00431683" w:rsidP="00217F38">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0.00</w:t>
            </w:r>
            <w:r w:rsidR="00D07A78" w:rsidRPr="00C644C2">
              <w:rPr>
                <w:rFonts w:eastAsia="Times New Roman" w:cstheme="minorHAnsi"/>
                <w:color w:val="000000"/>
                <w:sz w:val="20"/>
                <w:szCs w:val="20"/>
              </w:rPr>
              <w:t>4</w:t>
            </w:r>
            <w:r w:rsidR="00217F38" w:rsidRPr="00C644C2">
              <w:rPr>
                <w:rFonts w:cstheme="minorHAnsi"/>
                <w:sz w:val="20"/>
                <w:szCs w:val="20"/>
              </w:rPr>
              <w:fldChar w:fldCharType="begin"/>
            </w:r>
            <w:r w:rsidR="00217F38" w:rsidRPr="00C644C2">
              <w:rPr>
                <w:rFonts w:eastAsia="Times New Roman" w:cstheme="minorHAnsi"/>
                <w:color w:val="000000"/>
                <w:sz w:val="20"/>
                <w:szCs w:val="20"/>
              </w:rPr>
              <w:instrText xml:space="preserve"> NOTEREF _Ref25796320 \f \h </w:instrText>
            </w:r>
            <w:r w:rsidR="001344EA" w:rsidRPr="00C644C2">
              <w:rPr>
                <w:rFonts w:cstheme="minorHAnsi"/>
                <w:sz w:val="20"/>
                <w:szCs w:val="20"/>
              </w:rPr>
              <w:instrText xml:space="preserve"> \* MERGEFORMAT </w:instrText>
            </w:r>
            <w:r w:rsidR="00217F38" w:rsidRPr="00C644C2">
              <w:rPr>
                <w:rFonts w:cstheme="minorHAnsi"/>
                <w:sz w:val="20"/>
                <w:szCs w:val="20"/>
              </w:rPr>
            </w:r>
            <w:r w:rsidR="00217F38" w:rsidRPr="00C644C2">
              <w:rPr>
                <w:rFonts w:cstheme="minorHAnsi"/>
                <w:sz w:val="20"/>
                <w:szCs w:val="20"/>
              </w:rPr>
              <w:fldChar w:fldCharType="separate"/>
            </w:r>
            <w:r w:rsidR="00217F38" w:rsidRPr="00C644C2">
              <w:rPr>
                <w:rStyle w:val="FootnoteReference"/>
                <w:rFonts w:cstheme="minorHAnsi"/>
                <w:sz w:val="20"/>
                <w:szCs w:val="20"/>
              </w:rPr>
              <w:t>u</w:t>
            </w:r>
            <w:r w:rsidR="00217F38" w:rsidRPr="00C644C2">
              <w:rPr>
                <w:rFonts w:cstheme="minorHAnsi"/>
                <w:sz w:val="20"/>
                <w:szCs w:val="20"/>
              </w:rPr>
              <w:fldChar w:fldCharType="end"/>
            </w:r>
          </w:p>
        </w:tc>
        <w:tc>
          <w:tcPr>
            <w:tcW w:w="4111" w:type="dxa"/>
            <w:vMerge w:val="restart"/>
            <w:vAlign w:val="center"/>
          </w:tcPr>
          <w:p w14:paraId="254F963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r>
      <w:tr w:rsidR="00431683" w:rsidRPr="00C644C2" w14:paraId="55D8969C" w14:textId="77777777" w:rsidTr="00154697">
        <w:trPr>
          <w:trHeight w:val="78"/>
        </w:trPr>
        <w:tc>
          <w:tcPr>
            <w:tcW w:w="1560" w:type="dxa"/>
            <w:vMerge/>
            <w:vAlign w:val="center"/>
            <w:hideMark/>
          </w:tcPr>
          <w:p w14:paraId="6827164F"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hideMark/>
          </w:tcPr>
          <w:p w14:paraId="3E8FBD13" w14:textId="77777777" w:rsidR="00431683" w:rsidRPr="00C644C2" w:rsidRDefault="00431683" w:rsidP="00272BB2">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BCSFB paracellular transport</w:t>
            </w:r>
            <w:r w:rsidR="00272BB2" w:rsidRPr="00C644C2">
              <w:rPr>
                <w:rFonts w:eastAsia="Times New Roman" w:cstheme="minorHAnsi"/>
                <w:color w:val="000000"/>
                <w:sz w:val="20"/>
                <w:szCs w:val="20"/>
              </w:rPr>
              <w:t xml:space="preserve"> (SA</w:t>
            </w:r>
            <w:r w:rsidR="00272BB2" w:rsidRPr="00C644C2">
              <w:rPr>
                <w:rFonts w:eastAsia="Times New Roman" w:cstheme="minorHAnsi"/>
                <w:color w:val="000000"/>
                <w:sz w:val="20"/>
                <w:szCs w:val="20"/>
                <w:vertAlign w:val="subscript"/>
              </w:rPr>
              <w:t>BCSFB,P</w:t>
            </w:r>
            <w:r w:rsidR="00272BB2" w:rsidRPr="00C644C2">
              <w:rPr>
                <w:rFonts w:eastAsia="Times New Roman" w:cstheme="minorHAnsi"/>
                <w:color w:val="000000"/>
                <w:sz w:val="20"/>
                <w:szCs w:val="20"/>
              </w:rPr>
              <w:t>)</w:t>
            </w:r>
          </w:p>
        </w:tc>
        <w:tc>
          <w:tcPr>
            <w:tcW w:w="1907" w:type="dxa"/>
            <w:shd w:val="clear" w:color="auto" w:fill="auto"/>
            <w:noWrap/>
            <w:vAlign w:val="center"/>
            <w:hideMark/>
          </w:tcPr>
          <w:p w14:paraId="2B555CB8"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0.05</w:t>
            </w:r>
            <w:r w:rsidRPr="00C644C2">
              <w:rPr>
                <w:rFonts w:cstheme="minorHAnsi"/>
                <w:sz w:val="20"/>
                <w:szCs w:val="20"/>
                <w:vertAlign w:val="superscript"/>
              </w:rPr>
              <w:fldChar w:fldCharType="begin"/>
            </w:r>
            <w:r w:rsidRPr="00C644C2">
              <w:rPr>
                <w:rFonts w:cstheme="minorHAnsi"/>
                <w:sz w:val="20"/>
                <w:szCs w:val="20"/>
                <w:vertAlign w:val="superscript"/>
              </w:rPr>
              <w:instrText xml:space="preserve"> NOTEREF _Ref25796320 \h  \* MERGEFORMAT </w:instrText>
            </w:r>
            <w:r w:rsidRPr="00C644C2">
              <w:rPr>
                <w:rFonts w:cstheme="minorHAnsi"/>
                <w:sz w:val="20"/>
                <w:szCs w:val="20"/>
                <w:vertAlign w:val="superscript"/>
              </w:rPr>
            </w:r>
            <w:r w:rsidRPr="00C644C2">
              <w:rPr>
                <w:rFonts w:cstheme="minorHAnsi"/>
                <w:sz w:val="20"/>
                <w:szCs w:val="20"/>
                <w:vertAlign w:val="superscript"/>
              </w:rPr>
              <w:fldChar w:fldCharType="separate"/>
            </w:r>
            <w:r w:rsidR="008C78C2" w:rsidRPr="00C644C2">
              <w:rPr>
                <w:rFonts w:cstheme="minorHAnsi"/>
                <w:sz w:val="20"/>
                <w:szCs w:val="20"/>
                <w:vertAlign w:val="superscript"/>
              </w:rPr>
              <w:t>u</w:t>
            </w:r>
            <w:r w:rsidRPr="00C644C2">
              <w:rPr>
                <w:rFonts w:cstheme="minorHAnsi"/>
                <w:sz w:val="20"/>
                <w:szCs w:val="20"/>
                <w:vertAlign w:val="superscript"/>
              </w:rPr>
              <w:fldChar w:fldCharType="end"/>
            </w:r>
          </w:p>
        </w:tc>
        <w:tc>
          <w:tcPr>
            <w:tcW w:w="3685" w:type="dxa"/>
            <w:shd w:val="clear" w:color="auto" w:fill="auto"/>
            <w:noWrap/>
            <w:vAlign w:val="center"/>
          </w:tcPr>
          <w:p w14:paraId="04D2B80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{"citationItems":[{"id":"ITEM-1","itemData":{"DOI":"10.1186/2040-2384-2-14","ISBN":"2040-2384","abstract":"Background Much of our current understanding of microvascular permeability is based on the findings of classic experimental studies of blood capillary permeability to various-sized lipid-insoluble endogenous and non-endogenous macromolecules. According to the classic small pore theory of microvascular permeability, which was formulated on the basis of the findings of studies on the transcapillary flow rates of various-sized systemically or regionally perfused endogenous macromolecules, transcapillary exchange across the capillary wall takes place through a single population of small pores that are approximately 6 nm in diameter; whereas, according to the dual pore theory of microvascular permeability, which was formulated on the basis of the findings of studies on the accumulation of various-sized systemically or regionally perfused non-endogenous macromolecules in the locoregional tissue lymphatic drainages, transcapillary exchange across the capillary wall also takes place through a separate population of large pores, or capillary leaks, that are between 24 and 60 nm in diameter. The classification of blood capillary types on the basis of differences in the physiologic upper limits of pore size to transvascular flow highlights the differences in the transcapillary exchange routes for the transvascular transport of endogenous and non-endogenous macromolecules across the capillary walls of different blood capillary types. Methods The findings and published data of studies on capillary wall ultrastructure and capillary microvascular permeability to lipid-insoluble endogenous and non-endogenous molecules from the 1950s to date were reviewed. In this study, the blood capillary types in different tissues and organs were classified on the basis of the physiologic upper limits of pore size to the transvascular flow of lipid-insoluble molecules. Blood capillaries were classified as non-sinusoidal or sinusoidal on the basis of capillary wall basement membrane layer continuity or lack thereof. Non-sinusoidal blood capillaries were further sub-classified as non-fenestrated or fenestrated based on the absence or presence of endothelial cells with fenestrations. The sinusoidal blood capillaries of the liver, myeloid (red) bone marrow, and spleen were sub-classified as reticuloendothelial or non-reticuloendothelial based on the phago-endocytic capacity of the endothelial cells. Results The physiologic upper limit of pore size for transvascular flow across capillary …","author":[{"dropping-particle":"","family":"Sarin","given":"Hemant","non-dropping-particle":"","parse-names":false,"suffix":""}],"container-title":"Journal of Angiogenesis Research","id":"ITEM-1","issued":{"date-parts":[["2010"]]},"page":"14","title":"Physiologic upper limits of pore size of different blood capillary types and another perspective on the dual pore theory of microvascular permeability","type":"article-journal","volume":"2"},"uris":["http://www.mendeley.com/documents/?uuid=c72dcd7a-a7a4-4599-95a6-b72994b37c57"]}],"mendeley":{"formattedCitation":"[86]","plainTextFormattedCitation":"[86]","previouslyFormattedCitation":"[86]"},"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[86]</w:t>
            </w:r>
            <w:r w:rsidRPr="00C644C2">
              <w:rPr>
                <w:rFonts w:eastAsia="Times New Roman" w:cstheme="minorHAnsi"/>
                <w:color w:val="000000"/>
                <w:sz w:val="20"/>
                <w:szCs w:val="20"/>
              </w:rPr>
              <w:fldChar w:fldCharType="end"/>
            </w:r>
          </w:p>
        </w:tc>
        <w:tc>
          <w:tcPr>
            <w:tcW w:w="1701" w:type="dxa"/>
            <w:vAlign w:val="center"/>
          </w:tcPr>
          <w:p w14:paraId="22EA3BA2" w14:textId="77777777" w:rsidR="00431683" w:rsidRPr="00C644C2" w:rsidRDefault="00431683" w:rsidP="00217F38">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t>0.0</w:t>
            </w:r>
            <w:r w:rsidR="00D07A78" w:rsidRPr="00C644C2">
              <w:rPr>
                <w:rFonts w:eastAsia="Times New Roman" w:cstheme="minorHAnsi"/>
                <w:color w:val="000000"/>
                <w:sz w:val="20"/>
                <w:szCs w:val="20"/>
              </w:rPr>
              <w:t>16</w:t>
            </w:r>
            <w:r w:rsidR="00217F38" w:rsidRPr="00C644C2">
              <w:rPr>
                <w:rFonts w:eastAsia="Times New Roman" w:cstheme="minorHAnsi"/>
                <w:color w:val="000000"/>
                <w:sz w:val="20"/>
                <w:szCs w:val="20"/>
              </w:rPr>
              <w:fldChar w:fldCharType="begin"/>
            </w:r>
            <w:r w:rsidR="00217F38" w:rsidRPr="00C644C2">
              <w:rPr>
                <w:rFonts w:eastAsia="Times New Roman" w:cstheme="minorHAnsi"/>
                <w:color w:val="000000"/>
                <w:sz w:val="20"/>
                <w:szCs w:val="20"/>
              </w:rPr>
              <w:instrText xml:space="preserve"> NOTEREF _Ref25796320 \f \h </w:instrText>
            </w:r>
            <w:r w:rsidR="001344EA" w:rsidRPr="00C644C2">
              <w:rPr>
                <w:rFonts w:eastAsia="Times New Roman" w:cstheme="minorHAnsi"/>
                <w:color w:val="000000"/>
                <w:sz w:val="20"/>
                <w:szCs w:val="20"/>
              </w:rPr>
              <w:instrText xml:space="preserve"> \* MERGEFORMAT </w:instrText>
            </w:r>
            <w:r w:rsidR="00217F38" w:rsidRPr="00C644C2">
              <w:rPr>
                <w:rFonts w:eastAsia="Times New Roman" w:cstheme="minorHAnsi"/>
                <w:color w:val="000000"/>
                <w:sz w:val="20"/>
                <w:szCs w:val="20"/>
              </w:rPr>
            </w:r>
            <w:r w:rsidR="00217F38" w:rsidRPr="00C644C2">
              <w:rPr>
                <w:rFonts w:eastAsia="Times New Roman" w:cstheme="minorHAnsi"/>
                <w:color w:val="000000"/>
                <w:sz w:val="20"/>
                <w:szCs w:val="20"/>
              </w:rPr>
              <w:fldChar w:fldCharType="separate"/>
            </w:r>
            <w:r w:rsidR="00217F38" w:rsidRPr="00C644C2">
              <w:rPr>
                <w:rStyle w:val="FootnoteReference"/>
                <w:rFonts w:cstheme="minorHAnsi"/>
                <w:sz w:val="20"/>
                <w:szCs w:val="20"/>
              </w:rPr>
              <w:t>u</w:t>
            </w:r>
            <w:r w:rsidR="00217F38" w:rsidRPr="00C644C2">
              <w:rPr>
                <w:rFonts w:eastAsia="Times New Roman" w:cstheme="minorHAnsi"/>
                <w:color w:val="000000"/>
                <w:sz w:val="20"/>
                <w:szCs w:val="20"/>
              </w:rPr>
              <w:fldChar w:fldCharType="end"/>
            </w:r>
          </w:p>
        </w:tc>
        <w:tc>
          <w:tcPr>
            <w:tcW w:w="4111" w:type="dxa"/>
            <w:vMerge/>
            <w:vAlign w:val="center"/>
          </w:tcPr>
          <w:p w14:paraId="0EFE88F3"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05825FAE" w14:textId="77777777" w:rsidTr="00154697">
        <w:trPr>
          <w:trHeight w:val="135"/>
        </w:trPr>
        <w:tc>
          <w:tcPr>
            <w:tcW w:w="1560" w:type="dxa"/>
            <w:vMerge w:val="restart"/>
            <w:shd w:val="clear" w:color="auto" w:fill="D9D9D9" w:themeFill="background1" w:themeFillShade="D9"/>
            <w:vAlign w:val="center"/>
          </w:tcPr>
          <w:p w14:paraId="7116D1AF" w14:textId="77777777" w:rsidR="00431683" w:rsidRPr="00C644C2" w:rsidRDefault="00431683" w:rsidP="006B306D">
            <w:pPr>
              <w:spacing w:after="0" w:line="240" w:lineRule="auto"/>
              <w:jc w:val="center"/>
              <w:rPr>
                <w:rFonts w:eastAsia="Times New Roman" w:cstheme="minorHAnsi"/>
                <w:b/>
                <w:bCs/>
                <w:color w:val="000000"/>
                <w:sz w:val="20"/>
                <w:szCs w:val="20"/>
              </w:rPr>
            </w:pPr>
            <w:r w:rsidRPr="00C644C2">
              <w:rPr>
                <w:rFonts w:eastAsia="Times New Roman" w:cstheme="minorHAnsi"/>
                <w:b/>
                <w:bCs/>
                <w:color w:val="000000"/>
                <w:sz w:val="20"/>
                <w:szCs w:val="20"/>
              </w:rPr>
              <w:t>pH</w:t>
            </w:r>
          </w:p>
        </w:tc>
        <w:tc>
          <w:tcPr>
            <w:tcW w:w="2913" w:type="dxa"/>
            <w:shd w:val="clear" w:color="auto" w:fill="auto"/>
            <w:vAlign w:val="bottom"/>
          </w:tcPr>
          <w:p w14:paraId="13771FD0"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Plasma</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pH</w:t>
            </w:r>
            <w:r w:rsidR="00334238" w:rsidRPr="00C644C2">
              <w:rPr>
                <w:rFonts w:eastAsia="Times New Roman" w:cstheme="minorHAnsi"/>
                <w:color w:val="000000"/>
                <w:sz w:val="20"/>
                <w:szCs w:val="20"/>
                <w:vertAlign w:val="subscript"/>
              </w:rPr>
              <w:t>PL</w:t>
            </w:r>
            <w:proofErr w:type="spellEnd"/>
            <w:r w:rsidR="00334238" w:rsidRPr="00C644C2">
              <w:rPr>
                <w:rFonts w:eastAsia="Times New Roman" w:cstheme="minorHAnsi"/>
                <w:color w:val="000000"/>
                <w:sz w:val="20"/>
                <w:szCs w:val="20"/>
              </w:rPr>
              <w:t>)</w:t>
            </w:r>
          </w:p>
        </w:tc>
        <w:tc>
          <w:tcPr>
            <w:tcW w:w="1907" w:type="dxa"/>
            <w:vMerge w:val="restart"/>
            <w:shd w:val="clear" w:color="auto" w:fill="auto"/>
            <w:noWrap/>
            <w:vAlign w:val="center"/>
          </w:tcPr>
          <w:p w14:paraId="5C0C1E24"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7.4</w:t>
            </w:r>
          </w:p>
        </w:tc>
        <w:tc>
          <w:tcPr>
            <w:tcW w:w="3685" w:type="dxa"/>
            <w:vMerge w:val="restart"/>
            <w:shd w:val="clear" w:color="auto" w:fill="auto"/>
            <w:noWrap/>
            <w:vAlign w:val="center"/>
          </w:tcPr>
          <w:p w14:paraId="57ED320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{"citationItems":[{"id":"ITEM-1","itemData":{"DOI":"10.1383/anes.4.12.419.27385","ISSN":"14720299","abstract":"Maintenance of plasma pH (-log 10 [H +]) within the range 7.38-7.42 is an essential requirement for life, because many metabolic processes (e.g. enzymatic reactions) are exquisitely sensitive to changes in H + concentration. The range compatible with life is 7.00-7.70 (i.e. a 5-fold change in H + concentration). The intracellular H + concentration is higher (about pH 7.00) than that in extracellular fluid (ECF), but is sensitive to changes in extracellular H + concentration. ECF is normally alkaline. This narrow pH range must be maintained in the face of the production of large quantities of volatile acid from cellular metabolism (mainly CO 2) and non-volatile acid from the metabolism of fats and certain proteins. The main problem encountered in the homeostatic control of plasma pH is the defence of the alkaline environment in the face of this massive, daily acid load. © 2003 Elsevier Ltd. All rights reserved.","author":[{"dropping-particle":"","family":"Atherton","given":"John C.","non-dropping-particle":"","parse-names":false,"suffix":""}],"container-title":"Anaesthesia and Intensive Care Medicine","id":"ITEM-1","issue":"12","issued":{"date-parts":[["2003"]]},"page":"419-422","title":"Acid-base balance: maintenance of plasma pH","type":"article-journal","volume":"4"},"uris":["http://www.mendeley.com/documents/?uuid=99dd6d66-16cd-46f4-a9a4-16a4d09a94e6"]}],"mendeley":{"formattedCitation":"[90]","plainTextFormattedCitation":"[90]","previouslyFormattedCitation":"[90]"},"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[90]</w:t>
            </w:r>
            <w:r w:rsidRPr="00C644C2">
              <w:rPr>
                <w:rFonts w:eastAsia="Times New Roman" w:cstheme="minorHAnsi"/>
                <w:color w:val="000000"/>
                <w:sz w:val="20"/>
                <w:szCs w:val="20"/>
              </w:rPr>
              <w:fldChar w:fldCharType="end"/>
            </w:r>
          </w:p>
        </w:tc>
        <w:tc>
          <w:tcPr>
            <w:tcW w:w="1701" w:type="dxa"/>
            <w:vMerge w:val="restart"/>
            <w:vAlign w:val="center"/>
          </w:tcPr>
          <w:p w14:paraId="41A52669"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7.4</w:t>
            </w:r>
          </w:p>
        </w:tc>
        <w:tc>
          <w:tcPr>
            <w:tcW w:w="4111" w:type="dxa"/>
            <w:vMerge w:val="restart"/>
            <w:vAlign w:val="center"/>
          </w:tcPr>
          <w:p w14:paraId="77BF6B4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{"citationItems":[{"id":"ITEM-1","itemData":{"DOI":"10.1383/anes.4.12.419.27385","ISSN":"14720299","abstract":"Maintenance of plasma pH (-log 10 [H +]) within the range 7.38-7.42 is an essential requirement for life, because many metabolic processes (e.g. enzymatic reactions) are exquisitely sensitive to changes in H + concentration. The range compatible with life is 7.00-7.70 (i.e. a 5-fold change in H + concentration). The intracellular H + concentration is higher (about pH 7.00) than that in extracellular fluid (ECF), but is sensitive to changes in extracellular H + concentration. ECF is normally alkaline. This narrow pH range must be maintained in the face of the production of large quantities of volatile acid from cellular metabolism (mainly CO 2) and non-volatile acid from the metabolism of fats and certain proteins. The main problem encountered in the homeostatic control of plasma pH is the defence of the alkaline environment in the face of this massive, daily acid load. © 2003 Elsevier Ltd. All rights reserved.","author":[{"dropping-particle":"","family":"Atherton","given":"John C.","non-dropping-particle":"","parse-names":false,"suffix":""}],"container-title":"Anaesthesia and Intensive Care Medicine","id":"ITEM-1","issue":"12","issued":{"date-parts":[["2003"]]},"page":"419-422","title":"Acid-base balance: maintenance of plasma pH","type":"article-journal","volume":"4"},"uris":["http://www.mendeley.com/documents/?uuid=99dd6d66-16cd-46f4-a9a4-16a4d09a94e6"]}],"mendeley":{"formattedCitation":"[90]","plainTextFormattedCitation":"[90]","previouslyFormattedCitation":"[90]"},"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[90]</w:t>
            </w:r>
            <w:r w:rsidRPr="00C644C2">
              <w:rPr>
                <w:rFonts w:eastAsia="Times New Roman" w:cstheme="minorHAnsi"/>
                <w:color w:val="000000"/>
                <w:sz w:val="20"/>
                <w:szCs w:val="20"/>
              </w:rPr>
              <w:fldChar w:fldCharType="end"/>
            </w:r>
          </w:p>
        </w:tc>
      </w:tr>
      <w:tr w:rsidR="00431683" w:rsidRPr="00C644C2" w14:paraId="20779AF9" w14:textId="77777777" w:rsidTr="00154697">
        <w:trPr>
          <w:trHeight w:val="135"/>
        </w:trPr>
        <w:tc>
          <w:tcPr>
            <w:tcW w:w="1560" w:type="dxa"/>
            <w:vMerge/>
            <w:shd w:val="clear" w:color="auto" w:fill="D9D9D9" w:themeFill="background1" w:themeFillShade="D9"/>
            <w:vAlign w:val="center"/>
          </w:tcPr>
          <w:p w14:paraId="759D3933"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tcPr>
          <w:p w14:paraId="2BA85310"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microvasculature</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pH</w:t>
            </w:r>
            <w:r w:rsidR="00334238" w:rsidRPr="00C644C2">
              <w:rPr>
                <w:rFonts w:eastAsia="Times New Roman" w:cstheme="minorHAnsi"/>
                <w:color w:val="000000"/>
                <w:sz w:val="20"/>
                <w:szCs w:val="20"/>
                <w:vertAlign w:val="subscript"/>
              </w:rPr>
              <w:t>MV</w:t>
            </w:r>
            <w:proofErr w:type="spellEnd"/>
            <w:r w:rsidR="00334238" w:rsidRPr="00C644C2">
              <w:rPr>
                <w:rFonts w:eastAsia="Times New Roman" w:cstheme="minorHAnsi"/>
                <w:color w:val="000000"/>
                <w:sz w:val="20"/>
                <w:szCs w:val="20"/>
              </w:rPr>
              <w:t>)</w:t>
            </w:r>
          </w:p>
        </w:tc>
        <w:tc>
          <w:tcPr>
            <w:tcW w:w="1907" w:type="dxa"/>
            <w:vMerge/>
            <w:shd w:val="clear" w:color="auto" w:fill="auto"/>
            <w:noWrap/>
            <w:vAlign w:val="center"/>
          </w:tcPr>
          <w:p w14:paraId="73875843" w14:textId="77777777" w:rsidR="00431683" w:rsidRPr="00C644C2" w:rsidRDefault="00431683" w:rsidP="006B306D">
            <w:pPr>
              <w:spacing w:after="0" w:line="240" w:lineRule="auto"/>
              <w:jc w:val="center"/>
              <w:rPr>
                <w:rFonts w:eastAsia="Times New Roman" w:cstheme="minorHAnsi"/>
                <w:sz w:val="20"/>
                <w:szCs w:val="20"/>
              </w:rPr>
            </w:pPr>
          </w:p>
        </w:tc>
        <w:tc>
          <w:tcPr>
            <w:tcW w:w="3685" w:type="dxa"/>
            <w:vMerge/>
            <w:shd w:val="clear" w:color="auto" w:fill="auto"/>
            <w:noWrap/>
            <w:vAlign w:val="center"/>
          </w:tcPr>
          <w:p w14:paraId="2A51FF2C"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1701" w:type="dxa"/>
            <w:vMerge/>
            <w:vAlign w:val="center"/>
          </w:tcPr>
          <w:p w14:paraId="26B70624" w14:textId="77777777" w:rsidR="00431683" w:rsidRPr="00C644C2" w:rsidRDefault="00431683" w:rsidP="006B306D">
            <w:pPr>
              <w:spacing w:after="0" w:line="240" w:lineRule="auto"/>
              <w:jc w:val="center"/>
              <w:rPr>
                <w:rFonts w:eastAsia="Times New Roman" w:cstheme="minorHAnsi"/>
                <w:color w:val="000000"/>
                <w:sz w:val="20"/>
                <w:szCs w:val="20"/>
              </w:rPr>
            </w:pPr>
          </w:p>
        </w:tc>
        <w:tc>
          <w:tcPr>
            <w:tcW w:w="4111" w:type="dxa"/>
            <w:vMerge/>
            <w:vAlign w:val="center"/>
          </w:tcPr>
          <w:p w14:paraId="56734DAC" w14:textId="77777777" w:rsidR="00431683" w:rsidRPr="00C644C2" w:rsidRDefault="00431683" w:rsidP="006B306D">
            <w:pPr>
              <w:spacing w:after="0" w:line="240" w:lineRule="auto"/>
              <w:jc w:val="center"/>
              <w:rPr>
                <w:rFonts w:eastAsia="Times New Roman" w:cstheme="minorHAnsi"/>
                <w:color w:val="000000"/>
                <w:sz w:val="20"/>
                <w:szCs w:val="20"/>
              </w:rPr>
            </w:pPr>
          </w:p>
        </w:tc>
      </w:tr>
      <w:tr w:rsidR="00431683" w:rsidRPr="00C644C2" w14:paraId="42328449" w14:textId="77777777" w:rsidTr="00154697">
        <w:trPr>
          <w:trHeight w:val="78"/>
        </w:trPr>
        <w:tc>
          <w:tcPr>
            <w:tcW w:w="1560" w:type="dxa"/>
            <w:vMerge/>
            <w:shd w:val="clear" w:color="auto" w:fill="D9D9D9" w:themeFill="background1" w:themeFillShade="D9"/>
            <w:vAlign w:val="center"/>
          </w:tcPr>
          <w:p w14:paraId="278113FB"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tcPr>
          <w:p w14:paraId="1DE84FA4"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extracellular fluid</w:t>
            </w:r>
            <w:r w:rsidR="00334238" w:rsidRPr="00C644C2">
              <w:rPr>
                <w:rFonts w:eastAsia="Times New Roman" w:cstheme="minorHAnsi"/>
                <w:color w:val="000000"/>
                <w:sz w:val="20"/>
                <w:szCs w:val="20"/>
              </w:rPr>
              <w:t xml:space="preserve"> (pH</w:t>
            </w:r>
            <w:r w:rsidR="00334238" w:rsidRPr="00C644C2">
              <w:rPr>
                <w:rFonts w:eastAsia="Times New Roman" w:cstheme="minorHAnsi"/>
                <w:color w:val="000000"/>
                <w:sz w:val="20"/>
                <w:szCs w:val="20"/>
                <w:vertAlign w:val="subscript"/>
              </w:rPr>
              <w:t>ECF</w:t>
            </w:r>
            <w:r w:rsidR="00334238" w:rsidRPr="00C644C2">
              <w:rPr>
                <w:rFonts w:eastAsia="Times New Roman" w:cstheme="minorHAnsi"/>
                <w:color w:val="000000"/>
                <w:sz w:val="20"/>
                <w:szCs w:val="20"/>
              </w:rPr>
              <w:t>)</w:t>
            </w:r>
          </w:p>
        </w:tc>
        <w:tc>
          <w:tcPr>
            <w:tcW w:w="1907" w:type="dxa"/>
            <w:shd w:val="clear" w:color="auto" w:fill="auto"/>
            <w:noWrap/>
            <w:vAlign w:val="center"/>
          </w:tcPr>
          <w:p w14:paraId="7443F6AE"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7.3</w:t>
            </w:r>
          </w:p>
        </w:tc>
        <w:tc>
          <w:tcPr>
            <w:tcW w:w="3685" w:type="dxa"/>
            <w:shd w:val="clear" w:color="auto" w:fill="auto"/>
            <w:noWrap/>
            <w:vAlign w:val="center"/>
          </w:tcPr>
          <w:p w14:paraId="6E5B6293"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c>
          <w:tcPr>
            <w:tcW w:w="1701" w:type="dxa"/>
            <w:vAlign w:val="center"/>
          </w:tcPr>
          <w:p w14:paraId="42E19ADC"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7.3</w:t>
            </w:r>
          </w:p>
        </w:tc>
        <w:tc>
          <w:tcPr>
            <w:tcW w:w="4111" w:type="dxa"/>
            <w:vAlign w:val="center"/>
          </w:tcPr>
          <w:p w14:paraId="63FED4B1"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r>
      <w:tr w:rsidR="00431683" w:rsidRPr="00C644C2" w14:paraId="743E485E" w14:textId="77777777" w:rsidTr="00154697">
        <w:trPr>
          <w:trHeight w:val="78"/>
        </w:trPr>
        <w:tc>
          <w:tcPr>
            <w:tcW w:w="1560" w:type="dxa"/>
            <w:vMerge/>
            <w:shd w:val="clear" w:color="auto" w:fill="D9D9D9" w:themeFill="background1" w:themeFillShade="D9"/>
            <w:vAlign w:val="center"/>
          </w:tcPr>
          <w:p w14:paraId="2709B345"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tcPr>
          <w:p w14:paraId="3A2F343C"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Cerebrospinal fluid</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pH</w:t>
            </w:r>
            <w:r w:rsidR="00334238" w:rsidRPr="00C644C2">
              <w:rPr>
                <w:rFonts w:eastAsia="Times New Roman" w:cstheme="minorHAnsi"/>
                <w:color w:val="000000"/>
                <w:sz w:val="20"/>
                <w:szCs w:val="20"/>
                <w:vertAlign w:val="subscript"/>
              </w:rPr>
              <w:t>CSF</w:t>
            </w:r>
            <w:proofErr w:type="spellEnd"/>
            <w:r w:rsidR="00334238" w:rsidRPr="00C644C2">
              <w:rPr>
                <w:rFonts w:eastAsia="Times New Roman" w:cstheme="minorHAnsi"/>
                <w:color w:val="000000"/>
                <w:sz w:val="20"/>
                <w:szCs w:val="20"/>
              </w:rPr>
              <w:t>)</w:t>
            </w:r>
          </w:p>
        </w:tc>
        <w:tc>
          <w:tcPr>
            <w:tcW w:w="1907" w:type="dxa"/>
            <w:shd w:val="clear" w:color="auto" w:fill="auto"/>
            <w:noWrap/>
            <w:vAlign w:val="center"/>
          </w:tcPr>
          <w:p w14:paraId="3FF3B74A"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7.3</w:t>
            </w:r>
          </w:p>
        </w:tc>
        <w:tc>
          <w:tcPr>
            <w:tcW w:w="3685" w:type="dxa"/>
            <w:shd w:val="clear" w:color="auto" w:fill="auto"/>
            <w:noWrap/>
            <w:vAlign w:val="center"/>
          </w:tcPr>
          <w:p w14:paraId="03CB7564"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{"citationItems":[{"id":"ITEM-1","itemData":{"DOI":"10.1038/ki.1972.47","ISSN":"00852538","author":[{"dropping-particle":"","family":"Siesjö","given":"B. K.","non-dropping-particle":"","parse-names":false,"suffix":""}],"container-title":"Kidney international","id":"ITEM-1","issue":"5","issued":{"date-parts":[["1972"]]},"page":"360-374","title":"Symposium on acid-base homeostasis. The regulation of cerebrospinal fluid pH.","type":"article-journal","volume":"1"},"uris":["http://www.mendeley.com/documents/?uuid=6e0510f2-d5d6-4aec-8000-8afea60fa8b6"]}],"mendeley":{"formattedCitation":"[92]","plainTextFormattedCitation":"[92]","previouslyFormattedCitation":"[92]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[92]</w:t>
            </w:r>
            <w:r w:rsidRPr="00C644C2">
              <w:rPr>
                <w:rFonts w:eastAsia="Times New Roman" w:cstheme="minorHAnsi"/>
                <w:color w:val="000000"/>
                <w:sz w:val="20"/>
                <w:szCs w:val="20"/>
              </w:rPr>
              <w:fldChar w:fldCharType="end"/>
            </w:r>
          </w:p>
        </w:tc>
        <w:tc>
          <w:tcPr>
            <w:tcW w:w="1701" w:type="dxa"/>
            <w:vAlign w:val="center"/>
          </w:tcPr>
          <w:p w14:paraId="2F633932"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7.3</w:t>
            </w:r>
          </w:p>
        </w:tc>
        <w:tc>
          <w:tcPr>
            <w:tcW w:w="4111" w:type="dxa"/>
            <w:vAlign w:val="center"/>
          </w:tcPr>
          <w:p w14:paraId="0C961207"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{"citationItems":[{"id":"ITEM-1","itemData":{"DOI":"10.1038/ki.1972.47","ISSN":"00852538","author":[{"dropping-particle":"","family":"Siesjö","given":"B. K.","non-dropping-particle":"","parse-names":false,"suffix":""}],"container-title":"Kidney international","id":"ITEM-1","issue":"5","issued":{"date-parts":[["1972"]]},"page":"360-374","title":"Symposium on acid-base homeostasis. The regulation of cerebrospinal fluid pH.","type":"article-journal","volume":"1"},"uris":["http://www.mendeley.com/documents/?uuid=6e0510f2-d5d6-4aec-8000-8afea60fa8b6"]}],"mendeley":{"formattedCitation":"[92]","plainTextFormattedCitation":"[92]","previouslyFormattedCitation":"[92]"},"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[92]</w:t>
            </w:r>
            <w:r w:rsidRPr="00C644C2">
              <w:rPr>
                <w:rFonts w:eastAsia="Times New Roman" w:cstheme="minorHAnsi"/>
                <w:color w:val="000000"/>
                <w:sz w:val="20"/>
                <w:szCs w:val="20"/>
              </w:rPr>
              <w:fldChar w:fldCharType="end"/>
            </w:r>
          </w:p>
        </w:tc>
      </w:tr>
      <w:tr w:rsidR="00431683" w:rsidRPr="00C644C2" w14:paraId="7EA38EE9" w14:textId="77777777" w:rsidTr="00154697">
        <w:trPr>
          <w:trHeight w:val="78"/>
        </w:trPr>
        <w:tc>
          <w:tcPr>
            <w:tcW w:w="1560" w:type="dxa"/>
            <w:vMerge/>
            <w:shd w:val="clear" w:color="auto" w:fill="D9D9D9" w:themeFill="background1" w:themeFillShade="D9"/>
            <w:vAlign w:val="center"/>
          </w:tcPr>
          <w:p w14:paraId="146B3656"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tcPr>
          <w:p w14:paraId="70104234"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cells</w:t>
            </w:r>
            <w:r w:rsidR="00334238" w:rsidRPr="00C644C2">
              <w:rPr>
                <w:rFonts w:eastAsia="Times New Roman" w:cstheme="minorHAnsi"/>
                <w:color w:val="000000"/>
                <w:sz w:val="20"/>
                <w:szCs w:val="20"/>
              </w:rPr>
              <w:t xml:space="preserve"> (pH</w:t>
            </w:r>
            <w:r w:rsidR="00334238" w:rsidRPr="00C644C2">
              <w:rPr>
                <w:rFonts w:eastAsia="Times New Roman" w:cstheme="minorHAnsi"/>
                <w:color w:val="000000"/>
                <w:sz w:val="20"/>
                <w:szCs w:val="20"/>
                <w:vertAlign w:val="subscript"/>
              </w:rPr>
              <w:t>ICF</w:t>
            </w:r>
            <w:r w:rsidR="00334238" w:rsidRPr="00C644C2">
              <w:rPr>
                <w:rFonts w:eastAsia="Times New Roman" w:cstheme="minorHAnsi"/>
                <w:color w:val="000000"/>
                <w:sz w:val="20"/>
                <w:szCs w:val="20"/>
              </w:rPr>
              <w:t>)</w:t>
            </w:r>
          </w:p>
        </w:tc>
        <w:tc>
          <w:tcPr>
            <w:tcW w:w="1907" w:type="dxa"/>
            <w:shd w:val="clear" w:color="auto" w:fill="auto"/>
            <w:noWrap/>
            <w:vAlign w:val="center"/>
          </w:tcPr>
          <w:p w14:paraId="3AC8B13D"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7</w:t>
            </w:r>
          </w:p>
        </w:tc>
        <w:tc>
          <w:tcPr>
            <w:tcW w:w="3685" w:type="dxa"/>
            <w:shd w:val="clear" w:color="auto" w:fill="auto"/>
            <w:noWrap/>
            <w:vAlign w:val="center"/>
          </w:tcPr>
          <w:p w14:paraId="40443DD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c>
          <w:tcPr>
            <w:tcW w:w="1701" w:type="dxa"/>
            <w:vAlign w:val="center"/>
          </w:tcPr>
          <w:p w14:paraId="15042770"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7</w:t>
            </w:r>
          </w:p>
        </w:tc>
        <w:tc>
          <w:tcPr>
            <w:tcW w:w="4111" w:type="dxa"/>
            <w:vAlign w:val="center"/>
          </w:tcPr>
          <w:p w14:paraId="5B69A31E"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r>
      <w:tr w:rsidR="00431683" w:rsidRPr="00C644C2" w14:paraId="68F01FA9" w14:textId="77777777" w:rsidTr="00154697">
        <w:trPr>
          <w:trHeight w:val="78"/>
        </w:trPr>
        <w:tc>
          <w:tcPr>
            <w:tcW w:w="1560" w:type="dxa"/>
            <w:vMerge/>
            <w:shd w:val="clear" w:color="auto" w:fill="D9D9D9" w:themeFill="background1" w:themeFillShade="D9"/>
            <w:vAlign w:val="center"/>
          </w:tcPr>
          <w:p w14:paraId="63AE78C1" w14:textId="77777777" w:rsidR="00431683" w:rsidRPr="00C644C2" w:rsidRDefault="00431683" w:rsidP="006B306D">
            <w:pPr>
              <w:spacing w:after="0" w:line="240" w:lineRule="auto"/>
              <w:rPr>
                <w:rFonts w:eastAsia="Times New Roman" w:cstheme="minorHAnsi"/>
                <w:b/>
                <w:bCs/>
                <w:color w:val="000000"/>
                <w:sz w:val="20"/>
                <w:szCs w:val="20"/>
              </w:rPr>
            </w:pPr>
          </w:p>
        </w:tc>
        <w:tc>
          <w:tcPr>
            <w:tcW w:w="2913" w:type="dxa"/>
            <w:shd w:val="clear" w:color="auto" w:fill="auto"/>
            <w:vAlign w:val="bottom"/>
          </w:tcPr>
          <w:p w14:paraId="375B648C" w14:textId="77777777" w:rsidR="00431683" w:rsidRPr="00C644C2" w:rsidRDefault="00431683" w:rsidP="006B306D">
            <w:pPr>
              <w:spacing w:after="0" w:line="240" w:lineRule="auto"/>
              <w:rPr>
                <w:rFonts w:eastAsia="Times New Roman" w:cstheme="minorHAnsi"/>
                <w:color w:val="000000"/>
                <w:sz w:val="20"/>
                <w:szCs w:val="20"/>
              </w:rPr>
            </w:pPr>
            <w:r w:rsidRPr="00C644C2">
              <w:rPr>
                <w:rFonts w:eastAsia="Times New Roman" w:cstheme="minorHAnsi"/>
                <w:color w:val="000000"/>
                <w:sz w:val="20"/>
                <w:szCs w:val="20"/>
              </w:rPr>
              <w:t>Brain cell lysosomes</w:t>
            </w:r>
            <w:r w:rsidR="00334238" w:rsidRPr="00C644C2">
              <w:rPr>
                <w:rFonts w:eastAsia="Times New Roman" w:cstheme="minorHAnsi"/>
                <w:color w:val="000000"/>
                <w:sz w:val="20"/>
                <w:szCs w:val="20"/>
              </w:rPr>
              <w:t xml:space="preserve"> (</w:t>
            </w:r>
            <w:proofErr w:type="spellStart"/>
            <w:r w:rsidR="00334238" w:rsidRPr="00C644C2">
              <w:rPr>
                <w:rFonts w:eastAsia="Times New Roman" w:cstheme="minorHAnsi"/>
                <w:color w:val="000000"/>
                <w:sz w:val="20"/>
                <w:szCs w:val="20"/>
              </w:rPr>
              <w:t>pH</w:t>
            </w:r>
            <w:r w:rsidR="00334238" w:rsidRPr="00C644C2">
              <w:rPr>
                <w:rFonts w:eastAsia="Times New Roman" w:cstheme="minorHAnsi"/>
                <w:color w:val="000000"/>
                <w:sz w:val="20"/>
                <w:szCs w:val="20"/>
                <w:vertAlign w:val="subscript"/>
              </w:rPr>
              <w:t>LYS</w:t>
            </w:r>
            <w:proofErr w:type="spellEnd"/>
            <w:r w:rsidR="00334238" w:rsidRPr="00C644C2">
              <w:rPr>
                <w:rFonts w:eastAsia="Times New Roman" w:cstheme="minorHAnsi"/>
                <w:color w:val="000000"/>
                <w:sz w:val="20"/>
                <w:szCs w:val="20"/>
              </w:rPr>
              <w:t>)</w:t>
            </w:r>
          </w:p>
        </w:tc>
        <w:tc>
          <w:tcPr>
            <w:tcW w:w="1907" w:type="dxa"/>
            <w:shd w:val="clear" w:color="auto" w:fill="auto"/>
            <w:noWrap/>
            <w:vAlign w:val="center"/>
          </w:tcPr>
          <w:p w14:paraId="482D1FEE" w14:textId="77777777" w:rsidR="00431683" w:rsidRPr="00C644C2" w:rsidRDefault="00431683" w:rsidP="006B306D">
            <w:pPr>
              <w:spacing w:after="0" w:line="240" w:lineRule="auto"/>
              <w:jc w:val="center"/>
              <w:rPr>
                <w:rFonts w:eastAsia="Times New Roman" w:cstheme="minorHAnsi"/>
                <w:sz w:val="20"/>
                <w:szCs w:val="20"/>
              </w:rPr>
            </w:pPr>
            <w:r w:rsidRPr="00C644C2">
              <w:rPr>
                <w:rFonts w:eastAsia="Times New Roman" w:cstheme="minorHAnsi"/>
                <w:sz w:val="20"/>
                <w:szCs w:val="20"/>
              </w:rPr>
              <w:t>5</w:t>
            </w:r>
          </w:p>
        </w:tc>
        <w:tc>
          <w:tcPr>
            <w:tcW w:w="3685" w:type="dxa"/>
            <w:shd w:val="clear" w:color="auto" w:fill="auto"/>
            <w:noWrap/>
            <w:vAlign w:val="center"/>
          </w:tcPr>
          <w:p w14:paraId="062EDBD6"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c>
          <w:tcPr>
            <w:tcW w:w="1701" w:type="dxa"/>
            <w:vAlign w:val="center"/>
          </w:tcPr>
          <w:p w14:paraId="4EB44335"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sz w:val="20"/>
                <w:szCs w:val="20"/>
              </w:rPr>
              <w:t>5</w:t>
            </w:r>
          </w:p>
        </w:tc>
        <w:tc>
          <w:tcPr>
            <w:tcW w:w="4111" w:type="dxa"/>
            <w:vAlign w:val="center"/>
          </w:tcPr>
          <w:p w14:paraId="7483375F" w14:textId="77777777" w:rsidR="00431683" w:rsidRPr="00C644C2" w:rsidRDefault="00431683" w:rsidP="006B306D">
            <w:pPr>
              <w:spacing w:after="0" w:line="240" w:lineRule="auto"/>
              <w:jc w:val="center"/>
              <w:rPr>
                <w:rFonts w:eastAsia="Times New Roman" w:cstheme="minorHAnsi"/>
                <w:color w:val="000000"/>
                <w:sz w:val="20"/>
                <w:szCs w:val="20"/>
              </w:rPr>
            </w:pPr>
            <w:r w:rsidRPr="00C644C2">
              <w:rPr>
                <w:rFonts w:eastAsia="Times New Roman" w:cstheme="minorHAnsi"/>
                <w:color w:val="000000"/>
                <w:sz w:val="20"/>
                <w:szCs w:val="20"/>
              </w:rPr>
              <w:fldChar w:fldCharType="begin" w:fldLock="1"/>
            </w:r>
            <w:r w:rsidR="00AA6F5B" w:rsidRPr="00C644C2">
              <w:rPr>
                <w:rFonts w:eastAsia="Times New Roman" w:cstheme="minorHAnsi"/>
                <w:color w:val="000000"/>
                <w:sz w:val="20"/>
                <w:szCs w:val="20"/>
              </w:rPr>
              <w:instrText>ADDIN CSL_CITATION {"citationItems":[{"id":"ITEM-1","itemData":{"DOI":"10.1124/dmd.110.035998","ISSN":"1521-009X","abstract":"Currently used methodology for determining unbound drug exposure in brain combines measurement of the total drug concentration in the whole brain in vivo with estimation of brain tissue binding from one of two available in vitro methods: equilibrium dialysis of brain homogenate and the brain slice uptake method. This study of 56 compounds compares the fraction of unbound drug in brain (f(u,brain)), determined using the brain homogenate method, with the unbound volume of distribution in brain (V(u,brain)), determined using the brain slice method. Discrepancies were frequent and were primarily related to drug pH partitioning, attributable to the preservation of cellular structures in the slice that are absent in the homogenate. A mathematical model for pH partitioning into acidic intracellular compartments was derived to predict the slice V(u,brain) from measurements of f(u,brain) and drug pK(a). This model allowed prediction of V(u,brain) from f(u,brain) within a 2.2-fold error range for 95% of the drugs compared with a 4.5-fold error range using the brain homogenate f(u,brain) method alone. The greatest discrepancies between the methods occurred with compounds that are actively transported into brain cells, including gabapentin, metformin, and prototypic organic cation transporter substrates. It was concluded that intrabrain drug distribution is governed by several diverse mechanisms in addition to nonspecific binding and that the slice method is therefore more reliable than the homogenate method. As an alternative, predictions of V(u,brain) can be made from homogenate f(u,brain) using the pH partition model presented, although this model does not take into consideration possible active brain cell uptake.","author":[{"dropping-particle":"","family":"Fridén","given":"Markus","non-dropping-particle":"","parse-names":false,"suffix":""},{"dropping-particle":"","family":"Bergström","given":"Fredrik","non-dropping-particle":"","parse-names":false,"suffix":""},{"dropping-particle":"","family":"Wan","given":"Hong","non-dropping-particle":"","parse-names":false,"suffix":""},{"dropping-particle":"","family":"Rehngren","given":"Mikael","non-dropping-particle":"","parse-names":false,"suffix":""},{"dropping-particle":"","family":"Ahlin","given":"Gustav","non-dropping-particle":"","parse-names":false,"suffix":""},{"dropping-particle":"","family":"Hammarlund-Udenaes","given":"Margareta","non-dropping-particle":"","parse-names":false,"suffix":""},{"dropping-particle":"","family":"Bredberg","given":"Ulf","non-dropping-particle":"","parse-names":false,"suffix":""}],"container-title":"Drug Metabolism and Disposition: The Biological Fate of Chemicals","id":"ITEM-1","issue":"3","issued":{"date-parts":[["2011"]]},"language":"eng","page":"353-362","title":"Measurement of unbound drug exposure in brain: modeling of pH partitioning explains diverging results between the brain slice and brain homogenate methods","type":"article-journal","volume":"39"},"uris":["http://www.mendeley.com/documents/?uuid=40b9e818-b5bb-4ace-b081-4d1e49b192c7"]}],"mendeley":{"formattedCitation":"[91]","plainTextFormattedCitation":"[91]","previouslyFormattedCitation":"[91]"},"properties":{"noteIndex":0},"schema":"https://github.com/citation-style-language/schema/raw/master/csl-citation.json"}</w:instrText>
            </w:r>
            <w:r w:rsidRPr="00C644C2">
              <w:rPr>
                <w:rFonts w:eastAsia="Times New Roman" w:cstheme="minorHAnsi"/>
                <w:color w:val="000000"/>
                <w:sz w:val="20"/>
                <w:szCs w:val="20"/>
              </w:rPr>
              <w:fldChar w:fldCharType="separate"/>
            </w:r>
            <w:r w:rsidR="001344EA" w:rsidRPr="00C644C2">
              <w:rPr>
                <w:rFonts w:eastAsia="Times New Roman" w:cstheme="minorHAnsi"/>
                <w:noProof/>
                <w:color w:val="000000"/>
                <w:sz w:val="20"/>
                <w:szCs w:val="20"/>
              </w:rPr>
              <w:t>[91]</w:t>
            </w:r>
            <w:r w:rsidRPr="00C644C2">
              <w:rPr>
                <w:rFonts w:eastAsia="Times New Roman" w:cstheme="minorHAnsi"/>
                <w:color w:val="000000"/>
                <w:sz w:val="20"/>
                <w:szCs w:val="20"/>
              </w:rPr>
              <w:fldChar w:fldCharType="end"/>
            </w:r>
          </w:p>
        </w:tc>
      </w:tr>
    </w:tbl>
    <w:p w14:paraId="5EFB82D0" w14:textId="77777777" w:rsidR="00154697" w:rsidRPr="00691E3C" w:rsidRDefault="00154697">
      <w:pPr>
        <w:rPr>
          <w:rFonts w:cstheme="minorHAnsi"/>
          <w:sz w:val="20"/>
          <w:szCs w:val="20"/>
        </w:rPr>
        <w:sectPr w:rsidR="00154697" w:rsidRPr="00691E3C" w:rsidSect="00154697">
          <w:footnotePr>
            <w:numFmt w:val="lowerLetter"/>
          </w:footnotePr>
          <w:pgSz w:w="16838" w:h="11906" w:orient="landscape"/>
          <w:pgMar w:top="1418" w:right="1418" w:bottom="1418" w:left="1418" w:header="709" w:footer="709" w:gutter="0"/>
          <w:cols w:space="708"/>
          <w:docGrid w:linePitch="360"/>
        </w:sectPr>
      </w:pPr>
    </w:p>
    <w:p w14:paraId="71D65F65" w14:textId="77777777" w:rsidR="000B2139" w:rsidRPr="00691E3C" w:rsidRDefault="000B2139">
      <w:pPr>
        <w:rPr>
          <w:rFonts w:cstheme="minorHAnsi"/>
          <w:b/>
          <w:sz w:val="20"/>
          <w:szCs w:val="20"/>
        </w:rPr>
      </w:pPr>
      <w:r w:rsidRPr="00691E3C">
        <w:rPr>
          <w:rFonts w:cstheme="minorHAnsi"/>
          <w:b/>
          <w:sz w:val="20"/>
          <w:szCs w:val="20"/>
        </w:rPr>
        <w:lastRenderedPageBreak/>
        <w:t>Supplementary equations</w:t>
      </w:r>
    </w:p>
    <w:p w14:paraId="2426FF23" w14:textId="33CBBF3E" w:rsidR="00277F90" w:rsidRPr="00691E3C" w:rsidRDefault="00277F90">
      <w:pPr>
        <w:rPr>
          <w:rFonts w:cstheme="minorHAnsi"/>
          <w:sz w:val="20"/>
          <w:szCs w:val="20"/>
        </w:rPr>
      </w:pPr>
      <w:r w:rsidRPr="00691E3C">
        <w:rPr>
          <w:rFonts w:cstheme="minorHAnsi"/>
          <w:sz w:val="20"/>
          <w:szCs w:val="20"/>
        </w:rPr>
        <w:t>Paracellular clearance across the blood-brain (BBB) and blood-cerebrospinal fluid (BCSFB) barriers (</w:t>
      </w:r>
      <w:proofErr w:type="spellStart"/>
      <w:r w:rsidRPr="00691E3C">
        <w:rPr>
          <w:rFonts w:cstheme="minorHAnsi"/>
          <w:sz w:val="20"/>
          <w:szCs w:val="20"/>
        </w:rPr>
        <w:t>Qp</w:t>
      </w:r>
      <w:r w:rsidRPr="00691E3C">
        <w:rPr>
          <w:rFonts w:cstheme="minorHAnsi"/>
          <w:sz w:val="20"/>
          <w:szCs w:val="20"/>
          <w:vertAlign w:val="subscript"/>
        </w:rPr>
        <w:t>BBB</w:t>
      </w:r>
      <w:proofErr w:type="spellEnd"/>
      <w:r w:rsidRPr="00691E3C">
        <w:rPr>
          <w:rFonts w:cstheme="minorHAnsi"/>
          <w:sz w:val="20"/>
          <w:szCs w:val="20"/>
          <w:vertAlign w:val="subscript"/>
        </w:rPr>
        <w:t>/BCSFB</w:t>
      </w:r>
      <w:r w:rsidRPr="00691E3C">
        <w:rPr>
          <w:rFonts w:cstheme="minorHAnsi"/>
          <w:sz w:val="20"/>
          <w:szCs w:val="20"/>
        </w:rPr>
        <w:t>) was calculated using aqueous diffusivity of the drug (</w:t>
      </w:r>
      <w:proofErr w:type="spellStart"/>
      <w:r w:rsidRPr="00691E3C">
        <w:rPr>
          <w:rFonts w:cstheme="minorHAnsi"/>
          <w:sz w:val="20"/>
          <w:szCs w:val="20"/>
        </w:rPr>
        <w:t>Daq</w:t>
      </w:r>
      <w:proofErr w:type="spellEnd"/>
      <w:r w:rsidRPr="00691E3C">
        <w:rPr>
          <w:rFonts w:cstheme="minorHAnsi"/>
          <w:sz w:val="20"/>
          <w:szCs w:val="20"/>
        </w:rPr>
        <w:t>, cm</w:t>
      </w:r>
      <w:r w:rsidRPr="00691E3C">
        <w:rPr>
          <w:rFonts w:cstheme="minorHAnsi"/>
          <w:sz w:val="20"/>
          <w:szCs w:val="20"/>
          <w:vertAlign w:val="superscript"/>
        </w:rPr>
        <w:t>2</w:t>
      </w:r>
      <w:r w:rsidRPr="00691E3C">
        <w:rPr>
          <w:rFonts w:cstheme="minorHAnsi"/>
          <w:sz w:val="20"/>
          <w:szCs w:val="20"/>
        </w:rPr>
        <w:t xml:space="preserve">/sec), </w:t>
      </w:r>
      <w:r w:rsidR="004F1EC0" w:rsidRPr="00691E3C">
        <w:rPr>
          <w:rFonts w:cstheme="minorHAnsi"/>
          <w:sz w:val="20"/>
          <w:szCs w:val="20"/>
        </w:rPr>
        <w:t>t</w:t>
      </w:r>
      <w:r w:rsidRPr="00691E3C">
        <w:rPr>
          <w:rFonts w:cstheme="minorHAnsi"/>
          <w:sz w:val="20"/>
          <w:szCs w:val="20"/>
        </w:rPr>
        <w:t>he molecular weight of the drug (</w:t>
      </w:r>
      <w:r w:rsidR="004F1EC0" w:rsidRPr="00691E3C">
        <w:rPr>
          <w:rFonts w:cstheme="minorHAnsi"/>
          <w:sz w:val="20"/>
          <w:szCs w:val="20"/>
        </w:rPr>
        <w:t xml:space="preserve">MW, </w:t>
      </w:r>
      <w:r w:rsidRPr="00691E3C">
        <w:rPr>
          <w:rFonts w:cstheme="minorHAnsi"/>
          <w:sz w:val="20"/>
          <w:szCs w:val="20"/>
        </w:rPr>
        <w:t>in g/mol), diffusion width across BBB/BCSFB (</w:t>
      </w:r>
      <w:proofErr w:type="spellStart"/>
      <w:r w:rsidRPr="00691E3C">
        <w:rPr>
          <w:rFonts w:cstheme="minorHAnsi"/>
          <w:sz w:val="20"/>
          <w:szCs w:val="20"/>
        </w:rPr>
        <w:t>width</w:t>
      </w:r>
      <w:r w:rsidRPr="00691E3C">
        <w:rPr>
          <w:rFonts w:cstheme="minorHAnsi"/>
          <w:sz w:val="20"/>
          <w:szCs w:val="20"/>
          <w:vertAlign w:val="subscript"/>
        </w:rPr>
        <w:t>BBB</w:t>
      </w:r>
      <w:proofErr w:type="spellEnd"/>
      <w:r w:rsidRPr="00691E3C">
        <w:rPr>
          <w:rFonts w:cstheme="minorHAnsi"/>
          <w:sz w:val="20"/>
          <w:szCs w:val="20"/>
          <w:vertAlign w:val="subscript"/>
        </w:rPr>
        <w:t>/BCSFB</w:t>
      </w:r>
      <w:r w:rsidRPr="00691E3C">
        <w:rPr>
          <w:rFonts w:cstheme="minorHAnsi"/>
          <w:sz w:val="20"/>
          <w:szCs w:val="20"/>
        </w:rPr>
        <w:t>), and surface areas (</w:t>
      </w:r>
      <w:proofErr w:type="spellStart"/>
      <w:r w:rsidRPr="00691E3C">
        <w:rPr>
          <w:rFonts w:cstheme="minorHAnsi"/>
          <w:sz w:val="20"/>
          <w:szCs w:val="20"/>
        </w:rPr>
        <w:t>SAp</w:t>
      </w:r>
      <w:r w:rsidRPr="00691E3C">
        <w:rPr>
          <w:rFonts w:cstheme="minorHAnsi"/>
          <w:sz w:val="20"/>
          <w:szCs w:val="20"/>
          <w:vertAlign w:val="subscript"/>
        </w:rPr>
        <w:t>BBB</w:t>
      </w:r>
      <w:proofErr w:type="spellEnd"/>
      <w:r w:rsidRPr="00691E3C">
        <w:rPr>
          <w:rFonts w:cstheme="minorHAnsi"/>
          <w:sz w:val="20"/>
          <w:szCs w:val="20"/>
          <w:vertAlign w:val="subscript"/>
        </w:rPr>
        <w:t>/BCSFB</w:t>
      </w:r>
      <w:r w:rsidRPr="00691E3C">
        <w:rPr>
          <w:rFonts w:cstheme="minorHAnsi"/>
          <w:sz w:val="20"/>
          <w:szCs w:val="20"/>
        </w:rPr>
        <w:t xml:space="preserve"> ) of BBB and BCSFB. BBB and BCSFB surface areas were corrected with effective surface area factors for BBB and BCSFB (Supplementary table 2) to account for surface area dedicated for paracellular transport.</w:t>
      </w:r>
    </w:p>
    <w:p w14:paraId="07169711" w14:textId="6057BCF9" w:rsidR="00650780" w:rsidRPr="00876A22" w:rsidRDefault="00277F90" w:rsidP="00A24231">
      <w:pPr>
        <w:rPr>
          <w:rFonts w:eastAsiaTheme="minorEastAsia" w:cstheme="minorHAnsi"/>
          <w:sz w:val="20"/>
          <w:szCs w:val="20"/>
        </w:rPr>
      </w:pPr>
      <m:oMathPara>
        <m:oMath>
          <m:r>
            <w:rPr>
              <w:rFonts w:ascii="Cambria Math" w:hAnsi="Cambria Math" w:cstheme="minorHAnsi"/>
              <w:sz w:val="20"/>
              <w:szCs w:val="20"/>
            </w:rPr>
            <m:t>Daq</m:t>
          </m:r>
          <m:r>
            <m:rPr>
              <m:sty m:val="p"/>
            </m:rPr>
            <w:rPr>
              <w:rFonts w:ascii="Cambria Math" w:hAnsi="Cambria Math" w:cstheme="minorHAnsi"/>
              <w:sz w:val="20"/>
              <w:szCs w:val="20"/>
            </w:rPr>
            <m:t>= -4.113-0.4609*logMW</m:t>
          </m:r>
        </m:oMath>
      </m:oMathPara>
    </w:p>
    <w:p w14:paraId="03FFF557" w14:textId="77777777" w:rsidR="00876A22" w:rsidRPr="00C644C2" w:rsidRDefault="00E36CF2" w:rsidP="00876A22">
      <w:pPr>
        <w:jc w:val="center"/>
        <w:rPr>
          <w:rFonts w:eastAsiaTheme="minorEastAsia"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Qp</m:t>
              </m:r>
            </m:e>
            <m:sub>
              <m:r>
                <w:rPr>
                  <w:rFonts w:ascii="Cambria Math" w:hAnsi="Cambria Math" w:cstheme="minorHAnsi"/>
                  <w:sz w:val="20"/>
                  <w:szCs w:val="20"/>
                </w:rPr>
                <m:t>BBB/BCSFB</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Daq</m:t>
              </m:r>
            </m:num>
            <m:den>
              <m:sSub>
                <m:sSubPr>
                  <m:ctrlPr>
                    <w:rPr>
                      <w:rFonts w:ascii="Cambria Math" w:hAnsi="Cambria Math" w:cstheme="minorHAnsi"/>
                      <w:sz w:val="20"/>
                      <w:szCs w:val="20"/>
                    </w:rPr>
                  </m:ctrlPr>
                </m:sSubPr>
                <m:e>
                  <m:r>
                    <w:rPr>
                      <w:rFonts w:ascii="Cambria Math" w:hAnsi="Cambria Math" w:cstheme="minorHAnsi"/>
                      <w:sz w:val="20"/>
                      <w:szCs w:val="20"/>
                    </w:rPr>
                    <m:t>width</m:t>
                  </m:r>
                </m:e>
                <m:sub>
                  <m:r>
                    <w:rPr>
                      <w:rFonts w:ascii="Cambria Math" w:hAnsi="Cambria Math" w:cstheme="minorHAnsi"/>
                      <w:sz w:val="20"/>
                      <w:szCs w:val="20"/>
                    </w:rPr>
                    <m:t>BBB/BCSFB</m:t>
                  </m:r>
                </m:sub>
              </m:sSub>
            </m:den>
          </m:f>
          <m:r>
            <w:rPr>
              <w:rFonts w:ascii="Cambria Math" w:hAnsi="Cambria Math" w:cstheme="minorHAnsi"/>
              <w:sz w:val="20"/>
              <w:szCs w:val="20"/>
            </w:rPr>
            <m:t>*</m:t>
          </m:r>
          <m:sSub>
            <m:sSubPr>
              <m:ctrlPr>
                <w:rPr>
                  <w:rFonts w:ascii="Cambria Math" w:hAnsi="Cambria Math" w:cstheme="minorHAnsi"/>
                  <w:i/>
                  <w:sz w:val="20"/>
                  <w:szCs w:val="20"/>
                </w:rPr>
              </m:ctrlPr>
            </m:sSubPr>
            <m:e>
              <m:r>
                <w:rPr>
                  <w:rFonts w:ascii="Cambria Math" w:hAnsi="Cambria Math" w:cstheme="minorHAnsi"/>
                  <w:sz w:val="20"/>
                  <w:szCs w:val="20"/>
                </w:rPr>
                <m:t>SAp</m:t>
              </m:r>
            </m:e>
            <m:sub>
              <m:r>
                <w:rPr>
                  <w:rFonts w:ascii="Cambria Math" w:hAnsi="Cambria Math" w:cstheme="minorHAnsi"/>
                  <w:sz w:val="20"/>
                  <w:szCs w:val="20"/>
                </w:rPr>
                <m:t>BBB/BCSFB</m:t>
              </m:r>
            </m:sub>
          </m:sSub>
        </m:oMath>
      </m:oMathPara>
    </w:p>
    <w:p w14:paraId="0D73C6A0" w14:textId="77777777" w:rsidR="00876A22" w:rsidRPr="00C644C2" w:rsidRDefault="00876A22" w:rsidP="00876A22">
      <w:pPr>
        <w:rPr>
          <w:rFonts w:cstheme="minorHAnsi"/>
          <w:sz w:val="20"/>
          <w:szCs w:val="20"/>
        </w:rPr>
      </w:pPr>
    </w:p>
    <w:p w14:paraId="2D97AE8F" w14:textId="77777777" w:rsidR="00876A22" w:rsidRPr="00C644C2" w:rsidRDefault="00876A22" w:rsidP="00876A22">
      <w:pPr>
        <w:rPr>
          <w:rFonts w:cstheme="minorHAnsi"/>
          <w:sz w:val="20"/>
          <w:szCs w:val="20"/>
        </w:rPr>
      </w:pPr>
      <w:r w:rsidRPr="00C644C2">
        <w:rPr>
          <w:rFonts w:cstheme="minorHAnsi"/>
          <w:sz w:val="20"/>
          <w:szCs w:val="20"/>
        </w:rPr>
        <w:t>Transcellular clearance across the blood-brain (BBB) and blood-cerebrospinal fluid (BCSFB) barriers (</w:t>
      </w:r>
      <w:proofErr w:type="spellStart"/>
      <w:r w:rsidRPr="00C644C2">
        <w:rPr>
          <w:rFonts w:cstheme="minorHAnsi"/>
          <w:sz w:val="20"/>
          <w:szCs w:val="20"/>
        </w:rPr>
        <w:t>Qt</w:t>
      </w:r>
      <w:r w:rsidRPr="00C644C2">
        <w:rPr>
          <w:rFonts w:cstheme="minorHAnsi"/>
          <w:sz w:val="20"/>
          <w:szCs w:val="20"/>
          <w:vertAlign w:val="subscript"/>
        </w:rPr>
        <w:t>BBB</w:t>
      </w:r>
      <w:proofErr w:type="spellEnd"/>
      <w:r w:rsidRPr="00C644C2">
        <w:rPr>
          <w:rFonts w:cstheme="minorHAnsi"/>
          <w:sz w:val="20"/>
          <w:szCs w:val="20"/>
          <w:vertAlign w:val="subscript"/>
        </w:rPr>
        <w:t>/BCSFB</w:t>
      </w:r>
      <w:r w:rsidRPr="00C644C2">
        <w:rPr>
          <w:rFonts w:cstheme="minorHAnsi"/>
          <w:sz w:val="20"/>
          <w:szCs w:val="20"/>
        </w:rPr>
        <w:t>) was calculated based on transmembrane permeability of the drug (P</w:t>
      </w:r>
      <w:r w:rsidRPr="00C644C2">
        <w:rPr>
          <w:rFonts w:cstheme="minorHAnsi"/>
          <w:sz w:val="20"/>
          <w:szCs w:val="20"/>
          <w:vertAlign w:val="subscript"/>
        </w:rPr>
        <w:t>0</w:t>
      </w:r>
      <w:r w:rsidRPr="00C644C2">
        <w:rPr>
          <w:rFonts w:cstheme="minorHAnsi"/>
          <w:sz w:val="20"/>
          <w:szCs w:val="20"/>
          <w:vertAlign w:val="superscript"/>
        </w:rPr>
        <w:t>transcellular</w:t>
      </w:r>
      <w:r w:rsidRPr="00C644C2">
        <w:rPr>
          <w:rFonts w:cstheme="minorHAnsi"/>
          <w:sz w:val="20"/>
          <w:szCs w:val="20"/>
        </w:rPr>
        <w:t>, cm/sec), octanol-water partition coefficient (</w:t>
      </w:r>
      <w:proofErr w:type="spellStart"/>
      <w:r w:rsidRPr="00C644C2">
        <w:rPr>
          <w:rFonts w:cstheme="minorHAnsi"/>
          <w:sz w:val="20"/>
          <w:szCs w:val="20"/>
        </w:rPr>
        <w:t>logP</w:t>
      </w:r>
      <w:proofErr w:type="spellEnd"/>
      <w:r w:rsidRPr="00C644C2">
        <w:rPr>
          <w:rFonts w:cstheme="minorHAnsi"/>
          <w:sz w:val="20"/>
          <w:szCs w:val="20"/>
        </w:rPr>
        <w:t>), and surface areas (</w:t>
      </w:r>
      <w:proofErr w:type="spellStart"/>
      <w:r w:rsidRPr="00C644C2">
        <w:rPr>
          <w:rFonts w:cstheme="minorHAnsi"/>
          <w:sz w:val="20"/>
          <w:szCs w:val="20"/>
        </w:rPr>
        <w:t>SAt</w:t>
      </w:r>
      <w:r w:rsidRPr="00C644C2">
        <w:rPr>
          <w:rFonts w:cstheme="minorHAnsi"/>
          <w:sz w:val="20"/>
          <w:szCs w:val="20"/>
          <w:vertAlign w:val="subscript"/>
        </w:rPr>
        <w:t>BBB</w:t>
      </w:r>
      <w:proofErr w:type="spellEnd"/>
      <w:r w:rsidRPr="00C644C2">
        <w:rPr>
          <w:rFonts w:cstheme="minorHAnsi"/>
          <w:sz w:val="20"/>
          <w:szCs w:val="20"/>
          <w:vertAlign w:val="subscript"/>
        </w:rPr>
        <w:t>/BCSFB</w:t>
      </w:r>
      <w:r w:rsidRPr="00C644C2">
        <w:rPr>
          <w:rFonts w:cstheme="minorHAnsi"/>
          <w:sz w:val="20"/>
          <w:szCs w:val="20"/>
        </w:rPr>
        <w:t xml:space="preserve"> ) of BBB and BCSFB. BBB and BCSFB surface areas were corrected with effective surface area factors for BBB and BCSFB (Supplementary table 2) to account for surface area dedicated for transcellular transport only.</w:t>
      </w:r>
      <m:oMath>
        <m:sSubSup>
          <m:sSubSupPr>
            <m:ctrlPr>
              <w:rPr>
                <w:rFonts w:ascii="Cambria Math" w:hAnsi="Cambria Math" w:cstheme="minorHAnsi"/>
                <w:i/>
                <w:sz w:val="20"/>
                <w:szCs w:val="20"/>
              </w:rPr>
            </m:ctrlPr>
          </m:sSubSupPr>
          <m:e>
            <m:r>
              <w:rPr>
                <w:rFonts w:ascii="Cambria Math" w:hAnsi="Cambria Math" w:cstheme="minorHAnsi"/>
                <w:sz w:val="20"/>
                <w:szCs w:val="20"/>
              </w:rPr>
              <m:t>logP</m:t>
            </m:r>
          </m:e>
          <m:sub>
            <m:r>
              <w:rPr>
                <w:rFonts w:ascii="Cambria Math" w:hAnsi="Cambria Math" w:cstheme="minorHAnsi"/>
                <w:sz w:val="20"/>
                <w:szCs w:val="20"/>
              </w:rPr>
              <m:t>0</m:t>
            </m:r>
          </m:sub>
          <m:sup>
            <m:r>
              <w:rPr>
                <w:rFonts w:ascii="Cambria Math" w:hAnsi="Cambria Math" w:cstheme="minorHAnsi"/>
                <w:sz w:val="20"/>
                <w:szCs w:val="20"/>
              </w:rPr>
              <m:t>transcellular</m:t>
            </m:r>
          </m:sup>
        </m:sSubSup>
        <m:r>
          <m:rPr>
            <m:sty m:val="p"/>
          </m:rPr>
          <w:rPr>
            <w:rFonts w:ascii="Cambria Math" w:hAnsi="Cambria Math" w:cstheme="minorHAnsi"/>
            <w:sz w:val="20"/>
            <w:szCs w:val="20"/>
          </w:rPr>
          <m:t>= 0.939*logP-6.21</m:t>
        </m:r>
      </m:oMath>
    </w:p>
    <w:p w14:paraId="2F1073E6" w14:textId="77777777" w:rsidR="00876A22" w:rsidRPr="00C644C2" w:rsidRDefault="00E36CF2" w:rsidP="00876A22">
      <w:pPr>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Qt</m:t>
              </m:r>
            </m:e>
            <m:sub>
              <m:r>
                <w:rPr>
                  <w:rFonts w:ascii="Cambria Math" w:hAnsi="Cambria Math" w:cstheme="minorHAnsi"/>
                  <w:sz w:val="20"/>
                  <w:szCs w:val="20"/>
                </w:rPr>
                <m:t>BBB/BCSFB</m:t>
              </m:r>
            </m:sub>
          </m:sSub>
          <m:r>
            <m:rPr>
              <m:sty m:val="p"/>
            </m:rPr>
            <w:rPr>
              <w:rFonts w:ascii="Cambria Math" w:hAnsi="Cambria Math" w:cstheme="minorHAnsi"/>
              <w:sz w:val="20"/>
              <w:szCs w:val="20"/>
            </w:rPr>
            <m:t xml:space="preserve">= 0.5* </m:t>
          </m:r>
          <m:sSubSup>
            <m:sSubSupPr>
              <m:ctrlPr>
                <w:rPr>
                  <w:rFonts w:ascii="Cambria Math" w:hAnsi="Cambria Math" w:cstheme="minorHAnsi"/>
                  <w:i/>
                  <w:sz w:val="20"/>
                  <w:szCs w:val="20"/>
                </w:rPr>
              </m:ctrlPr>
            </m:sSubSupPr>
            <m:e>
              <m:r>
                <w:rPr>
                  <w:rFonts w:ascii="Cambria Math" w:hAnsi="Cambria Math" w:cstheme="minorHAnsi"/>
                  <w:sz w:val="20"/>
                  <w:szCs w:val="20"/>
                </w:rPr>
                <m:t>P</m:t>
              </m:r>
            </m:e>
            <m:sub>
              <m:r>
                <w:rPr>
                  <w:rFonts w:ascii="Cambria Math" w:hAnsi="Cambria Math" w:cstheme="minorHAnsi"/>
                  <w:sz w:val="20"/>
                  <w:szCs w:val="20"/>
                </w:rPr>
                <m:t>0</m:t>
              </m:r>
            </m:sub>
            <m:sup>
              <m:r>
                <w:rPr>
                  <w:rFonts w:ascii="Cambria Math" w:hAnsi="Cambria Math" w:cstheme="minorHAnsi"/>
                  <w:sz w:val="20"/>
                  <w:szCs w:val="20"/>
                </w:rPr>
                <m:t>transcellular</m:t>
              </m:r>
            </m:sup>
          </m:sSubSup>
          <m:r>
            <w:rPr>
              <w:rFonts w:ascii="Cambria Math" w:hAnsi="Cambria Math" w:cstheme="minorHAnsi"/>
              <w:sz w:val="20"/>
              <w:szCs w:val="20"/>
            </w:rPr>
            <m:t>*</m:t>
          </m:r>
          <m:sSub>
            <m:sSubPr>
              <m:ctrlPr>
                <w:rPr>
                  <w:rFonts w:ascii="Cambria Math" w:hAnsi="Cambria Math" w:cstheme="minorHAnsi"/>
                  <w:i/>
                  <w:sz w:val="20"/>
                  <w:szCs w:val="20"/>
                </w:rPr>
              </m:ctrlPr>
            </m:sSubPr>
            <m:e>
              <m:r>
                <w:rPr>
                  <w:rFonts w:ascii="Cambria Math" w:hAnsi="Cambria Math" w:cstheme="minorHAnsi"/>
                  <w:sz w:val="20"/>
                  <w:szCs w:val="20"/>
                </w:rPr>
                <m:t>SAt</m:t>
              </m:r>
            </m:e>
            <m:sub>
              <m:r>
                <w:rPr>
                  <w:rFonts w:ascii="Cambria Math" w:hAnsi="Cambria Math" w:cstheme="minorHAnsi"/>
                  <w:sz w:val="20"/>
                  <w:szCs w:val="20"/>
                </w:rPr>
                <m:t>BBB/BCSFB</m:t>
              </m:r>
            </m:sub>
          </m:sSub>
        </m:oMath>
      </m:oMathPara>
    </w:p>
    <w:p w14:paraId="168192C2" w14:textId="77777777" w:rsidR="00876A22" w:rsidRDefault="00876A22">
      <w:pPr>
        <w:rPr>
          <w:rFonts w:cstheme="minorHAnsi"/>
          <w:sz w:val="20"/>
          <w:szCs w:val="20"/>
        </w:rPr>
      </w:pPr>
      <w:r>
        <w:rPr>
          <w:rFonts w:cstheme="minorHAnsi"/>
          <w:sz w:val="20"/>
          <w:szCs w:val="20"/>
        </w:rPr>
        <w:br w:type="page"/>
      </w:r>
    </w:p>
    <w:p w14:paraId="0D84AAF3" w14:textId="6CEB35F3" w:rsidR="00A24231" w:rsidRPr="00C644C2" w:rsidRDefault="007D3829">
      <w:pPr>
        <w:rPr>
          <w:rFonts w:cstheme="minorHAnsi"/>
          <w:sz w:val="20"/>
          <w:szCs w:val="20"/>
        </w:rPr>
      </w:pPr>
      <w:r w:rsidRPr="00C644C2">
        <w:rPr>
          <w:rFonts w:cstheme="minorHAnsi"/>
          <w:sz w:val="20"/>
          <w:szCs w:val="20"/>
        </w:rPr>
        <w:lastRenderedPageBreak/>
        <w:t>Equation calculating the influx and efflux asymmetry factors at the BBB and BCSFB:</w:t>
      </w:r>
    </w:p>
    <w:p w14:paraId="359EF795" w14:textId="77777777" w:rsidR="000B2139" w:rsidRPr="00C644C2" w:rsidRDefault="00E36CF2" w:rsidP="000B2139">
      <w:pPr>
        <w:spacing w:line="480" w:lineRule="auto"/>
        <w:rPr>
          <w:rFonts w:cstheme="minorHAnsi"/>
          <w:sz w:val="16"/>
          <w:szCs w:val="20"/>
        </w:r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BBB, in</m:t>
              </m:r>
            </m:sub>
          </m:sSub>
          <m:r>
            <m:rPr>
              <m:sty m:val="p"/>
            </m:rPr>
            <w:rPr>
              <w:rFonts w:ascii="Cambria Math" w:hAnsi="Cambria Math" w:cstheme="minorHAnsi"/>
              <w:sz w:val="16"/>
              <w:szCs w:val="20"/>
            </w:rPr>
            <m:t>=-</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BBB, ef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w:rPr>
                  <w:rFonts w:ascii="Cambria Math" w:hAnsi="Cambria Math" w:cstheme="minorHAnsi"/>
                  <w:sz w:val="16"/>
                  <w:szCs w:val="20"/>
                </w:rPr>
                <m:t>)</m:t>
              </m:r>
            </m:den>
          </m:f>
        </m:oMath>
      </m:oMathPara>
    </w:p>
    <w:p w14:paraId="2E8CD7A9" w14:textId="77777777" w:rsidR="000B2139" w:rsidRPr="00C644C2" w:rsidRDefault="000B2139" w:rsidP="000B2139">
      <w:pPr>
        <w:spacing w:line="480" w:lineRule="auto"/>
        <w:rPr>
          <w:rFonts w:cstheme="minorHAnsi"/>
          <w:sz w:val="16"/>
          <w:szCs w:val="20"/>
        </w:rPr>
      </w:pPr>
      <w:r w:rsidRPr="00C644C2">
        <w:rPr>
          <w:rFonts w:cstheme="minorHAnsi"/>
          <w:sz w:val="16"/>
          <w:szCs w:val="20"/>
        </w:rPr>
        <w:t xml:space="preserve">                 </w:t>
      </w:r>
    </w:p>
    <w:p w14:paraId="6C3A41A3" w14:textId="77777777" w:rsidR="000B2139" w:rsidRPr="00C644C2" w:rsidRDefault="00E36CF2" w:rsidP="000B2139">
      <w:pPr>
        <w:spacing w:line="480" w:lineRule="auto"/>
        <w:rPr>
          <w:rFonts w:eastAsiaTheme="minorEastAsia" w:cstheme="minorHAnsi"/>
          <w:sz w:val="16"/>
          <w:szCs w:val="20"/>
        </w:r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BBB, ef</m:t>
              </m:r>
            </m:sub>
          </m:sSub>
          <m:r>
            <m:rPr>
              <m:sty m:val="p"/>
            </m:rPr>
            <w:rPr>
              <w:rFonts w:ascii="Cambria Math" w:hAnsi="Cambria Math" w:cstheme="minorHAnsi"/>
              <w:sz w:val="16"/>
              <w:szCs w:val="20"/>
            </w:rPr>
            <m:t>=-</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BBB,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BBB,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BBB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BBB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den>
          </m:f>
        </m:oMath>
      </m:oMathPara>
    </w:p>
    <w:p w14:paraId="11F502DA" w14:textId="77777777" w:rsidR="000B2139" w:rsidRPr="00C644C2" w:rsidRDefault="000B2139" w:rsidP="000B2139">
      <w:pPr>
        <w:spacing w:line="480" w:lineRule="auto"/>
        <w:rPr>
          <w:rFonts w:eastAsiaTheme="minorEastAsia" w:cstheme="minorHAnsi"/>
          <w:sz w:val="16"/>
          <w:szCs w:val="20"/>
        </w:rPr>
      </w:pPr>
    </w:p>
    <w:p w14:paraId="7F7B29C0" w14:textId="77777777" w:rsidR="000B2139" w:rsidRPr="00C644C2" w:rsidRDefault="00E36CF2" w:rsidP="000B2139">
      <w:pPr>
        <w:spacing w:line="480" w:lineRule="auto"/>
        <w:rPr>
          <w:rFonts w:cstheme="minorHAnsi"/>
          <w:sz w:val="16"/>
          <w:szCs w:val="20"/>
        </w:r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LV, in</m:t>
              </m:r>
            </m:sub>
          </m:sSub>
          <m:r>
            <m:rPr>
              <m:sty m:val="p"/>
            </m:rPr>
            <w:rPr>
              <w:rFonts w:ascii="Cambria Math" w:hAnsi="Cambria Math" w:cstheme="minorHAnsi"/>
              <w:sz w:val="16"/>
              <w:szCs w:val="20"/>
            </w:rPr>
            <m:t xml:space="preserve"> =</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LV, ef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w:rPr>
                  <w:rFonts w:ascii="Cambria Math" w:hAnsi="Cambria Math" w:cstheme="minorHAnsi"/>
                  <w:sz w:val="16"/>
                  <w:szCs w:val="20"/>
                </w:rPr>
                <m:t>)</m:t>
              </m:r>
            </m:den>
          </m:f>
        </m:oMath>
      </m:oMathPara>
    </w:p>
    <w:p w14:paraId="32FDB2AC" w14:textId="77777777" w:rsidR="000B2139" w:rsidRPr="00C644C2" w:rsidRDefault="000B2139" w:rsidP="000B2139">
      <w:pPr>
        <w:spacing w:line="480" w:lineRule="auto"/>
        <w:rPr>
          <w:rFonts w:cstheme="minorHAnsi"/>
          <w:sz w:val="16"/>
          <w:szCs w:val="20"/>
        </w:rPr>
      </w:pPr>
    </w:p>
    <w:p w14:paraId="49BC3724" w14:textId="77777777" w:rsidR="000B2139" w:rsidRPr="00C644C2" w:rsidRDefault="00E36CF2" w:rsidP="000B2139">
      <w:pPr>
        <w:spacing w:line="480" w:lineRule="auto"/>
        <w:rPr>
          <w:rFonts w:cstheme="minorHAnsi"/>
          <w:sz w:val="16"/>
          <w:szCs w:val="20"/>
        </w:r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LV, ef</m:t>
              </m:r>
            </m:sub>
          </m:sSub>
          <m:r>
            <m:rPr>
              <m:sty m:val="p"/>
            </m:rPr>
            <w:rPr>
              <w:rFonts w:ascii="Cambria Math" w:hAnsi="Cambria Math" w:cstheme="minorHAnsi"/>
              <w:sz w:val="16"/>
              <w:szCs w:val="20"/>
            </w:rPr>
            <m:t xml:space="preserve"> =</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ECF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LV,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LV,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den>
          </m:f>
        </m:oMath>
      </m:oMathPara>
    </w:p>
    <w:p w14:paraId="549C44EE" w14:textId="77777777" w:rsidR="000B2139" w:rsidRPr="00C644C2" w:rsidRDefault="000B2139" w:rsidP="000B2139">
      <w:pPr>
        <w:spacing w:line="480" w:lineRule="auto"/>
        <w:rPr>
          <w:rFonts w:cstheme="minorHAnsi"/>
          <w:sz w:val="16"/>
          <w:szCs w:val="20"/>
        </w:rPr>
      </w:pPr>
    </w:p>
    <w:p w14:paraId="0A0D4B09" w14:textId="77777777" w:rsidR="000B2139" w:rsidRPr="00C644C2" w:rsidRDefault="00E36CF2" w:rsidP="000B2139">
      <w:pPr>
        <w:spacing w:line="480" w:lineRule="auto"/>
        <w:rPr>
          <w:rFonts w:cstheme="minorHAnsi"/>
          <w:sz w:val="16"/>
          <w:szCs w:val="20"/>
        </w:r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TFV, in</m:t>
              </m:r>
            </m:sub>
          </m:sSub>
          <m:r>
            <m:rPr>
              <m:sty m:val="p"/>
            </m:rPr>
            <w:rPr>
              <w:rFonts w:ascii="Cambria Math" w:hAnsi="Cambria Math" w:cstheme="minorHAnsi"/>
              <w:sz w:val="16"/>
              <w:szCs w:val="20"/>
            </w:rPr>
            <m:t xml:space="preserve"> =</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TFV, ef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TFV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w:rPr>
                  <w:rFonts w:ascii="Cambria Math" w:hAnsi="Cambria Math" w:cstheme="minorHAnsi"/>
                  <w:sz w:val="16"/>
                  <w:szCs w:val="20"/>
                </w:rPr>
                <m:t>)</m:t>
              </m:r>
            </m:den>
          </m:f>
        </m:oMath>
      </m:oMathPara>
    </w:p>
    <w:p w14:paraId="3B045350" w14:textId="77777777" w:rsidR="000B2139" w:rsidRPr="00C644C2" w:rsidRDefault="000B2139" w:rsidP="000B2139">
      <w:pPr>
        <w:spacing w:line="480" w:lineRule="auto"/>
        <w:rPr>
          <w:rFonts w:cstheme="minorHAnsi"/>
          <w:sz w:val="16"/>
          <w:szCs w:val="20"/>
        </w:rPr>
      </w:pPr>
    </w:p>
    <w:p w14:paraId="2FFD02FF" w14:textId="77777777" w:rsidR="000B2139" w:rsidRPr="00C644C2" w:rsidRDefault="00E36CF2" w:rsidP="000B2139">
      <w:pPr>
        <w:spacing w:line="480" w:lineRule="auto"/>
        <w:rPr>
          <w:rFonts w:ascii="Cambria Math" w:hAnsi="Cambria Math" w:cstheme="minorHAnsi"/>
          <w:sz w:val="16"/>
          <w:szCs w:val="20"/>
          <w:oMath/>
        </w:rPr>
        <w:sectPr w:rsidR="000B2139" w:rsidRPr="00C644C2" w:rsidSect="000B2139">
          <w:footnotePr>
            <w:numFmt w:val="lowerLetter"/>
            <w:numRestart w:val="eachPage"/>
          </w:footnotePr>
          <w:pgSz w:w="16838" w:h="11906" w:orient="landscape"/>
          <w:pgMar w:top="1418" w:right="1418" w:bottom="1418" w:left="1418" w:header="709" w:footer="709" w:gutter="0"/>
          <w:cols w:space="708"/>
          <w:docGrid w:linePitch="360"/>
        </w:sectPr>
      </w:pPr>
      <m:oMathPara>
        <m:oMath>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TFV, ef</m:t>
              </m:r>
            </m:sub>
          </m:sSub>
          <m:r>
            <m:rPr>
              <m:sty m:val="p"/>
            </m:rPr>
            <w:rPr>
              <w:rFonts w:ascii="Cambria Math" w:hAnsi="Cambria Math" w:cstheme="minorHAnsi"/>
              <w:sz w:val="16"/>
              <w:szCs w:val="20"/>
              <w:vertAlign w:val="subscript"/>
            </w:rPr>
            <m:t xml:space="preserve"> </m:t>
          </m:r>
          <m:r>
            <m:rPr>
              <m:sty m:val="p"/>
            </m:rPr>
            <w:rPr>
              <w:rFonts w:ascii="Cambria Math" w:hAnsi="Cambria Math" w:cstheme="minorHAnsi"/>
              <w:sz w:val="16"/>
              <w:szCs w:val="20"/>
            </w:rPr>
            <m:t>=</m:t>
          </m:r>
          <m:f>
            <m:fPr>
              <m:ctrlPr>
                <w:rPr>
                  <w:rFonts w:ascii="Cambria Math" w:hAnsi="Cambria Math" w:cstheme="minorHAnsi"/>
                  <w:sz w:val="16"/>
                  <w:szCs w:val="20"/>
                </w:rPr>
              </m:ctrlPr>
            </m:fPr>
            <m:num>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CSF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LV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d>
                    <m:dPr>
                      <m:ctrlPr>
                        <w:rPr>
                          <w:rFonts w:ascii="Cambria Math" w:hAnsi="Cambria Math" w:cstheme="minorHAnsi"/>
                          <w:sz w:val="16"/>
                          <w:szCs w:val="20"/>
                        </w:rPr>
                      </m:ctrlPr>
                    </m:dPr>
                    <m:e>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TFV,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e>
                  </m:d>
                </m:e>
              </m:d>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AF</m:t>
                  </m:r>
                </m:e>
                <m:sub>
                  <m:r>
                    <w:rPr>
                      <w:rFonts w:ascii="Cambria Math" w:hAnsi="Cambria Math" w:cstheme="minorHAnsi"/>
                      <w:sz w:val="16"/>
                      <w:szCs w:val="20"/>
                    </w:rPr>
                    <m:t>TFV, in</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MV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Qp</m:t>
                  </m:r>
                </m:e>
                <m:sub>
                  <m:r>
                    <w:rPr>
                      <w:rFonts w:ascii="Cambria Math" w:hAnsi="Cambria Math" w:cstheme="minorHAnsi"/>
                      <w:sz w:val="16"/>
                      <w:szCs w:val="20"/>
                    </w:rPr>
                    <m:t>BCSFB</m:t>
                  </m:r>
                </m:sub>
              </m:sSub>
              <m:r>
                <m:rPr>
                  <m:sty m:val="p"/>
                </m:rPr>
                <w:rPr>
                  <w:rFonts w:ascii="Cambria Math" w:hAnsi="Cambria Math" w:cstheme="minorHAnsi"/>
                  <w:sz w:val="16"/>
                  <w:szCs w:val="20"/>
                </w:rPr>
                <m:t>)</m:t>
              </m:r>
            </m:num>
            <m:den>
              <m:sSub>
                <m:sSubPr>
                  <m:ctrlPr>
                    <w:rPr>
                      <w:rFonts w:ascii="Cambria Math" w:hAnsi="Cambria Math" w:cstheme="minorHAnsi"/>
                      <w:sz w:val="16"/>
                      <w:szCs w:val="20"/>
                    </w:rPr>
                  </m:ctrlPr>
                </m:sSubPr>
                <m:e>
                  <m:r>
                    <w:rPr>
                      <w:rFonts w:ascii="Cambria Math" w:hAnsi="Cambria Math" w:cstheme="minorHAnsi"/>
                      <w:sz w:val="16"/>
                      <w:szCs w:val="20"/>
                    </w:rPr>
                    <m:t>Kp</m:t>
                  </m:r>
                </m:e>
                <m:sub>
                  <m:r>
                    <w:rPr>
                      <w:rFonts w:ascii="Cambria Math" w:hAnsi="Cambria Math" w:cstheme="minorHAnsi"/>
                      <w:sz w:val="16"/>
                      <w:szCs w:val="20"/>
                    </w:rPr>
                    <m:t>uu, CM</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PHF</m:t>
                  </m:r>
                </m:e>
                <m:sub>
                  <m:r>
                    <w:rPr>
                      <w:rFonts w:ascii="Cambria Math" w:hAnsi="Cambria Math" w:cstheme="minorHAnsi"/>
                      <w:sz w:val="16"/>
                      <w:szCs w:val="20"/>
                    </w:rPr>
                    <m:t>TFV</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Qt</m:t>
                  </m:r>
                </m:e>
                <m:sub>
                  <m:r>
                    <w:rPr>
                      <w:rFonts w:ascii="Cambria Math" w:hAnsi="Cambria Math" w:cstheme="minorHAnsi"/>
                      <w:sz w:val="16"/>
                      <w:szCs w:val="20"/>
                    </w:rPr>
                    <m:t>BCSFB</m:t>
                  </m:r>
                </m:sub>
              </m:sSub>
              <m:r>
                <m:rPr>
                  <m:sty m:val="p"/>
                </m:rPr>
                <w:rPr>
                  <w:rFonts w:ascii="Cambria Math" w:hAnsi="Cambria Math" w:cstheme="minorHAnsi"/>
                  <w:sz w:val="16"/>
                  <w:szCs w:val="20"/>
                </w:rPr>
                <m:t>*</m:t>
              </m:r>
              <m:sSub>
                <m:sSubPr>
                  <m:ctrlPr>
                    <w:rPr>
                      <w:rFonts w:ascii="Cambria Math" w:hAnsi="Cambria Math" w:cstheme="minorHAnsi"/>
                      <w:sz w:val="16"/>
                      <w:szCs w:val="20"/>
                    </w:rPr>
                  </m:ctrlPr>
                </m:sSubPr>
                <m:e>
                  <m:r>
                    <w:rPr>
                      <w:rFonts w:ascii="Cambria Math" w:hAnsi="Cambria Math" w:cstheme="minorHAnsi"/>
                      <w:sz w:val="16"/>
                      <w:szCs w:val="20"/>
                    </w:rPr>
                    <m:t>Q</m:t>
                  </m:r>
                </m:e>
                <m:sub>
                  <m:r>
                    <w:rPr>
                      <w:rFonts w:ascii="Cambria Math" w:hAnsi="Cambria Math" w:cstheme="minorHAnsi"/>
                      <w:sz w:val="16"/>
                      <w:szCs w:val="20"/>
                    </w:rPr>
                    <m:t>CBF</m:t>
                  </m:r>
                </m:sub>
              </m:sSub>
            </m:den>
          </m:f>
        </m:oMath>
      </m:oMathPara>
    </w:p>
    <w:p w14:paraId="1868CFCC" w14:textId="77777777" w:rsidR="000B2139" w:rsidRPr="00C644C2" w:rsidRDefault="000B2139" w:rsidP="000B2139">
      <w:pPr>
        <w:rPr>
          <w:rFonts w:cstheme="minorHAnsi"/>
          <w:sz w:val="20"/>
          <w:szCs w:val="20"/>
        </w:rPr>
      </w:pPr>
      <w:r w:rsidRPr="00C644C2">
        <w:rPr>
          <w:rFonts w:cstheme="minorHAnsi"/>
          <w:sz w:val="20"/>
          <w:szCs w:val="20"/>
        </w:rPr>
        <w:lastRenderedPageBreak/>
        <w:t>Supplementary equations notations</w:t>
      </w:r>
    </w:p>
    <w:p w14:paraId="07F892D0"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AF</w:t>
      </w:r>
      <w:r w:rsidRPr="00C644C2">
        <w:rPr>
          <w:rFonts w:cstheme="minorHAnsi"/>
          <w:sz w:val="20"/>
          <w:szCs w:val="20"/>
          <w:vertAlign w:val="subscript"/>
        </w:rPr>
        <w:t>BBB,ef</w:t>
      </w:r>
      <w:proofErr w:type="spellEnd"/>
      <w:r w:rsidRPr="00C644C2">
        <w:rPr>
          <w:rFonts w:cstheme="minorHAnsi"/>
          <w:sz w:val="20"/>
          <w:szCs w:val="20"/>
        </w:rPr>
        <w:t>: efflux asymmetry factor across the blood brain barrier</w:t>
      </w:r>
    </w:p>
    <w:p w14:paraId="6624F6E6" w14:textId="77777777" w:rsidR="000B2139" w:rsidRPr="00C644C2" w:rsidRDefault="000B2139" w:rsidP="000B2139">
      <w:pPr>
        <w:rPr>
          <w:rFonts w:cstheme="minorHAnsi"/>
          <w:sz w:val="20"/>
          <w:szCs w:val="20"/>
        </w:rPr>
      </w:pPr>
      <w:proofErr w:type="spellStart"/>
      <w:r w:rsidRPr="00C644C2">
        <w:rPr>
          <w:rFonts w:cstheme="minorHAnsi"/>
          <w:sz w:val="20"/>
          <w:szCs w:val="20"/>
        </w:rPr>
        <w:t>AF</w:t>
      </w:r>
      <w:r w:rsidRPr="00C644C2">
        <w:rPr>
          <w:rFonts w:cstheme="minorHAnsi"/>
          <w:sz w:val="20"/>
          <w:szCs w:val="20"/>
          <w:vertAlign w:val="subscript"/>
        </w:rPr>
        <w:t>BBB,in</w:t>
      </w:r>
      <w:proofErr w:type="spellEnd"/>
      <w:r w:rsidRPr="00C644C2">
        <w:rPr>
          <w:rFonts w:cstheme="minorHAnsi"/>
          <w:sz w:val="20"/>
          <w:szCs w:val="20"/>
        </w:rPr>
        <w:t>: influx asymmetry factor across the blood brain barrier</w:t>
      </w:r>
    </w:p>
    <w:p w14:paraId="3320BE61"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AF</w:t>
      </w:r>
      <w:r w:rsidRPr="00C644C2">
        <w:rPr>
          <w:rFonts w:cstheme="minorHAnsi"/>
          <w:sz w:val="20"/>
          <w:szCs w:val="20"/>
          <w:vertAlign w:val="subscript"/>
        </w:rPr>
        <w:t>LV,ef</w:t>
      </w:r>
      <w:proofErr w:type="spellEnd"/>
      <w:r w:rsidRPr="00C644C2">
        <w:rPr>
          <w:rFonts w:cstheme="minorHAnsi"/>
          <w:sz w:val="20"/>
          <w:szCs w:val="20"/>
        </w:rPr>
        <w:t>: efflux asymmetry factor across the blood cerebrospinal fluid barrier at lateral ventricles</w:t>
      </w:r>
    </w:p>
    <w:p w14:paraId="0A346D80"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AF</w:t>
      </w:r>
      <w:r w:rsidRPr="00C644C2">
        <w:rPr>
          <w:rFonts w:cstheme="minorHAnsi"/>
          <w:sz w:val="20"/>
          <w:szCs w:val="20"/>
          <w:vertAlign w:val="subscript"/>
        </w:rPr>
        <w:t>LV,in</w:t>
      </w:r>
      <w:proofErr w:type="spellEnd"/>
      <w:r w:rsidRPr="00C644C2">
        <w:rPr>
          <w:rFonts w:cstheme="minorHAnsi"/>
          <w:sz w:val="20"/>
          <w:szCs w:val="20"/>
        </w:rPr>
        <w:t>: influx asymmetry factor across the blood cerebrospinal fluid barrier at lateral ventricles</w:t>
      </w:r>
    </w:p>
    <w:p w14:paraId="18598E4F" w14:textId="77777777" w:rsidR="000B2139" w:rsidRPr="00C644C2" w:rsidRDefault="000B2139" w:rsidP="000B2139">
      <w:pPr>
        <w:rPr>
          <w:rFonts w:cstheme="minorHAnsi"/>
          <w:sz w:val="20"/>
          <w:szCs w:val="20"/>
        </w:rPr>
      </w:pPr>
      <w:proofErr w:type="spellStart"/>
      <w:r w:rsidRPr="00C644C2">
        <w:rPr>
          <w:rFonts w:cstheme="minorHAnsi"/>
          <w:sz w:val="20"/>
          <w:szCs w:val="20"/>
        </w:rPr>
        <w:t>AF</w:t>
      </w:r>
      <w:r w:rsidRPr="00C644C2">
        <w:rPr>
          <w:rFonts w:cstheme="minorHAnsi"/>
          <w:sz w:val="20"/>
          <w:szCs w:val="20"/>
          <w:vertAlign w:val="subscript"/>
        </w:rPr>
        <w:t>TFV,ef</w:t>
      </w:r>
      <w:proofErr w:type="spellEnd"/>
      <w:r w:rsidRPr="00C644C2">
        <w:rPr>
          <w:rFonts w:cstheme="minorHAnsi"/>
          <w:sz w:val="20"/>
          <w:szCs w:val="20"/>
        </w:rPr>
        <w:t>: efflux asymmetry factor across the blood cerebrospinal fluid barrier at 3</w:t>
      </w:r>
      <w:r w:rsidRPr="00C644C2">
        <w:rPr>
          <w:rFonts w:cstheme="minorHAnsi"/>
          <w:sz w:val="20"/>
          <w:szCs w:val="20"/>
          <w:vertAlign w:val="superscript"/>
        </w:rPr>
        <w:t>rd</w:t>
      </w:r>
      <w:r w:rsidRPr="00C644C2">
        <w:rPr>
          <w:rFonts w:cstheme="minorHAnsi"/>
          <w:sz w:val="20"/>
          <w:szCs w:val="20"/>
        </w:rPr>
        <w:t xml:space="preserve"> and 4</w:t>
      </w:r>
      <w:r w:rsidRPr="00C644C2">
        <w:rPr>
          <w:rFonts w:cstheme="minorHAnsi"/>
          <w:sz w:val="20"/>
          <w:szCs w:val="20"/>
          <w:vertAlign w:val="superscript"/>
        </w:rPr>
        <w:t>th</w:t>
      </w:r>
      <w:r w:rsidRPr="00C644C2">
        <w:rPr>
          <w:rFonts w:cstheme="minorHAnsi"/>
          <w:sz w:val="20"/>
          <w:szCs w:val="20"/>
        </w:rPr>
        <w:t xml:space="preserve"> ventricles</w:t>
      </w:r>
    </w:p>
    <w:p w14:paraId="3EB53920" w14:textId="77777777" w:rsidR="000B2139" w:rsidRPr="00C644C2" w:rsidRDefault="000B2139" w:rsidP="000B2139">
      <w:pPr>
        <w:rPr>
          <w:rFonts w:cstheme="minorHAnsi"/>
          <w:sz w:val="20"/>
          <w:szCs w:val="20"/>
        </w:rPr>
      </w:pPr>
      <w:proofErr w:type="spellStart"/>
      <w:r w:rsidRPr="00C644C2">
        <w:rPr>
          <w:rFonts w:cstheme="minorHAnsi"/>
          <w:sz w:val="20"/>
          <w:szCs w:val="20"/>
        </w:rPr>
        <w:t>AF</w:t>
      </w:r>
      <w:r w:rsidRPr="00C644C2">
        <w:rPr>
          <w:rFonts w:cstheme="minorHAnsi"/>
          <w:sz w:val="20"/>
          <w:szCs w:val="20"/>
          <w:vertAlign w:val="subscript"/>
        </w:rPr>
        <w:t>TFV,in</w:t>
      </w:r>
      <w:proofErr w:type="spellEnd"/>
      <w:r w:rsidRPr="00C644C2">
        <w:rPr>
          <w:rFonts w:cstheme="minorHAnsi"/>
          <w:sz w:val="20"/>
          <w:szCs w:val="20"/>
        </w:rPr>
        <w:t>: influx asymmetry factor across the blood cerebrospinal fluid barrier at 3</w:t>
      </w:r>
      <w:r w:rsidRPr="00C644C2">
        <w:rPr>
          <w:rFonts w:cstheme="minorHAnsi"/>
          <w:sz w:val="20"/>
          <w:szCs w:val="20"/>
          <w:vertAlign w:val="superscript"/>
        </w:rPr>
        <w:t>rd</w:t>
      </w:r>
      <w:r w:rsidRPr="00C644C2">
        <w:rPr>
          <w:rFonts w:cstheme="minorHAnsi"/>
          <w:sz w:val="20"/>
          <w:szCs w:val="20"/>
        </w:rPr>
        <w:t xml:space="preserve"> and 4</w:t>
      </w:r>
      <w:r w:rsidRPr="00C644C2">
        <w:rPr>
          <w:rFonts w:cstheme="minorHAnsi"/>
          <w:sz w:val="20"/>
          <w:szCs w:val="20"/>
          <w:vertAlign w:val="superscript"/>
        </w:rPr>
        <w:t>th</w:t>
      </w:r>
      <w:r w:rsidRPr="00C644C2">
        <w:rPr>
          <w:rFonts w:cstheme="minorHAnsi"/>
          <w:sz w:val="20"/>
          <w:szCs w:val="20"/>
        </w:rPr>
        <w:t xml:space="preserve"> ventricles</w:t>
      </w:r>
    </w:p>
    <w:p w14:paraId="495D64F4"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Kp</w:t>
      </w:r>
      <w:r w:rsidRPr="00C644C2">
        <w:rPr>
          <w:rFonts w:cstheme="minorHAnsi"/>
          <w:sz w:val="20"/>
          <w:szCs w:val="20"/>
          <w:vertAlign w:val="subscript"/>
        </w:rPr>
        <w:t>uu,CM</w:t>
      </w:r>
      <w:proofErr w:type="spellEnd"/>
      <w:r w:rsidRPr="00C644C2">
        <w:rPr>
          <w:rFonts w:cstheme="minorHAnsi"/>
          <w:sz w:val="20"/>
          <w:szCs w:val="20"/>
        </w:rPr>
        <w:t>: cisterna magna-to-plasma unbound drug concentration ratio</w:t>
      </w:r>
    </w:p>
    <w:p w14:paraId="1EF6C6CD" w14:textId="77777777" w:rsidR="000B2139" w:rsidRPr="00C644C2" w:rsidRDefault="000B2139" w:rsidP="000B2139">
      <w:pPr>
        <w:rPr>
          <w:rFonts w:cstheme="minorHAnsi"/>
          <w:sz w:val="20"/>
          <w:szCs w:val="20"/>
        </w:rPr>
      </w:pPr>
      <w:proofErr w:type="spellStart"/>
      <w:r w:rsidRPr="00C644C2">
        <w:rPr>
          <w:rFonts w:cstheme="minorHAnsi"/>
          <w:sz w:val="20"/>
          <w:szCs w:val="20"/>
        </w:rPr>
        <w:t>Kp</w:t>
      </w:r>
      <w:r w:rsidRPr="00C644C2">
        <w:rPr>
          <w:rFonts w:cstheme="minorHAnsi"/>
          <w:sz w:val="20"/>
          <w:szCs w:val="20"/>
          <w:vertAlign w:val="subscript"/>
        </w:rPr>
        <w:t>uu,ECF</w:t>
      </w:r>
      <w:proofErr w:type="spellEnd"/>
      <w:r w:rsidRPr="00C644C2">
        <w:rPr>
          <w:rFonts w:cstheme="minorHAnsi"/>
          <w:sz w:val="20"/>
          <w:szCs w:val="20"/>
        </w:rPr>
        <w:t>: brain extracellular fluid-to-plasma unbound drug concentration ratio</w:t>
      </w:r>
    </w:p>
    <w:p w14:paraId="7C3557FF"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Kp</w:t>
      </w:r>
      <w:r w:rsidRPr="00C644C2">
        <w:rPr>
          <w:rFonts w:cstheme="minorHAnsi"/>
          <w:sz w:val="20"/>
          <w:szCs w:val="20"/>
          <w:vertAlign w:val="subscript"/>
        </w:rPr>
        <w:t>uu,LV</w:t>
      </w:r>
      <w:proofErr w:type="spellEnd"/>
      <w:r w:rsidRPr="00C644C2">
        <w:rPr>
          <w:rFonts w:cstheme="minorHAnsi"/>
          <w:sz w:val="20"/>
          <w:szCs w:val="20"/>
        </w:rPr>
        <w:t>: lateral ventricles-to-plasma unbound drug concentration ratio</w:t>
      </w:r>
    </w:p>
    <w:p w14:paraId="257DD450" w14:textId="77777777" w:rsidR="000B2139" w:rsidRPr="00C644C2" w:rsidRDefault="000B2139" w:rsidP="000B2139">
      <w:pPr>
        <w:rPr>
          <w:rFonts w:cstheme="minorHAnsi"/>
          <w:sz w:val="20"/>
          <w:szCs w:val="20"/>
        </w:rPr>
      </w:pPr>
      <w:r w:rsidRPr="00C644C2">
        <w:rPr>
          <w:rFonts w:cstheme="minorHAnsi"/>
          <w:sz w:val="20"/>
          <w:szCs w:val="20"/>
        </w:rPr>
        <w:t>PHF</w:t>
      </w:r>
      <w:r w:rsidRPr="00C644C2">
        <w:rPr>
          <w:rFonts w:cstheme="minorHAnsi"/>
          <w:sz w:val="20"/>
          <w:szCs w:val="20"/>
          <w:vertAlign w:val="subscript"/>
        </w:rPr>
        <w:t>ECF</w:t>
      </w:r>
      <w:r w:rsidRPr="00C644C2">
        <w:rPr>
          <w:rFonts w:cstheme="minorHAnsi"/>
          <w:sz w:val="20"/>
          <w:szCs w:val="20"/>
        </w:rPr>
        <w:t>: pH factor of brain extracellular fluid</w:t>
      </w:r>
    </w:p>
    <w:p w14:paraId="6746D282" w14:textId="77777777" w:rsidR="000B2139" w:rsidRPr="00C644C2" w:rsidRDefault="000B2139" w:rsidP="000B2139">
      <w:pPr>
        <w:rPr>
          <w:rFonts w:cstheme="minorHAnsi"/>
          <w:sz w:val="20"/>
          <w:szCs w:val="20"/>
        </w:rPr>
      </w:pPr>
      <w:r w:rsidRPr="00C644C2">
        <w:rPr>
          <w:rFonts w:cstheme="minorHAnsi"/>
          <w:sz w:val="20"/>
          <w:szCs w:val="20"/>
        </w:rPr>
        <w:t>PHF</w:t>
      </w:r>
      <w:r w:rsidRPr="00C644C2">
        <w:rPr>
          <w:rFonts w:cstheme="minorHAnsi"/>
          <w:sz w:val="20"/>
          <w:szCs w:val="20"/>
          <w:vertAlign w:val="subscript"/>
        </w:rPr>
        <w:t>LV</w:t>
      </w:r>
      <w:r w:rsidRPr="00C644C2">
        <w:rPr>
          <w:rFonts w:cstheme="minorHAnsi"/>
          <w:sz w:val="20"/>
          <w:szCs w:val="20"/>
        </w:rPr>
        <w:t>: pH factor of lateral ventricles</w:t>
      </w:r>
    </w:p>
    <w:p w14:paraId="2306B014" w14:textId="77777777" w:rsidR="000B2139" w:rsidRPr="00C644C2" w:rsidRDefault="000B2139" w:rsidP="000B2139">
      <w:pPr>
        <w:rPr>
          <w:rFonts w:cstheme="minorHAnsi"/>
          <w:sz w:val="20"/>
          <w:szCs w:val="20"/>
        </w:rPr>
      </w:pPr>
      <w:r w:rsidRPr="00C644C2">
        <w:rPr>
          <w:rFonts w:cstheme="minorHAnsi"/>
          <w:sz w:val="20"/>
          <w:szCs w:val="20"/>
        </w:rPr>
        <w:t>PHF</w:t>
      </w:r>
      <w:r w:rsidRPr="00C644C2">
        <w:rPr>
          <w:rFonts w:cstheme="minorHAnsi"/>
          <w:sz w:val="20"/>
          <w:szCs w:val="20"/>
          <w:vertAlign w:val="subscript"/>
        </w:rPr>
        <w:t>MV</w:t>
      </w:r>
      <w:r w:rsidRPr="00C644C2">
        <w:rPr>
          <w:rFonts w:cstheme="minorHAnsi"/>
          <w:sz w:val="20"/>
          <w:szCs w:val="20"/>
        </w:rPr>
        <w:t>: pH factor of brain microvasculature</w:t>
      </w:r>
    </w:p>
    <w:p w14:paraId="529DA37D" w14:textId="77777777" w:rsidR="000B2139" w:rsidRPr="00C644C2" w:rsidRDefault="000B2139" w:rsidP="000B2139">
      <w:pPr>
        <w:rPr>
          <w:rFonts w:cstheme="minorHAnsi"/>
          <w:sz w:val="20"/>
          <w:szCs w:val="20"/>
        </w:rPr>
      </w:pPr>
      <w:r w:rsidRPr="00C644C2">
        <w:rPr>
          <w:rFonts w:cstheme="minorHAnsi"/>
          <w:sz w:val="20"/>
          <w:szCs w:val="20"/>
        </w:rPr>
        <w:t>PHF</w:t>
      </w:r>
      <w:r w:rsidRPr="00C644C2">
        <w:rPr>
          <w:rFonts w:cstheme="minorHAnsi"/>
          <w:sz w:val="20"/>
          <w:szCs w:val="20"/>
          <w:vertAlign w:val="subscript"/>
        </w:rPr>
        <w:t>TFV</w:t>
      </w:r>
      <w:r w:rsidRPr="00C644C2">
        <w:rPr>
          <w:rFonts w:cstheme="minorHAnsi"/>
          <w:sz w:val="20"/>
          <w:szCs w:val="20"/>
        </w:rPr>
        <w:t>: pH factor at 3</w:t>
      </w:r>
      <w:r w:rsidRPr="00C644C2">
        <w:rPr>
          <w:rFonts w:cstheme="minorHAnsi"/>
          <w:sz w:val="20"/>
          <w:szCs w:val="20"/>
          <w:vertAlign w:val="superscript"/>
        </w:rPr>
        <w:t>rd</w:t>
      </w:r>
      <w:r w:rsidRPr="00C644C2">
        <w:rPr>
          <w:rFonts w:cstheme="minorHAnsi"/>
          <w:sz w:val="20"/>
          <w:szCs w:val="20"/>
        </w:rPr>
        <w:t xml:space="preserve"> and 4</w:t>
      </w:r>
      <w:r w:rsidRPr="00C644C2">
        <w:rPr>
          <w:rFonts w:cstheme="minorHAnsi"/>
          <w:sz w:val="20"/>
          <w:szCs w:val="20"/>
          <w:vertAlign w:val="superscript"/>
        </w:rPr>
        <w:t>th</w:t>
      </w:r>
      <w:r w:rsidRPr="00C644C2">
        <w:rPr>
          <w:rFonts w:cstheme="minorHAnsi"/>
          <w:sz w:val="20"/>
          <w:szCs w:val="20"/>
        </w:rPr>
        <w:t xml:space="preserve"> ventricles</w:t>
      </w:r>
    </w:p>
    <w:p w14:paraId="0495E368" w14:textId="77777777" w:rsidR="000B2139" w:rsidRPr="00C644C2" w:rsidRDefault="000B2139" w:rsidP="000B2139">
      <w:pPr>
        <w:rPr>
          <w:rFonts w:cstheme="minorHAnsi"/>
          <w:sz w:val="20"/>
          <w:szCs w:val="20"/>
        </w:rPr>
      </w:pPr>
      <w:r w:rsidRPr="00C644C2">
        <w:rPr>
          <w:rFonts w:cstheme="minorHAnsi"/>
          <w:sz w:val="20"/>
          <w:szCs w:val="20"/>
        </w:rPr>
        <w:t>Q</w:t>
      </w:r>
      <w:r w:rsidRPr="00C644C2">
        <w:rPr>
          <w:rFonts w:cstheme="minorHAnsi"/>
          <w:sz w:val="20"/>
          <w:szCs w:val="20"/>
          <w:vertAlign w:val="subscript"/>
        </w:rPr>
        <w:t>CBF</w:t>
      </w:r>
      <w:r w:rsidRPr="00C644C2">
        <w:rPr>
          <w:rFonts w:cstheme="minorHAnsi"/>
          <w:sz w:val="20"/>
          <w:szCs w:val="20"/>
        </w:rPr>
        <w:t>: cerebral blood flow</w:t>
      </w:r>
    </w:p>
    <w:p w14:paraId="0541BCF7" w14:textId="77777777" w:rsidR="000B2139" w:rsidRPr="00C644C2" w:rsidRDefault="000B2139" w:rsidP="000B2139">
      <w:pPr>
        <w:rPr>
          <w:rFonts w:cstheme="minorHAnsi"/>
          <w:sz w:val="20"/>
          <w:szCs w:val="20"/>
          <w:vertAlign w:val="subscript"/>
        </w:rPr>
      </w:pPr>
      <w:r w:rsidRPr="00C644C2">
        <w:rPr>
          <w:rFonts w:cstheme="minorHAnsi"/>
          <w:sz w:val="20"/>
          <w:szCs w:val="20"/>
        </w:rPr>
        <w:t>Q</w:t>
      </w:r>
      <w:r w:rsidRPr="00C644C2">
        <w:rPr>
          <w:rFonts w:cstheme="minorHAnsi"/>
          <w:sz w:val="20"/>
          <w:szCs w:val="20"/>
          <w:vertAlign w:val="subscript"/>
        </w:rPr>
        <w:t>CSF</w:t>
      </w:r>
      <w:r w:rsidRPr="00C644C2">
        <w:rPr>
          <w:rFonts w:cstheme="minorHAnsi"/>
          <w:sz w:val="20"/>
          <w:szCs w:val="20"/>
        </w:rPr>
        <w:t>: cerebrospinal fluid flow</w:t>
      </w:r>
    </w:p>
    <w:p w14:paraId="45FAFB57" w14:textId="77777777" w:rsidR="000B2139" w:rsidRPr="00C644C2" w:rsidRDefault="000B2139" w:rsidP="000B2139">
      <w:pPr>
        <w:rPr>
          <w:rFonts w:cstheme="minorHAnsi"/>
          <w:sz w:val="20"/>
          <w:szCs w:val="20"/>
        </w:rPr>
      </w:pPr>
      <w:r w:rsidRPr="00C644C2">
        <w:rPr>
          <w:rFonts w:cstheme="minorHAnsi"/>
          <w:sz w:val="20"/>
          <w:szCs w:val="20"/>
        </w:rPr>
        <w:t>Q</w:t>
      </w:r>
      <w:r w:rsidRPr="00C644C2">
        <w:rPr>
          <w:rFonts w:cstheme="minorHAnsi"/>
          <w:sz w:val="20"/>
          <w:szCs w:val="20"/>
          <w:vertAlign w:val="subscript"/>
        </w:rPr>
        <w:t>ECF</w:t>
      </w:r>
      <w:r w:rsidRPr="00C644C2">
        <w:rPr>
          <w:rFonts w:cstheme="minorHAnsi"/>
          <w:sz w:val="20"/>
          <w:szCs w:val="20"/>
        </w:rPr>
        <w:t>: brain extracellular fluid bulk flow</w:t>
      </w:r>
    </w:p>
    <w:p w14:paraId="48890781" w14:textId="77777777" w:rsidR="000B2139" w:rsidRPr="00C644C2" w:rsidRDefault="000B2139" w:rsidP="000B2139">
      <w:pPr>
        <w:rPr>
          <w:rFonts w:cstheme="minorHAnsi"/>
          <w:sz w:val="20"/>
          <w:szCs w:val="20"/>
        </w:rPr>
      </w:pPr>
      <w:proofErr w:type="spellStart"/>
      <w:r w:rsidRPr="00C644C2">
        <w:rPr>
          <w:rFonts w:cstheme="minorHAnsi"/>
          <w:sz w:val="20"/>
          <w:szCs w:val="20"/>
        </w:rPr>
        <w:t>Qp</w:t>
      </w:r>
      <w:r w:rsidRPr="00C644C2">
        <w:rPr>
          <w:rFonts w:cstheme="minorHAnsi"/>
          <w:sz w:val="20"/>
          <w:szCs w:val="20"/>
          <w:vertAlign w:val="subscript"/>
        </w:rPr>
        <w:t>BBB</w:t>
      </w:r>
      <w:proofErr w:type="spellEnd"/>
      <w:r w:rsidRPr="00C644C2">
        <w:rPr>
          <w:rFonts w:cstheme="minorHAnsi"/>
          <w:sz w:val="20"/>
          <w:szCs w:val="20"/>
        </w:rPr>
        <w:t>: paracellular transport clearance at blood brain barrier</w:t>
      </w:r>
    </w:p>
    <w:p w14:paraId="4BF1C3F8" w14:textId="77777777" w:rsidR="000B2139" w:rsidRPr="00C644C2" w:rsidRDefault="000B2139" w:rsidP="000B2139">
      <w:pPr>
        <w:rPr>
          <w:rFonts w:cstheme="minorHAnsi"/>
          <w:sz w:val="20"/>
          <w:szCs w:val="20"/>
        </w:rPr>
      </w:pPr>
      <w:proofErr w:type="spellStart"/>
      <w:r w:rsidRPr="00C644C2">
        <w:rPr>
          <w:rFonts w:cstheme="minorHAnsi"/>
          <w:sz w:val="20"/>
          <w:szCs w:val="20"/>
        </w:rPr>
        <w:t>Qp</w:t>
      </w:r>
      <w:r w:rsidRPr="00C644C2">
        <w:rPr>
          <w:rFonts w:cstheme="minorHAnsi"/>
          <w:sz w:val="20"/>
          <w:szCs w:val="20"/>
          <w:vertAlign w:val="subscript"/>
        </w:rPr>
        <w:t>BCSFB</w:t>
      </w:r>
      <w:proofErr w:type="spellEnd"/>
      <w:r w:rsidRPr="00C644C2">
        <w:rPr>
          <w:rFonts w:cstheme="minorHAnsi"/>
          <w:sz w:val="20"/>
          <w:szCs w:val="20"/>
        </w:rPr>
        <w:t>: paracellular transport clearance at blood cerebrospinal fluid barrier</w:t>
      </w:r>
    </w:p>
    <w:p w14:paraId="14F7CE59" w14:textId="77777777" w:rsidR="000B2139" w:rsidRPr="00C644C2" w:rsidRDefault="000B2139" w:rsidP="000B2139">
      <w:pPr>
        <w:rPr>
          <w:rFonts w:cstheme="minorHAnsi"/>
          <w:sz w:val="20"/>
          <w:szCs w:val="20"/>
          <w:vertAlign w:val="subscript"/>
        </w:rPr>
      </w:pPr>
      <w:proofErr w:type="spellStart"/>
      <w:r w:rsidRPr="00C644C2">
        <w:rPr>
          <w:rFonts w:cstheme="minorHAnsi"/>
          <w:sz w:val="20"/>
          <w:szCs w:val="20"/>
        </w:rPr>
        <w:t>Qt</w:t>
      </w:r>
      <w:r w:rsidRPr="00C644C2">
        <w:rPr>
          <w:rFonts w:cstheme="minorHAnsi"/>
          <w:sz w:val="20"/>
          <w:szCs w:val="20"/>
          <w:vertAlign w:val="subscript"/>
        </w:rPr>
        <w:t>BBB</w:t>
      </w:r>
      <w:proofErr w:type="spellEnd"/>
      <w:r w:rsidRPr="00C644C2">
        <w:rPr>
          <w:rFonts w:cstheme="minorHAnsi"/>
          <w:sz w:val="20"/>
          <w:szCs w:val="20"/>
        </w:rPr>
        <w:t>: transcellular transport clearance at blood brain barrier</w:t>
      </w:r>
    </w:p>
    <w:p w14:paraId="01B3EA3A" w14:textId="77777777" w:rsidR="000B2139" w:rsidRPr="00C644C2" w:rsidRDefault="000B2139" w:rsidP="000B2139">
      <w:pPr>
        <w:rPr>
          <w:rFonts w:cstheme="minorHAnsi"/>
          <w:sz w:val="20"/>
          <w:szCs w:val="20"/>
        </w:rPr>
      </w:pPr>
      <w:proofErr w:type="spellStart"/>
      <w:r w:rsidRPr="00C644C2">
        <w:rPr>
          <w:rFonts w:cstheme="minorHAnsi"/>
          <w:sz w:val="20"/>
          <w:szCs w:val="20"/>
        </w:rPr>
        <w:t>Qt</w:t>
      </w:r>
      <w:r w:rsidRPr="00C644C2">
        <w:rPr>
          <w:rFonts w:cstheme="minorHAnsi"/>
          <w:sz w:val="20"/>
          <w:szCs w:val="20"/>
          <w:vertAlign w:val="subscript"/>
        </w:rPr>
        <w:t>BCSFB</w:t>
      </w:r>
      <w:proofErr w:type="spellEnd"/>
      <w:r w:rsidRPr="00C644C2">
        <w:rPr>
          <w:rFonts w:cstheme="minorHAnsi"/>
          <w:sz w:val="20"/>
          <w:szCs w:val="20"/>
        </w:rPr>
        <w:t>: transcellular transport clearance at blood cerebrospinal fluid barrier</w:t>
      </w:r>
    </w:p>
    <w:p w14:paraId="6E2D67E4" w14:textId="77777777" w:rsidR="000B2139" w:rsidRPr="00C644C2" w:rsidRDefault="000B2139">
      <w:pPr>
        <w:rPr>
          <w:rFonts w:cstheme="minorHAnsi"/>
          <w:b/>
          <w:sz w:val="20"/>
          <w:szCs w:val="20"/>
        </w:rPr>
      </w:pPr>
    </w:p>
    <w:p w14:paraId="5EF79834" w14:textId="77777777" w:rsidR="000B2139" w:rsidRPr="00C644C2" w:rsidRDefault="000B2139">
      <w:pPr>
        <w:rPr>
          <w:rFonts w:cstheme="minorHAnsi"/>
          <w:b/>
          <w:sz w:val="20"/>
          <w:szCs w:val="20"/>
        </w:rPr>
      </w:pPr>
    </w:p>
    <w:p w14:paraId="5B96F5E7" w14:textId="77777777" w:rsidR="000B2139" w:rsidRPr="00C644C2" w:rsidRDefault="000B2139">
      <w:pPr>
        <w:rPr>
          <w:rFonts w:cstheme="minorHAnsi"/>
          <w:b/>
          <w:sz w:val="20"/>
          <w:szCs w:val="20"/>
        </w:rPr>
        <w:sectPr w:rsidR="000B2139" w:rsidRPr="00C644C2" w:rsidSect="000B2139">
          <w:footnotePr>
            <w:numFmt w:val="lowerLetter"/>
          </w:footnotePr>
          <w:pgSz w:w="11906" w:h="16838"/>
          <w:pgMar w:top="1418" w:right="1418" w:bottom="1418" w:left="1418" w:header="709" w:footer="709" w:gutter="0"/>
          <w:cols w:space="708"/>
          <w:docGrid w:linePitch="360"/>
        </w:sectPr>
      </w:pPr>
    </w:p>
    <w:p w14:paraId="49649827" w14:textId="77777777" w:rsidR="00431683" w:rsidRPr="00C644C2" w:rsidRDefault="00431683" w:rsidP="00431683">
      <w:pPr>
        <w:spacing w:after="0" w:line="240" w:lineRule="auto"/>
        <w:rPr>
          <w:rFonts w:cstheme="minorHAnsi"/>
          <w:sz w:val="20"/>
          <w:szCs w:val="20"/>
        </w:rPr>
      </w:pPr>
      <w:r w:rsidRPr="00C644C2">
        <w:rPr>
          <w:rFonts w:cstheme="minorHAnsi"/>
          <w:b/>
          <w:sz w:val="20"/>
          <w:szCs w:val="20"/>
        </w:rPr>
        <w:lastRenderedPageBreak/>
        <w:t>Supplementary fig</w:t>
      </w:r>
      <w:r w:rsidR="001344EA" w:rsidRPr="00C644C2">
        <w:rPr>
          <w:rFonts w:cstheme="minorHAnsi"/>
          <w:b/>
          <w:sz w:val="20"/>
          <w:szCs w:val="20"/>
        </w:rPr>
        <w:t xml:space="preserve">. </w:t>
      </w:r>
      <w:r w:rsidRPr="00C644C2">
        <w:rPr>
          <w:rFonts w:cstheme="minorHAnsi"/>
          <w:b/>
          <w:sz w:val="20"/>
          <w:szCs w:val="20"/>
        </w:rPr>
        <w:t>1</w:t>
      </w:r>
      <w:r w:rsidRPr="00C644C2">
        <w:rPr>
          <w:rFonts w:cstheme="minorHAnsi"/>
          <w:sz w:val="20"/>
          <w:szCs w:val="20"/>
        </w:rPr>
        <w:t xml:space="preserve"> Detailed mathematical structure of LeiCNS</w:t>
      </w:r>
      <w:r w:rsidR="00687C43" w:rsidRPr="00C644C2">
        <w:rPr>
          <w:rFonts w:cstheme="minorHAnsi"/>
          <w:sz w:val="20"/>
          <w:szCs w:val="20"/>
        </w:rPr>
        <w:t>-PK3.0</w:t>
      </w:r>
      <w:r w:rsidRPr="00C644C2">
        <w:rPr>
          <w:rFonts w:cstheme="minorHAnsi"/>
          <w:sz w:val="20"/>
          <w:szCs w:val="20"/>
        </w:rPr>
        <w:t xml:space="preserve">. </w:t>
      </w:r>
      <w:r w:rsidR="00687C43" w:rsidRPr="00C644C2">
        <w:rPr>
          <w:rFonts w:cstheme="minorHAnsi"/>
          <w:sz w:val="20"/>
          <w:szCs w:val="20"/>
        </w:rPr>
        <w:t xml:space="preserve">LeiCNS-PK3.0 </w:t>
      </w:r>
      <w:r w:rsidRPr="00C644C2">
        <w:rPr>
          <w:rFonts w:cstheme="minorHAnsi"/>
          <w:sz w:val="20"/>
          <w:szCs w:val="20"/>
        </w:rPr>
        <w:t xml:space="preserve">is composed of whole body empirical plasma model and CNS PBPK model. Both models communicate via cerebral blood flow. </w:t>
      </w:r>
    </w:p>
    <w:p w14:paraId="332DE5F6" w14:textId="3812C8BB" w:rsidR="00431683" w:rsidRPr="00C644C2" w:rsidRDefault="00431683" w:rsidP="00431683">
      <w:pPr>
        <w:spacing w:after="0" w:line="240" w:lineRule="auto"/>
        <w:rPr>
          <w:rFonts w:cstheme="minorHAnsi"/>
          <w:sz w:val="20"/>
          <w:szCs w:val="20"/>
        </w:rPr>
      </w:pPr>
      <w:r w:rsidRPr="00C644C2">
        <w:rPr>
          <w:rFonts w:cstheme="minorHAnsi"/>
          <w:noProof/>
          <w:sz w:val="20"/>
          <w:szCs w:val="20"/>
        </w:rPr>
        <w:drawing>
          <wp:inline distT="0" distB="0" distL="0" distR="0" wp14:anchorId="4DFCE8F1" wp14:editId="7A8142C2">
            <wp:extent cx="5760720" cy="3240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1.png"/>
                    <pic:cNvPicPr/>
                  </pic:nvPicPr>
                  <pic:blipFill>
                    <a:blip r:embed="rId9">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2DBE763" w14:textId="77777777" w:rsidR="00431683" w:rsidRPr="00C644C2" w:rsidRDefault="00431683" w:rsidP="00431683">
      <w:pPr>
        <w:spacing w:after="0" w:line="240" w:lineRule="auto"/>
        <w:rPr>
          <w:rFonts w:cstheme="minorHAnsi"/>
          <w:b/>
          <w:sz w:val="20"/>
          <w:szCs w:val="20"/>
        </w:rPr>
      </w:pPr>
    </w:p>
    <w:p w14:paraId="49486C59" w14:textId="77777777" w:rsidR="00A0144C" w:rsidRPr="00C644C2" w:rsidRDefault="00A0144C">
      <w:pPr>
        <w:rPr>
          <w:rFonts w:cstheme="minorHAnsi"/>
          <w:b/>
          <w:sz w:val="20"/>
          <w:szCs w:val="20"/>
        </w:rPr>
      </w:pPr>
      <w:r w:rsidRPr="00C644C2">
        <w:rPr>
          <w:rFonts w:cstheme="minorHAnsi"/>
          <w:b/>
          <w:sz w:val="20"/>
          <w:szCs w:val="20"/>
        </w:rPr>
        <w:br w:type="page"/>
      </w:r>
    </w:p>
    <w:p w14:paraId="7A7172B0" w14:textId="77777777" w:rsidR="006B306D" w:rsidRPr="00C644C2" w:rsidRDefault="00431683" w:rsidP="00431683">
      <w:pPr>
        <w:spacing w:after="0" w:line="240" w:lineRule="auto"/>
        <w:rPr>
          <w:rFonts w:cstheme="minorHAnsi"/>
          <w:noProof/>
          <w:sz w:val="20"/>
          <w:szCs w:val="20"/>
        </w:rPr>
      </w:pPr>
      <w:r w:rsidRPr="00C644C2">
        <w:rPr>
          <w:rFonts w:cstheme="minorHAnsi"/>
          <w:b/>
          <w:sz w:val="20"/>
          <w:szCs w:val="20"/>
        </w:rPr>
        <w:lastRenderedPageBreak/>
        <w:t>Supplementary fig</w:t>
      </w:r>
      <w:r w:rsidR="001344EA" w:rsidRPr="00C644C2">
        <w:rPr>
          <w:rFonts w:cstheme="minorHAnsi"/>
          <w:b/>
          <w:sz w:val="20"/>
          <w:szCs w:val="20"/>
        </w:rPr>
        <w:t xml:space="preserve">. </w:t>
      </w:r>
      <w:r w:rsidRPr="00C644C2">
        <w:rPr>
          <w:rFonts w:cstheme="minorHAnsi"/>
          <w:b/>
          <w:sz w:val="20"/>
          <w:szCs w:val="20"/>
        </w:rPr>
        <w:t>2</w:t>
      </w:r>
      <w:r w:rsidRPr="00C644C2">
        <w:rPr>
          <w:rFonts w:cstheme="minorHAnsi"/>
          <w:sz w:val="20"/>
          <w:szCs w:val="20"/>
        </w:rPr>
        <w:t xml:space="preserve"> Model evaluation of the rat </w:t>
      </w:r>
      <w:r w:rsidR="00687C43" w:rsidRPr="00C644C2">
        <w:rPr>
          <w:rFonts w:cstheme="minorHAnsi"/>
          <w:sz w:val="20"/>
          <w:szCs w:val="20"/>
        </w:rPr>
        <w:t>LeiCNS-PK3.0</w:t>
      </w:r>
      <w:r w:rsidRPr="00C644C2">
        <w:rPr>
          <w:rFonts w:cstheme="minorHAnsi"/>
          <w:sz w:val="20"/>
          <w:szCs w:val="20"/>
        </w:rPr>
        <w:t xml:space="preserve"> model. A-</w:t>
      </w:r>
      <w:r w:rsidR="0038777A" w:rsidRPr="00C644C2">
        <w:rPr>
          <w:rFonts w:cstheme="minorHAnsi"/>
          <w:sz w:val="20"/>
          <w:szCs w:val="20"/>
        </w:rPr>
        <w:t>B</w:t>
      </w:r>
      <w:r w:rsidRPr="00C644C2">
        <w:rPr>
          <w:rFonts w:cstheme="minorHAnsi"/>
          <w:sz w:val="20"/>
          <w:szCs w:val="20"/>
        </w:rPr>
        <w:t xml:space="preserve">) Visual predictive checks plots compared in vivo measured drug concentration (black dots) in multiple CNS locations to the median (solid line) and 95% prediction intervals (colored band) of 200 model simulations. </w:t>
      </w:r>
      <w:r w:rsidR="0038777A" w:rsidRPr="00C644C2">
        <w:rPr>
          <w:rFonts w:cstheme="minorHAnsi"/>
          <w:sz w:val="20"/>
          <w:szCs w:val="20"/>
        </w:rPr>
        <w:t>C</w:t>
      </w:r>
      <w:r w:rsidRPr="00C644C2">
        <w:rPr>
          <w:rFonts w:cstheme="minorHAnsi"/>
          <w:sz w:val="20"/>
          <w:szCs w:val="20"/>
        </w:rPr>
        <w:t>) Boxplot of the relative accuracy error calculated for different drugs. Green and yellow solid lines represent two- and five- fold error, respectively. ECF: brain extracellular fluid, LV: lateral ventricles, CM: cisterna magna, BH: brain homogenate.</w:t>
      </w:r>
      <w:r w:rsidR="006B306D" w:rsidRPr="00C644C2">
        <w:rPr>
          <w:rFonts w:cstheme="minorHAnsi"/>
          <w:noProof/>
          <w:sz w:val="20"/>
          <w:szCs w:val="20"/>
        </w:rPr>
        <w:t xml:space="preserve"> </w:t>
      </w:r>
    </w:p>
    <w:p w14:paraId="6D49D168" w14:textId="77777777" w:rsidR="0038777A" w:rsidRPr="00C644C2" w:rsidRDefault="0038777A">
      <w:pPr>
        <w:rPr>
          <w:rFonts w:cstheme="minorHAnsi"/>
          <w:b/>
          <w:noProof/>
          <w:sz w:val="20"/>
          <w:szCs w:val="20"/>
        </w:rPr>
      </w:pPr>
    </w:p>
    <w:p w14:paraId="43F36C35" w14:textId="77777777" w:rsidR="002E1AA2" w:rsidRPr="00C644C2" w:rsidRDefault="006B306D" w:rsidP="00431683">
      <w:pPr>
        <w:spacing w:after="0" w:line="240" w:lineRule="auto"/>
        <w:rPr>
          <w:rFonts w:eastAsia="Times New Roman" w:cstheme="minorHAnsi"/>
          <w:snapToGrid w:val="0"/>
          <w:color w:val="000000"/>
          <w:w w:val="0"/>
          <w:sz w:val="20"/>
          <w:szCs w:val="20"/>
          <w:u w:color="000000"/>
          <w:bdr w:val="none" w:sz="0" w:space="0" w:color="000000"/>
          <w:shd w:val="clear" w:color="000000" w:fill="000000"/>
          <w:lang w:val="x-none" w:eastAsia="x-none" w:bidi="x-none"/>
        </w:rPr>
      </w:pPr>
      <w:r w:rsidRPr="00C644C2">
        <w:rPr>
          <w:rFonts w:cstheme="minorHAnsi"/>
          <w:b/>
          <w:noProof/>
          <w:sz w:val="20"/>
          <w:szCs w:val="20"/>
        </w:rPr>
        <w:t>(</w:t>
      </w:r>
      <w:r w:rsidR="001344EA" w:rsidRPr="00C644C2">
        <w:rPr>
          <w:rFonts w:cstheme="minorHAnsi"/>
          <w:b/>
          <w:noProof/>
          <w:sz w:val="20"/>
          <w:szCs w:val="20"/>
        </w:rPr>
        <w:t>a</w:t>
      </w:r>
      <w:r w:rsidRPr="00C644C2">
        <w:rPr>
          <w:rFonts w:cstheme="minorHAnsi"/>
          <w:b/>
          <w:noProof/>
          <w:sz w:val="20"/>
          <w:szCs w:val="20"/>
        </w:rPr>
        <w:t>)</w:t>
      </w:r>
      <w:r w:rsidR="0086645C" w:rsidRPr="00C644C2">
        <w:rPr>
          <w:rFonts w:eastAsia="Times New Roman" w:cstheme="minorHAnsi"/>
          <w:snapToGrid w:val="0"/>
          <w:color w:val="000000"/>
          <w:w w:val="0"/>
          <w:sz w:val="20"/>
          <w:szCs w:val="20"/>
          <w:u w:color="000000"/>
          <w:bdr w:val="none" w:sz="0" w:space="0" w:color="000000"/>
          <w:shd w:val="clear" w:color="000000" w:fill="000000"/>
          <w:lang w:val="x-none" w:eastAsia="x-none" w:bidi="x-none"/>
        </w:rPr>
        <w:t xml:space="preserve"> </w:t>
      </w:r>
    </w:p>
    <w:p w14:paraId="6C8AF69B" w14:textId="68593FA3" w:rsidR="00431683" w:rsidRPr="00C644C2" w:rsidRDefault="002E1AA2" w:rsidP="00431683">
      <w:pPr>
        <w:spacing w:after="0" w:line="240" w:lineRule="auto"/>
        <w:rPr>
          <w:rFonts w:cstheme="minorHAnsi"/>
          <w:sz w:val="20"/>
          <w:szCs w:val="20"/>
        </w:rPr>
      </w:pPr>
      <w:r w:rsidRPr="00C644C2">
        <w:rPr>
          <w:rFonts w:cstheme="minorHAnsi"/>
          <w:b/>
          <w:noProof/>
          <w:sz w:val="20"/>
          <w:szCs w:val="20"/>
        </w:rPr>
        <w:drawing>
          <wp:inline distT="0" distB="0" distL="0" distR="0" wp14:anchorId="4BEB0B2E" wp14:editId="1318C38C">
            <wp:extent cx="5760720" cy="67202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10415_BBB_rat-VPC_SUPP2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6720205"/>
                    </a:xfrm>
                    <a:prstGeom prst="rect">
                      <a:avLst/>
                    </a:prstGeom>
                  </pic:spPr>
                </pic:pic>
              </a:graphicData>
            </a:graphic>
          </wp:inline>
        </w:drawing>
      </w:r>
    </w:p>
    <w:p w14:paraId="2A2391D8" w14:textId="77777777" w:rsidR="00A83AD2" w:rsidRPr="00C644C2" w:rsidRDefault="00A83AD2" w:rsidP="00431683">
      <w:pPr>
        <w:spacing w:after="0" w:line="240" w:lineRule="auto"/>
        <w:rPr>
          <w:rFonts w:cstheme="minorHAnsi"/>
          <w:b/>
          <w:sz w:val="20"/>
          <w:szCs w:val="20"/>
        </w:rPr>
      </w:pPr>
    </w:p>
    <w:p w14:paraId="319ED6EC" w14:textId="77777777" w:rsidR="00A83AD2" w:rsidRPr="00C644C2" w:rsidRDefault="00A83AD2" w:rsidP="00431683">
      <w:pPr>
        <w:spacing w:after="0" w:line="240" w:lineRule="auto"/>
        <w:rPr>
          <w:rFonts w:cstheme="minorHAnsi"/>
          <w:b/>
          <w:sz w:val="20"/>
          <w:szCs w:val="20"/>
        </w:rPr>
      </w:pPr>
    </w:p>
    <w:p w14:paraId="35A7F234" w14:textId="77777777" w:rsidR="00A83AD2" w:rsidRPr="00C644C2" w:rsidRDefault="00A83AD2" w:rsidP="00431683">
      <w:pPr>
        <w:spacing w:after="0" w:line="240" w:lineRule="auto"/>
        <w:rPr>
          <w:rFonts w:cstheme="minorHAnsi"/>
          <w:b/>
          <w:sz w:val="20"/>
          <w:szCs w:val="20"/>
        </w:rPr>
      </w:pPr>
    </w:p>
    <w:p w14:paraId="07037FE6" w14:textId="77777777" w:rsidR="007D3829" w:rsidRPr="00C644C2" w:rsidRDefault="007D3829">
      <w:pPr>
        <w:rPr>
          <w:rFonts w:cstheme="minorHAnsi"/>
          <w:b/>
          <w:sz w:val="20"/>
          <w:szCs w:val="20"/>
        </w:rPr>
      </w:pPr>
      <w:r w:rsidRPr="00C644C2">
        <w:rPr>
          <w:rFonts w:cstheme="minorHAnsi"/>
          <w:b/>
          <w:sz w:val="20"/>
          <w:szCs w:val="20"/>
        </w:rPr>
        <w:br w:type="page"/>
      </w:r>
    </w:p>
    <w:p w14:paraId="2C4E4737" w14:textId="77777777" w:rsidR="00AA3A96" w:rsidRPr="00C644C2" w:rsidRDefault="006B306D" w:rsidP="0038777A">
      <w:pPr>
        <w:spacing w:after="0" w:line="240" w:lineRule="auto"/>
        <w:rPr>
          <w:rFonts w:cstheme="minorHAnsi"/>
          <w:b/>
          <w:sz w:val="20"/>
          <w:szCs w:val="20"/>
        </w:rPr>
      </w:pPr>
      <w:r w:rsidRPr="00C644C2">
        <w:rPr>
          <w:rFonts w:cstheme="minorHAnsi"/>
          <w:b/>
          <w:sz w:val="20"/>
          <w:szCs w:val="20"/>
        </w:rPr>
        <w:lastRenderedPageBreak/>
        <w:t>(</w:t>
      </w:r>
      <w:r w:rsidR="001344EA" w:rsidRPr="00C644C2">
        <w:rPr>
          <w:rFonts w:cstheme="minorHAnsi"/>
          <w:b/>
          <w:sz w:val="20"/>
          <w:szCs w:val="20"/>
        </w:rPr>
        <w:t>b</w:t>
      </w:r>
      <w:r w:rsidRPr="00C644C2">
        <w:rPr>
          <w:rFonts w:cstheme="minorHAnsi"/>
          <w:b/>
          <w:sz w:val="20"/>
          <w:szCs w:val="20"/>
        </w:rPr>
        <w:t>)</w:t>
      </w:r>
    </w:p>
    <w:p w14:paraId="520EC659" w14:textId="77777777" w:rsidR="002E1AA2" w:rsidRPr="00C644C2" w:rsidRDefault="002E1AA2" w:rsidP="0038777A">
      <w:pPr>
        <w:spacing w:after="0" w:line="240" w:lineRule="auto"/>
        <w:rPr>
          <w:rFonts w:cstheme="minorHAnsi"/>
          <w:b/>
          <w:sz w:val="20"/>
          <w:szCs w:val="20"/>
        </w:rPr>
      </w:pPr>
      <w:r w:rsidRPr="00C644C2">
        <w:rPr>
          <w:rFonts w:cstheme="minorHAnsi"/>
          <w:b/>
          <w:noProof/>
          <w:sz w:val="20"/>
          <w:szCs w:val="20"/>
        </w:rPr>
        <w:drawing>
          <wp:inline distT="0" distB="0" distL="0" distR="0" wp14:anchorId="68CF2793" wp14:editId="6E2E1754">
            <wp:extent cx="5760720" cy="67202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10415_BBB_rat-VPC_SUPP2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6720205"/>
                    </a:xfrm>
                    <a:prstGeom prst="rect">
                      <a:avLst/>
                    </a:prstGeom>
                  </pic:spPr>
                </pic:pic>
              </a:graphicData>
            </a:graphic>
          </wp:inline>
        </w:drawing>
      </w:r>
    </w:p>
    <w:p w14:paraId="1BDC151B" w14:textId="113F45BD" w:rsidR="006B306D" w:rsidRPr="00C644C2" w:rsidRDefault="006B306D" w:rsidP="0038777A">
      <w:pPr>
        <w:spacing w:after="0" w:line="240" w:lineRule="auto"/>
        <w:rPr>
          <w:rFonts w:cstheme="minorHAnsi"/>
          <w:b/>
          <w:sz w:val="20"/>
          <w:szCs w:val="20"/>
        </w:rPr>
      </w:pPr>
    </w:p>
    <w:p w14:paraId="65227F4D" w14:textId="77777777" w:rsidR="006B306D" w:rsidRPr="00C644C2" w:rsidRDefault="006B306D">
      <w:pPr>
        <w:rPr>
          <w:rFonts w:cstheme="minorHAnsi"/>
          <w:b/>
          <w:sz w:val="20"/>
          <w:szCs w:val="20"/>
        </w:rPr>
      </w:pPr>
    </w:p>
    <w:p w14:paraId="777AACA6" w14:textId="77777777" w:rsidR="006B306D" w:rsidRPr="00C644C2" w:rsidRDefault="006B306D">
      <w:pPr>
        <w:rPr>
          <w:rFonts w:cstheme="minorHAnsi"/>
          <w:b/>
          <w:sz w:val="20"/>
          <w:szCs w:val="20"/>
        </w:rPr>
      </w:pPr>
    </w:p>
    <w:p w14:paraId="383E49ED" w14:textId="77777777" w:rsidR="006B306D" w:rsidRPr="00C644C2" w:rsidRDefault="006B306D">
      <w:pPr>
        <w:rPr>
          <w:rFonts w:cstheme="minorHAnsi"/>
          <w:b/>
          <w:sz w:val="20"/>
          <w:szCs w:val="20"/>
        </w:rPr>
      </w:pPr>
    </w:p>
    <w:p w14:paraId="48A6D90C" w14:textId="77777777" w:rsidR="006B306D" w:rsidRPr="00C644C2" w:rsidRDefault="006B306D">
      <w:pPr>
        <w:rPr>
          <w:rFonts w:cstheme="minorHAnsi"/>
          <w:b/>
          <w:sz w:val="20"/>
          <w:szCs w:val="20"/>
        </w:rPr>
      </w:pPr>
    </w:p>
    <w:p w14:paraId="43E173EE" w14:textId="77777777" w:rsidR="006B306D" w:rsidRPr="00C644C2" w:rsidRDefault="006B306D">
      <w:pPr>
        <w:rPr>
          <w:rFonts w:cstheme="minorHAnsi"/>
          <w:b/>
          <w:sz w:val="20"/>
          <w:szCs w:val="20"/>
        </w:rPr>
      </w:pPr>
    </w:p>
    <w:p w14:paraId="3B2951BF" w14:textId="77777777" w:rsidR="006B306D" w:rsidRPr="00C644C2" w:rsidRDefault="006B306D">
      <w:pPr>
        <w:rPr>
          <w:rFonts w:cstheme="minorHAnsi"/>
          <w:b/>
          <w:sz w:val="20"/>
          <w:szCs w:val="20"/>
        </w:rPr>
      </w:pPr>
      <w:r w:rsidRPr="00C644C2">
        <w:rPr>
          <w:rFonts w:cstheme="minorHAnsi"/>
          <w:noProof/>
          <w:sz w:val="20"/>
          <w:szCs w:val="20"/>
        </w:rPr>
        <w:lastRenderedPageBreak/>
        <w:drawing>
          <wp:anchor distT="0" distB="0" distL="114300" distR="114300" simplePos="0" relativeHeight="251662336" behindDoc="1" locked="0" layoutInCell="1" allowOverlap="1" wp14:anchorId="5DE206A3" wp14:editId="432575A7">
            <wp:simplePos x="0" y="0"/>
            <wp:positionH relativeFrom="margin">
              <wp:posOffset>379562</wp:posOffset>
            </wp:positionH>
            <wp:positionV relativeFrom="paragraph">
              <wp:posOffset>324676</wp:posOffset>
            </wp:positionV>
            <wp:extent cx="5760720" cy="2879090"/>
            <wp:effectExtent l="0" t="0" r="0" b="0"/>
            <wp:wrapTight wrapText="bothSides">
              <wp:wrapPolygon edited="0">
                <wp:start x="0" y="0"/>
                <wp:lineTo x="0" y="21438"/>
                <wp:lineTo x="21500" y="21438"/>
                <wp:lineTo x="2150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_Figure_2F.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14:sizeRelH relativeFrom="page">
              <wp14:pctWidth>0</wp14:pctWidth>
            </wp14:sizeRelH>
            <wp14:sizeRelV relativeFrom="page">
              <wp14:pctHeight>0</wp14:pctHeight>
            </wp14:sizeRelV>
          </wp:anchor>
        </w:drawing>
      </w:r>
      <w:r w:rsidRPr="00C644C2">
        <w:rPr>
          <w:rFonts w:cstheme="minorHAnsi"/>
          <w:b/>
          <w:sz w:val="20"/>
          <w:szCs w:val="20"/>
        </w:rPr>
        <w:t>(</w:t>
      </w:r>
      <w:r w:rsidR="001344EA" w:rsidRPr="00C644C2">
        <w:rPr>
          <w:rFonts w:cstheme="minorHAnsi"/>
          <w:b/>
          <w:sz w:val="20"/>
          <w:szCs w:val="20"/>
        </w:rPr>
        <w:t>c</w:t>
      </w:r>
      <w:r w:rsidRPr="00C644C2">
        <w:rPr>
          <w:rFonts w:cstheme="minorHAnsi"/>
          <w:b/>
          <w:sz w:val="20"/>
          <w:szCs w:val="20"/>
        </w:rPr>
        <w:t>)</w:t>
      </w:r>
      <w:r w:rsidRPr="00C644C2">
        <w:rPr>
          <w:rFonts w:cstheme="minorHAnsi"/>
          <w:b/>
          <w:sz w:val="20"/>
          <w:szCs w:val="20"/>
        </w:rPr>
        <w:br w:type="page"/>
      </w:r>
    </w:p>
    <w:p w14:paraId="3B31CF86" w14:textId="77777777" w:rsidR="00431683" w:rsidRPr="00C644C2" w:rsidRDefault="00431683" w:rsidP="00431683">
      <w:pPr>
        <w:spacing w:after="0" w:line="240" w:lineRule="auto"/>
        <w:rPr>
          <w:rFonts w:cstheme="minorHAnsi"/>
          <w:sz w:val="20"/>
          <w:szCs w:val="20"/>
        </w:rPr>
      </w:pPr>
      <w:r w:rsidRPr="00C644C2">
        <w:rPr>
          <w:rFonts w:cstheme="minorHAnsi"/>
          <w:b/>
          <w:sz w:val="20"/>
          <w:szCs w:val="20"/>
        </w:rPr>
        <w:lastRenderedPageBreak/>
        <w:t>Supplementary fig</w:t>
      </w:r>
      <w:r w:rsidR="001344EA" w:rsidRPr="00C644C2">
        <w:rPr>
          <w:rFonts w:cstheme="minorHAnsi"/>
          <w:b/>
          <w:sz w:val="20"/>
          <w:szCs w:val="20"/>
        </w:rPr>
        <w:t xml:space="preserve">. </w:t>
      </w:r>
      <w:r w:rsidRPr="00C644C2">
        <w:rPr>
          <w:rFonts w:cstheme="minorHAnsi"/>
          <w:b/>
          <w:sz w:val="20"/>
          <w:szCs w:val="20"/>
        </w:rPr>
        <w:t>3:</w:t>
      </w:r>
      <w:r w:rsidRPr="00C644C2">
        <w:rPr>
          <w:rFonts w:cstheme="minorHAnsi"/>
          <w:sz w:val="20"/>
          <w:szCs w:val="20"/>
        </w:rPr>
        <w:t xml:space="preserve"> Model evaluation of the human </w:t>
      </w:r>
      <w:r w:rsidR="00687C43" w:rsidRPr="00C644C2">
        <w:rPr>
          <w:rFonts w:cstheme="minorHAnsi"/>
          <w:sz w:val="20"/>
          <w:szCs w:val="20"/>
        </w:rPr>
        <w:t>LeiCNS-PK3.0</w:t>
      </w:r>
      <w:r w:rsidRPr="00C644C2">
        <w:rPr>
          <w:rFonts w:cstheme="minorHAnsi"/>
          <w:sz w:val="20"/>
          <w:szCs w:val="20"/>
        </w:rPr>
        <w:t xml:space="preserve"> model. Boxplot of the relative accuracy error calculated for different drugs. Green and yellow solid lines represent two- and five- fold error, respectively. ECF: brain extracellular fluid, SAS: subarachnoid space.</w:t>
      </w:r>
    </w:p>
    <w:p w14:paraId="00F317EF" w14:textId="77777777" w:rsidR="00431683" w:rsidRPr="00C644C2" w:rsidRDefault="00431683" w:rsidP="00431683">
      <w:pPr>
        <w:spacing w:after="0" w:line="240" w:lineRule="auto"/>
        <w:rPr>
          <w:rFonts w:cstheme="minorHAnsi"/>
          <w:sz w:val="20"/>
          <w:szCs w:val="20"/>
        </w:rPr>
      </w:pPr>
    </w:p>
    <w:p w14:paraId="08E9CD8C" w14:textId="77777777" w:rsidR="00A0144C" w:rsidRPr="00C644C2" w:rsidRDefault="00A83AD2">
      <w:pPr>
        <w:rPr>
          <w:rFonts w:cstheme="minorHAnsi"/>
          <w:b/>
          <w:sz w:val="20"/>
          <w:szCs w:val="20"/>
        </w:rPr>
      </w:pPr>
      <w:r w:rsidRPr="00C644C2">
        <w:rPr>
          <w:rFonts w:cstheme="minorHAnsi"/>
          <w:noProof/>
          <w:sz w:val="20"/>
          <w:szCs w:val="20"/>
        </w:rPr>
        <w:drawing>
          <wp:anchor distT="0" distB="0" distL="114300" distR="114300" simplePos="0" relativeHeight="251663360" behindDoc="1" locked="0" layoutInCell="1" allowOverlap="1" wp14:anchorId="0F1F6ABA" wp14:editId="434E19FE">
            <wp:simplePos x="0" y="0"/>
            <wp:positionH relativeFrom="margin">
              <wp:align>right</wp:align>
            </wp:positionH>
            <wp:positionV relativeFrom="paragraph">
              <wp:posOffset>279926</wp:posOffset>
            </wp:positionV>
            <wp:extent cx="5760720" cy="2879090"/>
            <wp:effectExtent l="0" t="0" r="0" b="0"/>
            <wp:wrapTight wrapText="bothSides">
              <wp:wrapPolygon edited="0">
                <wp:start x="0" y="0"/>
                <wp:lineTo x="0" y="21438"/>
                <wp:lineTo x="21500" y="21438"/>
                <wp:lineTo x="215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_Figure_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14:sizeRelH relativeFrom="page">
              <wp14:pctWidth>0</wp14:pctWidth>
            </wp14:sizeRelH>
            <wp14:sizeRelV relativeFrom="page">
              <wp14:pctHeight>0</wp14:pctHeight>
            </wp14:sizeRelV>
          </wp:anchor>
        </w:drawing>
      </w:r>
      <w:r w:rsidR="00A0144C" w:rsidRPr="00C644C2">
        <w:rPr>
          <w:rFonts w:cstheme="minorHAnsi"/>
          <w:b/>
          <w:sz w:val="20"/>
          <w:szCs w:val="20"/>
        </w:rPr>
        <w:br w:type="page"/>
      </w:r>
    </w:p>
    <w:p w14:paraId="0C7F1D4D" w14:textId="77777777" w:rsidR="00431683" w:rsidRPr="00C644C2" w:rsidRDefault="00431683" w:rsidP="00431683">
      <w:pPr>
        <w:spacing w:after="0" w:line="240" w:lineRule="auto"/>
        <w:rPr>
          <w:rFonts w:cstheme="minorHAnsi"/>
          <w:sz w:val="20"/>
          <w:szCs w:val="20"/>
        </w:rPr>
      </w:pPr>
      <w:r w:rsidRPr="00C644C2">
        <w:rPr>
          <w:rFonts w:cstheme="minorHAnsi"/>
          <w:b/>
          <w:sz w:val="20"/>
          <w:szCs w:val="20"/>
        </w:rPr>
        <w:lastRenderedPageBreak/>
        <w:t>Supplementary fig</w:t>
      </w:r>
      <w:r w:rsidR="001344EA" w:rsidRPr="00C644C2">
        <w:rPr>
          <w:rFonts w:cstheme="minorHAnsi"/>
          <w:b/>
          <w:sz w:val="20"/>
          <w:szCs w:val="20"/>
        </w:rPr>
        <w:t>.</w:t>
      </w:r>
      <w:r w:rsidRPr="00C644C2">
        <w:rPr>
          <w:rFonts w:cstheme="minorHAnsi"/>
          <w:b/>
          <w:sz w:val="20"/>
          <w:szCs w:val="20"/>
        </w:rPr>
        <w:t xml:space="preserve"> 4 </w:t>
      </w:r>
      <w:r w:rsidR="001344EA" w:rsidRPr="00C644C2">
        <w:rPr>
          <w:rFonts w:cstheme="minorHAnsi"/>
          <w:b/>
          <w:sz w:val="20"/>
          <w:szCs w:val="20"/>
        </w:rPr>
        <w:t>a</w:t>
      </w:r>
      <w:r w:rsidRPr="00C644C2">
        <w:rPr>
          <w:rFonts w:cstheme="minorHAnsi"/>
          <w:b/>
          <w:sz w:val="20"/>
          <w:szCs w:val="20"/>
        </w:rPr>
        <w:t>-</w:t>
      </w:r>
      <w:r w:rsidR="001344EA" w:rsidRPr="00C644C2">
        <w:rPr>
          <w:rFonts w:cstheme="minorHAnsi"/>
          <w:b/>
          <w:sz w:val="20"/>
          <w:szCs w:val="20"/>
        </w:rPr>
        <w:t>e</w:t>
      </w:r>
      <w:r w:rsidRPr="00C644C2">
        <w:rPr>
          <w:rFonts w:cstheme="minorHAnsi"/>
          <w:sz w:val="20"/>
          <w:szCs w:val="20"/>
        </w:rPr>
        <w:t xml:space="preserve"> Pharmacokinetic profiles of test drugs at brain extracellular (ECF) fluid and subarachnoid space (SAS) at physiologic and two-fold altered cerebrospinal fluid (CSF) volume and flow. Changing CSF dynamics affects SAS pharmacokinetics and not brain ECF pharmacokinetics. Test drugs included methotrexate, phenytoin, atenolol, raclopride, and risperidone. ECF: brain extracellular fluid, SAS: subarachnoid space.</w:t>
      </w:r>
    </w:p>
    <w:p w14:paraId="0393BCC0" w14:textId="77777777" w:rsidR="00FF024B" w:rsidRPr="00C644C2" w:rsidRDefault="00FF024B" w:rsidP="00431683">
      <w:pPr>
        <w:spacing w:after="0" w:line="240" w:lineRule="auto"/>
        <w:rPr>
          <w:rFonts w:cstheme="minorHAnsi"/>
          <w:sz w:val="20"/>
          <w:szCs w:val="20"/>
        </w:rPr>
      </w:pPr>
      <w:r w:rsidRPr="00C644C2">
        <w:rPr>
          <w:rFonts w:cstheme="minorHAnsi"/>
          <w:sz w:val="20"/>
          <w:szCs w:val="20"/>
        </w:rPr>
        <w:t>a)</w:t>
      </w:r>
    </w:p>
    <w:p w14:paraId="55BCBC32" w14:textId="77777777" w:rsidR="00FF024B" w:rsidRPr="00C644C2" w:rsidRDefault="00A0144C" w:rsidP="00431683">
      <w:pPr>
        <w:spacing w:after="0" w:line="240" w:lineRule="auto"/>
        <w:rPr>
          <w:rFonts w:cstheme="minorHAnsi"/>
          <w:sz w:val="20"/>
          <w:szCs w:val="20"/>
        </w:rPr>
      </w:pPr>
      <w:r w:rsidRPr="00C644C2">
        <w:rPr>
          <w:rFonts w:cstheme="minorHAnsi"/>
          <w:noProof/>
          <w:sz w:val="20"/>
          <w:szCs w:val="20"/>
        </w:rPr>
        <w:drawing>
          <wp:inline distT="0" distB="0" distL="0" distR="0" wp14:anchorId="2647F67F" wp14:editId="31C83C15">
            <wp:extent cx="5760720" cy="28790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_Figure_4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448CB353" w14:textId="77777777" w:rsidR="00FF024B" w:rsidRPr="00C644C2" w:rsidRDefault="00FF024B" w:rsidP="00431683">
      <w:pPr>
        <w:spacing w:after="0" w:line="240" w:lineRule="auto"/>
        <w:rPr>
          <w:rFonts w:cstheme="minorHAnsi"/>
          <w:sz w:val="20"/>
          <w:szCs w:val="20"/>
        </w:rPr>
      </w:pPr>
      <w:r w:rsidRPr="00C644C2">
        <w:rPr>
          <w:rFonts w:cstheme="minorHAnsi"/>
          <w:sz w:val="20"/>
          <w:szCs w:val="20"/>
        </w:rPr>
        <w:t>b)</w:t>
      </w:r>
      <w:r w:rsidR="00A0144C" w:rsidRPr="00C644C2">
        <w:rPr>
          <w:rFonts w:cstheme="minorHAnsi"/>
          <w:noProof/>
          <w:sz w:val="20"/>
          <w:szCs w:val="20"/>
        </w:rPr>
        <w:drawing>
          <wp:inline distT="0" distB="0" distL="0" distR="0" wp14:anchorId="69B5B237" wp14:editId="7A82D7D8">
            <wp:extent cx="5760720" cy="28790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_Figure_4B.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64C8618C" w14:textId="77777777" w:rsidR="00FF024B" w:rsidRPr="00C644C2" w:rsidRDefault="00FF024B">
      <w:pPr>
        <w:rPr>
          <w:rFonts w:cstheme="minorHAnsi"/>
          <w:sz w:val="20"/>
          <w:szCs w:val="20"/>
        </w:rPr>
      </w:pPr>
      <w:r w:rsidRPr="00C644C2">
        <w:rPr>
          <w:rFonts w:cstheme="minorHAnsi"/>
          <w:sz w:val="20"/>
          <w:szCs w:val="20"/>
        </w:rPr>
        <w:br w:type="page"/>
      </w:r>
    </w:p>
    <w:p w14:paraId="7653355C" w14:textId="77777777" w:rsidR="00FF024B" w:rsidRPr="00C644C2" w:rsidRDefault="00FF024B" w:rsidP="00431683">
      <w:pPr>
        <w:spacing w:after="0" w:line="240" w:lineRule="auto"/>
        <w:rPr>
          <w:rFonts w:cstheme="minorHAnsi"/>
          <w:sz w:val="20"/>
          <w:szCs w:val="20"/>
        </w:rPr>
      </w:pPr>
      <w:r w:rsidRPr="00C644C2">
        <w:rPr>
          <w:rFonts w:cstheme="minorHAnsi"/>
          <w:sz w:val="20"/>
          <w:szCs w:val="20"/>
        </w:rPr>
        <w:lastRenderedPageBreak/>
        <w:t>c)</w:t>
      </w:r>
      <w:r w:rsidR="00A0144C" w:rsidRPr="00C644C2">
        <w:rPr>
          <w:rFonts w:cstheme="minorHAnsi"/>
          <w:noProof/>
          <w:sz w:val="20"/>
          <w:szCs w:val="20"/>
        </w:rPr>
        <w:drawing>
          <wp:inline distT="0" distB="0" distL="0" distR="0" wp14:anchorId="089F80F1" wp14:editId="6A22609C">
            <wp:extent cx="5760720" cy="28790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_Figure_4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71331423" w14:textId="77777777" w:rsidR="00FF024B" w:rsidRPr="00C644C2" w:rsidRDefault="00FF024B" w:rsidP="00431683">
      <w:pPr>
        <w:spacing w:after="0" w:line="240" w:lineRule="auto"/>
        <w:rPr>
          <w:rFonts w:cstheme="minorHAnsi"/>
          <w:sz w:val="20"/>
          <w:szCs w:val="20"/>
        </w:rPr>
      </w:pPr>
      <w:r w:rsidRPr="00C644C2">
        <w:rPr>
          <w:rFonts w:cstheme="minorHAnsi"/>
          <w:sz w:val="20"/>
          <w:szCs w:val="20"/>
        </w:rPr>
        <w:t>d)</w:t>
      </w:r>
      <w:r w:rsidR="00E745FB" w:rsidRPr="00C644C2">
        <w:rPr>
          <w:rFonts w:cstheme="minorHAnsi"/>
          <w:noProof/>
          <w:sz w:val="20"/>
          <w:szCs w:val="20"/>
        </w:rPr>
        <w:drawing>
          <wp:inline distT="0" distB="0" distL="0" distR="0" wp14:anchorId="43E13051" wp14:editId="31075FA1">
            <wp:extent cx="5760720" cy="28790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_Figure_4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4F987D86" w14:textId="77777777" w:rsidR="00A0144C" w:rsidRPr="00C644C2" w:rsidRDefault="00FF024B" w:rsidP="00431683">
      <w:pPr>
        <w:spacing w:after="0" w:line="240" w:lineRule="auto"/>
        <w:rPr>
          <w:rFonts w:cstheme="minorHAnsi"/>
          <w:sz w:val="20"/>
          <w:szCs w:val="20"/>
        </w:rPr>
      </w:pPr>
      <w:r w:rsidRPr="00C644C2">
        <w:rPr>
          <w:rFonts w:cstheme="minorHAnsi"/>
          <w:sz w:val="20"/>
          <w:szCs w:val="20"/>
        </w:rPr>
        <w:lastRenderedPageBreak/>
        <w:t>e)</w:t>
      </w:r>
      <w:r w:rsidR="00A0144C" w:rsidRPr="00C644C2">
        <w:rPr>
          <w:rFonts w:cstheme="minorHAnsi"/>
          <w:noProof/>
          <w:sz w:val="20"/>
          <w:szCs w:val="20"/>
        </w:rPr>
        <w:drawing>
          <wp:inline distT="0" distB="0" distL="0" distR="0" wp14:anchorId="02EC72EB" wp14:editId="4401432A">
            <wp:extent cx="5760720" cy="28790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_Figure_4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28144C6E" w14:textId="77777777" w:rsidR="00A0144C" w:rsidRPr="00C644C2" w:rsidRDefault="00A0144C">
      <w:pPr>
        <w:rPr>
          <w:rFonts w:cstheme="minorHAnsi"/>
          <w:sz w:val="20"/>
          <w:szCs w:val="20"/>
        </w:rPr>
      </w:pPr>
      <w:r w:rsidRPr="00C644C2">
        <w:rPr>
          <w:rFonts w:cstheme="minorHAnsi"/>
          <w:sz w:val="20"/>
          <w:szCs w:val="20"/>
        </w:rPr>
        <w:br w:type="page"/>
      </w:r>
    </w:p>
    <w:p w14:paraId="2DC4EE21" w14:textId="77777777" w:rsidR="00A0144C" w:rsidRPr="00C644C2" w:rsidRDefault="00A0144C" w:rsidP="00A0144C">
      <w:pPr>
        <w:spacing w:after="0" w:line="240" w:lineRule="auto"/>
        <w:rPr>
          <w:rFonts w:cstheme="minorHAnsi"/>
          <w:sz w:val="20"/>
          <w:szCs w:val="20"/>
        </w:rPr>
      </w:pPr>
      <w:r w:rsidRPr="00C644C2">
        <w:rPr>
          <w:rFonts w:cstheme="minorHAnsi"/>
          <w:b/>
          <w:sz w:val="20"/>
          <w:szCs w:val="20"/>
        </w:rPr>
        <w:lastRenderedPageBreak/>
        <w:t>Supplementary fig</w:t>
      </w:r>
      <w:r w:rsidR="001344EA" w:rsidRPr="00C644C2">
        <w:rPr>
          <w:rFonts w:cstheme="minorHAnsi"/>
          <w:b/>
          <w:sz w:val="20"/>
          <w:szCs w:val="20"/>
        </w:rPr>
        <w:t>.</w:t>
      </w:r>
      <w:r w:rsidRPr="00C644C2">
        <w:rPr>
          <w:rFonts w:cstheme="minorHAnsi"/>
          <w:b/>
          <w:sz w:val="20"/>
          <w:szCs w:val="20"/>
        </w:rPr>
        <w:t xml:space="preserve"> 5 </w:t>
      </w:r>
      <w:r w:rsidR="001344EA" w:rsidRPr="00C644C2">
        <w:rPr>
          <w:rFonts w:cstheme="minorHAnsi"/>
          <w:b/>
          <w:sz w:val="20"/>
          <w:szCs w:val="20"/>
        </w:rPr>
        <w:t>a-e</w:t>
      </w:r>
      <w:r w:rsidRPr="00C644C2">
        <w:rPr>
          <w:rFonts w:cstheme="minorHAnsi"/>
          <w:sz w:val="20"/>
          <w:szCs w:val="20"/>
        </w:rPr>
        <w:t xml:space="preserve"> Pharmacokinetic profiles of test drugs at brain extracellular (ECF) fluid and subarachnoid space (SAS) at physiologic and five-fold altered cerebrospinal fluid (CSF) volume and flow. Changing CSF dynamics affects SAS pharmacokinetics and not brain ECF pharmacokinetics. Test drugs included methotrexate, phenytoin, atenolol, raclopride, and risperidone. ECF: brain extracellular fluid, SAS: subarachnoid space.</w:t>
      </w:r>
    </w:p>
    <w:p w14:paraId="76F03D7A" w14:textId="77777777" w:rsidR="00FF024B" w:rsidRPr="00C644C2" w:rsidRDefault="00FF024B">
      <w:pPr>
        <w:rPr>
          <w:rFonts w:cstheme="minorHAnsi"/>
          <w:sz w:val="20"/>
          <w:szCs w:val="20"/>
        </w:rPr>
      </w:pPr>
      <w:r w:rsidRPr="00C644C2">
        <w:rPr>
          <w:rFonts w:cstheme="minorHAnsi"/>
          <w:sz w:val="20"/>
          <w:szCs w:val="20"/>
        </w:rPr>
        <w:t>a)</w:t>
      </w:r>
      <w:r w:rsidR="00A0144C" w:rsidRPr="00C644C2">
        <w:rPr>
          <w:rFonts w:cstheme="minorHAnsi"/>
          <w:noProof/>
          <w:sz w:val="20"/>
          <w:szCs w:val="20"/>
        </w:rPr>
        <w:drawing>
          <wp:inline distT="0" distB="0" distL="0" distR="0" wp14:anchorId="7F7A7906" wp14:editId="1881D910">
            <wp:extent cx="5760720" cy="28790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_Figure_5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79737B2F" w14:textId="77777777" w:rsidR="00FF024B" w:rsidRPr="00C644C2" w:rsidRDefault="00FF024B">
      <w:pPr>
        <w:rPr>
          <w:rFonts w:cstheme="minorHAnsi"/>
          <w:sz w:val="20"/>
          <w:szCs w:val="20"/>
        </w:rPr>
      </w:pPr>
      <w:r w:rsidRPr="00C644C2">
        <w:rPr>
          <w:rFonts w:cstheme="minorHAnsi"/>
          <w:sz w:val="20"/>
          <w:szCs w:val="20"/>
        </w:rPr>
        <w:t>b)</w:t>
      </w:r>
      <w:r w:rsidR="00A0144C" w:rsidRPr="00C644C2">
        <w:rPr>
          <w:rFonts w:cstheme="minorHAnsi"/>
          <w:noProof/>
          <w:sz w:val="20"/>
          <w:szCs w:val="20"/>
        </w:rPr>
        <w:drawing>
          <wp:inline distT="0" distB="0" distL="0" distR="0" wp14:anchorId="4870F448" wp14:editId="30585436">
            <wp:extent cx="5760720" cy="28790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ry_Figure_5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5E49C2AB" w14:textId="77777777" w:rsidR="00FF024B" w:rsidRPr="00C644C2" w:rsidRDefault="00FF024B">
      <w:pPr>
        <w:rPr>
          <w:rFonts w:cstheme="minorHAnsi"/>
          <w:sz w:val="20"/>
          <w:szCs w:val="20"/>
        </w:rPr>
      </w:pPr>
      <w:r w:rsidRPr="00C644C2">
        <w:rPr>
          <w:rFonts w:cstheme="minorHAnsi"/>
          <w:sz w:val="20"/>
          <w:szCs w:val="20"/>
        </w:rPr>
        <w:br w:type="page"/>
      </w:r>
    </w:p>
    <w:p w14:paraId="69086D3E" w14:textId="347D1599" w:rsidR="00FF024B" w:rsidRPr="00C644C2" w:rsidRDefault="00FF024B">
      <w:pPr>
        <w:rPr>
          <w:rFonts w:cstheme="minorHAnsi"/>
          <w:sz w:val="20"/>
          <w:szCs w:val="20"/>
        </w:rPr>
      </w:pPr>
      <w:r w:rsidRPr="00C644C2">
        <w:rPr>
          <w:rFonts w:cstheme="minorHAnsi"/>
          <w:sz w:val="20"/>
          <w:szCs w:val="20"/>
        </w:rPr>
        <w:lastRenderedPageBreak/>
        <w:t>c)</w:t>
      </w:r>
      <w:r w:rsidR="00A0144C" w:rsidRPr="00C644C2">
        <w:rPr>
          <w:rFonts w:cstheme="minorHAnsi"/>
          <w:noProof/>
          <w:sz w:val="20"/>
          <w:szCs w:val="20"/>
        </w:rPr>
        <w:drawing>
          <wp:inline distT="0" distB="0" distL="0" distR="0" wp14:anchorId="47A35E3A" wp14:editId="6162C344">
            <wp:extent cx="5760720" cy="28790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_Figure_5C.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0353D797" w14:textId="77777777" w:rsidR="00FF024B" w:rsidRPr="00C644C2" w:rsidRDefault="00FF024B">
      <w:pPr>
        <w:rPr>
          <w:rFonts w:cstheme="minorHAnsi"/>
          <w:sz w:val="20"/>
          <w:szCs w:val="20"/>
        </w:rPr>
      </w:pPr>
      <w:r w:rsidRPr="00C644C2">
        <w:rPr>
          <w:rFonts w:cstheme="minorHAnsi"/>
          <w:sz w:val="20"/>
          <w:szCs w:val="20"/>
        </w:rPr>
        <w:t>d)</w:t>
      </w:r>
      <w:r w:rsidR="00A0144C" w:rsidRPr="00C644C2">
        <w:rPr>
          <w:rFonts w:cstheme="minorHAnsi"/>
          <w:noProof/>
          <w:sz w:val="20"/>
          <w:szCs w:val="20"/>
        </w:rPr>
        <w:drawing>
          <wp:inline distT="0" distB="0" distL="0" distR="0" wp14:anchorId="24E9ECA2" wp14:editId="3D27D007">
            <wp:extent cx="5760720" cy="28790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ry_Figure_5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42827D31" w14:textId="77777777" w:rsidR="000B2139" w:rsidRPr="00C644C2" w:rsidRDefault="00FF024B">
      <w:pPr>
        <w:rPr>
          <w:rFonts w:cstheme="minorHAnsi"/>
          <w:sz w:val="20"/>
          <w:szCs w:val="20"/>
        </w:rPr>
      </w:pPr>
      <w:r w:rsidRPr="00C644C2">
        <w:rPr>
          <w:rFonts w:cstheme="minorHAnsi"/>
          <w:sz w:val="20"/>
          <w:szCs w:val="20"/>
        </w:rPr>
        <w:lastRenderedPageBreak/>
        <w:t>e)</w:t>
      </w:r>
      <w:r w:rsidR="00A0144C" w:rsidRPr="00C644C2">
        <w:rPr>
          <w:rFonts w:cstheme="minorHAnsi"/>
          <w:noProof/>
          <w:sz w:val="20"/>
          <w:szCs w:val="20"/>
        </w:rPr>
        <w:drawing>
          <wp:inline distT="0" distB="0" distL="0" distR="0" wp14:anchorId="3B6479D4" wp14:editId="18A29954">
            <wp:extent cx="5760720" cy="28790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lementary_Figure_5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879090"/>
                    </a:xfrm>
                    <a:prstGeom prst="rect">
                      <a:avLst/>
                    </a:prstGeom>
                  </pic:spPr>
                </pic:pic>
              </a:graphicData>
            </a:graphic>
          </wp:inline>
        </w:drawing>
      </w:r>
    </w:p>
    <w:p w14:paraId="2309A9A1" w14:textId="77777777" w:rsidR="002F0FF1" w:rsidRPr="00C644C2" w:rsidRDefault="002F0FF1" w:rsidP="00CC23C8">
      <w:pPr>
        <w:spacing w:after="0" w:line="240" w:lineRule="auto"/>
        <w:rPr>
          <w:rFonts w:cstheme="minorHAnsi"/>
          <w:b/>
          <w:sz w:val="20"/>
          <w:szCs w:val="20"/>
        </w:rPr>
        <w:sectPr w:rsidR="002F0FF1" w:rsidRPr="00C644C2">
          <w:footnotePr>
            <w:numFmt w:val="lowerLetter"/>
          </w:footnotePr>
          <w:pgSz w:w="11906" w:h="16838"/>
          <w:pgMar w:top="1417" w:right="1417" w:bottom="1417" w:left="1417" w:header="708" w:footer="708" w:gutter="0"/>
          <w:cols w:space="708"/>
          <w:docGrid w:linePitch="360"/>
        </w:sectPr>
      </w:pPr>
    </w:p>
    <w:p w14:paraId="44BD5463" w14:textId="77777777" w:rsidR="00CC23C8" w:rsidRPr="00C644C2" w:rsidRDefault="00CC23C8" w:rsidP="002F0FF1">
      <w:pPr>
        <w:spacing w:after="0" w:line="240" w:lineRule="auto"/>
        <w:rPr>
          <w:rFonts w:cstheme="minorHAnsi"/>
          <w:b/>
          <w:sz w:val="20"/>
          <w:szCs w:val="20"/>
        </w:rPr>
      </w:pPr>
      <w:r w:rsidRPr="00C644C2">
        <w:rPr>
          <w:rFonts w:cstheme="minorHAnsi"/>
          <w:b/>
          <w:sz w:val="20"/>
          <w:szCs w:val="20"/>
        </w:rPr>
        <w:lastRenderedPageBreak/>
        <w:t>Supplementary fig</w:t>
      </w:r>
      <w:r w:rsidR="001344EA" w:rsidRPr="00C644C2">
        <w:rPr>
          <w:rFonts w:cstheme="minorHAnsi"/>
          <w:b/>
          <w:sz w:val="20"/>
          <w:szCs w:val="20"/>
        </w:rPr>
        <w:t>. 6</w:t>
      </w:r>
      <w:r w:rsidRPr="00C644C2">
        <w:rPr>
          <w:rFonts w:cstheme="minorHAnsi"/>
          <w:b/>
          <w:sz w:val="20"/>
          <w:szCs w:val="20"/>
        </w:rPr>
        <w:t xml:space="preserve"> </w:t>
      </w:r>
      <w:r w:rsidRPr="00C644C2">
        <w:rPr>
          <w:rFonts w:cstheme="minorHAnsi"/>
          <w:sz w:val="20"/>
          <w:szCs w:val="20"/>
        </w:rPr>
        <w:t xml:space="preserve">LeiCNS-PK3.0 sensitivity analysis results. The heatmap highlights that CNS parameters that impact the drug pharmacokinetic profile at the brain extracellular fluid, brain cells, and subarachnoid space. </w:t>
      </w:r>
      <w:r w:rsidR="00A47E0E" w:rsidRPr="00C644C2">
        <w:rPr>
          <w:rFonts w:cstheme="minorHAnsi"/>
          <w:sz w:val="20"/>
          <w:szCs w:val="20"/>
        </w:rPr>
        <w:t>The colored scale is log</w:t>
      </w:r>
      <w:r w:rsidR="00A47E0E" w:rsidRPr="00C644C2">
        <w:rPr>
          <w:rFonts w:cstheme="minorHAnsi"/>
          <w:sz w:val="20"/>
          <w:szCs w:val="20"/>
          <w:vertAlign w:val="subscript"/>
        </w:rPr>
        <w:t>2</w:t>
      </w:r>
      <w:r w:rsidR="00A47E0E" w:rsidRPr="00C644C2">
        <w:rPr>
          <w:rFonts w:cstheme="minorHAnsi"/>
          <w:sz w:val="20"/>
          <w:szCs w:val="20"/>
        </w:rPr>
        <w:t xml:space="preserve"> transformed and thus 1 indicate two-fold higher outcome. </w:t>
      </w:r>
      <w:r w:rsidRPr="00C644C2">
        <w:rPr>
          <w:rFonts w:cstheme="minorHAnsi"/>
          <w:sz w:val="20"/>
          <w:szCs w:val="20"/>
        </w:rPr>
        <w:t xml:space="preserve">AUC: area under the concentration-time curve, </w:t>
      </w:r>
      <w:proofErr w:type="spellStart"/>
      <w:r w:rsidRPr="00C644C2">
        <w:rPr>
          <w:rFonts w:cstheme="minorHAnsi"/>
          <w:sz w:val="20"/>
          <w:szCs w:val="20"/>
        </w:rPr>
        <w:t>C</w:t>
      </w:r>
      <w:r w:rsidRPr="00C644C2">
        <w:rPr>
          <w:rFonts w:cstheme="minorHAnsi"/>
          <w:sz w:val="20"/>
          <w:szCs w:val="20"/>
          <w:vertAlign w:val="subscript"/>
        </w:rPr>
        <w:t>max</w:t>
      </w:r>
      <w:proofErr w:type="spellEnd"/>
      <w:r w:rsidRPr="00C644C2">
        <w:rPr>
          <w:rFonts w:cstheme="minorHAnsi"/>
          <w:sz w:val="20"/>
          <w:szCs w:val="20"/>
        </w:rPr>
        <w:t>:</w:t>
      </w:r>
      <w:r w:rsidR="001C5405" w:rsidRPr="00C644C2">
        <w:rPr>
          <w:rFonts w:cstheme="minorHAnsi"/>
          <w:sz w:val="20"/>
          <w:szCs w:val="20"/>
        </w:rPr>
        <w:t xml:space="preserve"> maximum </w:t>
      </w:r>
      <w:r w:rsidRPr="00C644C2">
        <w:rPr>
          <w:rFonts w:cstheme="minorHAnsi"/>
          <w:sz w:val="20"/>
          <w:szCs w:val="20"/>
        </w:rPr>
        <w:t xml:space="preserve">concentration, </w:t>
      </w:r>
      <w:proofErr w:type="spellStart"/>
      <w:r w:rsidRPr="00C644C2">
        <w:rPr>
          <w:rFonts w:cstheme="minorHAnsi"/>
          <w:sz w:val="20"/>
          <w:szCs w:val="20"/>
        </w:rPr>
        <w:t>kp</w:t>
      </w:r>
      <w:r w:rsidRPr="00C644C2">
        <w:rPr>
          <w:rFonts w:cstheme="minorHAnsi"/>
          <w:sz w:val="20"/>
          <w:szCs w:val="20"/>
          <w:vertAlign w:val="subscript"/>
        </w:rPr>
        <w:t>uu,ECF</w:t>
      </w:r>
      <w:proofErr w:type="spellEnd"/>
      <w:r w:rsidRPr="00C644C2">
        <w:rPr>
          <w:rFonts w:cstheme="minorHAnsi"/>
          <w:sz w:val="20"/>
          <w:szCs w:val="20"/>
        </w:rPr>
        <w:t xml:space="preserve">: brain ECF to plasma unbound drug ratio, </w:t>
      </w:r>
      <w:proofErr w:type="spellStart"/>
      <w:r w:rsidRPr="00C644C2">
        <w:rPr>
          <w:rFonts w:cstheme="minorHAnsi"/>
          <w:sz w:val="20"/>
          <w:szCs w:val="20"/>
        </w:rPr>
        <w:t>kp</w:t>
      </w:r>
      <w:r w:rsidRPr="00C644C2">
        <w:rPr>
          <w:rFonts w:cstheme="minorHAnsi"/>
          <w:sz w:val="20"/>
          <w:szCs w:val="20"/>
          <w:vertAlign w:val="subscript"/>
        </w:rPr>
        <w:t>uu,CM</w:t>
      </w:r>
      <w:proofErr w:type="spellEnd"/>
      <w:r w:rsidRPr="00C644C2">
        <w:rPr>
          <w:rFonts w:cstheme="minorHAnsi"/>
          <w:sz w:val="20"/>
          <w:szCs w:val="20"/>
        </w:rPr>
        <w:t xml:space="preserve">: cisterna magna to plasma unbound drug ratio, </w:t>
      </w:r>
      <w:proofErr w:type="spellStart"/>
      <w:r w:rsidRPr="00C644C2">
        <w:rPr>
          <w:rFonts w:cstheme="minorHAnsi"/>
          <w:sz w:val="20"/>
          <w:szCs w:val="20"/>
        </w:rPr>
        <w:t>T</w:t>
      </w:r>
      <w:r w:rsidRPr="00C644C2">
        <w:rPr>
          <w:rFonts w:cstheme="minorHAnsi"/>
          <w:sz w:val="20"/>
          <w:szCs w:val="20"/>
          <w:vertAlign w:val="subscript"/>
        </w:rPr>
        <w:t>max</w:t>
      </w:r>
      <w:proofErr w:type="spellEnd"/>
      <w:r w:rsidRPr="00C644C2">
        <w:rPr>
          <w:rFonts w:cstheme="minorHAnsi"/>
          <w:sz w:val="20"/>
          <w:szCs w:val="20"/>
        </w:rPr>
        <w:t xml:space="preserve">: time at which </w:t>
      </w:r>
      <w:proofErr w:type="spellStart"/>
      <w:r w:rsidRPr="00C644C2">
        <w:rPr>
          <w:rFonts w:cstheme="minorHAnsi"/>
          <w:sz w:val="20"/>
          <w:szCs w:val="20"/>
        </w:rPr>
        <w:t>C</w:t>
      </w:r>
      <w:r w:rsidRPr="00C644C2">
        <w:rPr>
          <w:rFonts w:cstheme="minorHAnsi"/>
          <w:sz w:val="20"/>
          <w:szCs w:val="20"/>
          <w:vertAlign w:val="subscript"/>
        </w:rPr>
        <w:t>max</w:t>
      </w:r>
      <w:proofErr w:type="spellEnd"/>
      <w:r w:rsidRPr="00C644C2">
        <w:rPr>
          <w:rFonts w:cstheme="minorHAnsi"/>
          <w:sz w:val="20"/>
          <w:szCs w:val="20"/>
        </w:rPr>
        <w:t xml:space="preserve"> is achieved, PHF</w:t>
      </w:r>
      <w:r w:rsidRPr="00C644C2">
        <w:rPr>
          <w:rFonts w:cstheme="minorHAnsi"/>
          <w:sz w:val="20"/>
          <w:szCs w:val="20"/>
          <w:vertAlign w:val="subscript"/>
        </w:rPr>
        <w:t>ECF</w:t>
      </w:r>
      <w:r w:rsidRPr="00C644C2">
        <w:rPr>
          <w:rFonts w:cstheme="minorHAnsi"/>
          <w:sz w:val="20"/>
          <w:szCs w:val="20"/>
        </w:rPr>
        <w:t>: pH factor of brain extracellular fluid, PHF</w:t>
      </w:r>
      <w:r w:rsidRPr="00C644C2">
        <w:rPr>
          <w:rFonts w:cstheme="minorHAnsi"/>
          <w:sz w:val="20"/>
          <w:szCs w:val="20"/>
          <w:vertAlign w:val="subscript"/>
        </w:rPr>
        <w:t>ICF</w:t>
      </w:r>
      <w:r w:rsidRPr="00C644C2">
        <w:rPr>
          <w:rFonts w:cstheme="minorHAnsi"/>
          <w:sz w:val="20"/>
          <w:szCs w:val="20"/>
        </w:rPr>
        <w:t>: pH factor of brain cells, Q</w:t>
      </w:r>
      <w:r w:rsidRPr="00C644C2">
        <w:rPr>
          <w:rFonts w:cstheme="minorHAnsi"/>
          <w:sz w:val="20"/>
          <w:szCs w:val="20"/>
          <w:vertAlign w:val="subscript"/>
        </w:rPr>
        <w:t>CBF</w:t>
      </w:r>
      <w:r w:rsidRPr="00C644C2">
        <w:rPr>
          <w:rFonts w:cstheme="minorHAnsi"/>
          <w:sz w:val="20"/>
          <w:szCs w:val="20"/>
        </w:rPr>
        <w:t>: cerebral blood flow, Q</w:t>
      </w:r>
      <w:r w:rsidRPr="00C644C2">
        <w:rPr>
          <w:rFonts w:cstheme="minorHAnsi"/>
          <w:sz w:val="20"/>
          <w:szCs w:val="20"/>
          <w:vertAlign w:val="subscript"/>
        </w:rPr>
        <w:t>CSF</w:t>
      </w:r>
      <w:r w:rsidRPr="00C644C2">
        <w:rPr>
          <w:rFonts w:cstheme="minorHAnsi"/>
          <w:sz w:val="20"/>
          <w:szCs w:val="20"/>
        </w:rPr>
        <w:t xml:space="preserve">: cerebrospinal fluid flow, </w:t>
      </w:r>
      <w:proofErr w:type="spellStart"/>
      <w:r w:rsidRPr="00C644C2">
        <w:rPr>
          <w:rFonts w:cstheme="minorHAnsi"/>
          <w:sz w:val="20"/>
          <w:szCs w:val="20"/>
        </w:rPr>
        <w:t>SA</w:t>
      </w:r>
      <w:r w:rsidRPr="00C644C2">
        <w:rPr>
          <w:rFonts w:cstheme="minorHAnsi"/>
          <w:sz w:val="20"/>
          <w:szCs w:val="20"/>
          <w:vertAlign w:val="subscript"/>
        </w:rPr>
        <w:t>BBB,p</w:t>
      </w:r>
      <w:proofErr w:type="spellEnd"/>
      <w:r w:rsidRPr="00C644C2">
        <w:rPr>
          <w:rFonts w:cstheme="minorHAnsi"/>
          <w:sz w:val="20"/>
          <w:szCs w:val="20"/>
        </w:rPr>
        <w:t>: effective surface area of paracellular transport route, SA</w:t>
      </w:r>
      <w:r w:rsidRPr="00C644C2">
        <w:rPr>
          <w:rFonts w:cstheme="minorHAnsi"/>
          <w:sz w:val="20"/>
          <w:szCs w:val="20"/>
          <w:vertAlign w:val="subscript"/>
        </w:rPr>
        <w:t>BCM</w:t>
      </w:r>
      <w:r w:rsidRPr="00C644C2">
        <w:rPr>
          <w:rFonts w:cstheme="minorHAnsi"/>
          <w:sz w:val="20"/>
          <w:szCs w:val="20"/>
        </w:rPr>
        <w:t>: surface area of brain cell membrane, V</w:t>
      </w:r>
      <w:r w:rsidRPr="00C644C2">
        <w:rPr>
          <w:rFonts w:cstheme="minorHAnsi"/>
          <w:sz w:val="20"/>
          <w:szCs w:val="20"/>
          <w:vertAlign w:val="subscript"/>
        </w:rPr>
        <w:t>ECF</w:t>
      </w:r>
      <w:r w:rsidRPr="00C644C2">
        <w:rPr>
          <w:rFonts w:cstheme="minorHAnsi"/>
          <w:sz w:val="20"/>
          <w:szCs w:val="20"/>
        </w:rPr>
        <w:t>: volume of brain extracellular fluid, V</w:t>
      </w:r>
      <w:r w:rsidRPr="00C644C2">
        <w:rPr>
          <w:rFonts w:cstheme="minorHAnsi"/>
          <w:sz w:val="20"/>
          <w:szCs w:val="20"/>
          <w:vertAlign w:val="subscript"/>
        </w:rPr>
        <w:t>ICF</w:t>
      </w:r>
      <w:r w:rsidRPr="00C644C2">
        <w:rPr>
          <w:rFonts w:cstheme="minorHAnsi"/>
          <w:sz w:val="20"/>
          <w:szCs w:val="20"/>
        </w:rPr>
        <w:t xml:space="preserve">: volume of brain cells, </w:t>
      </w:r>
      <w:proofErr w:type="spellStart"/>
      <w:r w:rsidRPr="00C644C2">
        <w:rPr>
          <w:rFonts w:cstheme="minorHAnsi"/>
          <w:sz w:val="20"/>
          <w:szCs w:val="20"/>
        </w:rPr>
        <w:t>V</w:t>
      </w:r>
      <w:r w:rsidRPr="00C644C2">
        <w:rPr>
          <w:rFonts w:cstheme="minorHAnsi"/>
          <w:sz w:val="20"/>
          <w:szCs w:val="20"/>
          <w:vertAlign w:val="subscript"/>
        </w:rPr>
        <w:t>PhB</w:t>
      </w:r>
      <w:proofErr w:type="spellEnd"/>
      <w:r w:rsidRPr="00C644C2">
        <w:rPr>
          <w:rFonts w:cstheme="minorHAnsi"/>
          <w:sz w:val="20"/>
          <w:szCs w:val="20"/>
        </w:rPr>
        <w:t>: volume fraction of brain phospholipid, V</w:t>
      </w:r>
      <w:r w:rsidRPr="00C644C2">
        <w:rPr>
          <w:rFonts w:cstheme="minorHAnsi"/>
          <w:sz w:val="20"/>
          <w:szCs w:val="20"/>
          <w:vertAlign w:val="subscript"/>
        </w:rPr>
        <w:t>SAS</w:t>
      </w:r>
      <w:r w:rsidRPr="00C644C2">
        <w:rPr>
          <w:rFonts w:cstheme="minorHAnsi"/>
          <w:sz w:val="20"/>
          <w:szCs w:val="20"/>
        </w:rPr>
        <w:t>: subarachnoid space volume, W</w:t>
      </w:r>
      <w:r w:rsidRPr="00C644C2">
        <w:rPr>
          <w:rFonts w:cstheme="minorHAnsi"/>
          <w:sz w:val="20"/>
          <w:szCs w:val="20"/>
          <w:vertAlign w:val="subscript"/>
        </w:rPr>
        <w:t>BBB</w:t>
      </w:r>
      <w:r w:rsidRPr="00C644C2">
        <w:rPr>
          <w:rFonts w:cstheme="minorHAnsi"/>
          <w:sz w:val="20"/>
          <w:szCs w:val="20"/>
        </w:rPr>
        <w:t>: blood-brain barrier width</w:t>
      </w:r>
    </w:p>
    <w:p w14:paraId="2E5B3E12" w14:textId="77777777" w:rsidR="00CC23C8" w:rsidRPr="00C644C2" w:rsidRDefault="00CC23C8">
      <w:pPr>
        <w:rPr>
          <w:rFonts w:cstheme="minorHAnsi"/>
          <w:b/>
          <w:sz w:val="20"/>
          <w:szCs w:val="20"/>
        </w:rPr>
      </w:pPr>
      <w:r w:rsidRPr="00C644C2">
        <w:rPr>
          <w:rFonts w:cstheme="minorHAnsi"/>
          <w:b/>
          <w:noProof/>
          <w:sz w:val="20"/>
          <w:szCs w:val="20"/>
        </w:rPr>
        <w:drawing>
          <wp:inline distT="0" distB="0" distL="0" distR="0" wp14:anchorId="30E0E0CA" wp14:editId="3E1C84D8">
            <wp:extent cx="8809732" cy="4405023"/>
            <wp:effectExtent l="0" t="0" r="0" b="0"/>
            <wp:docPr id="2" name="Picture 2" descr="C:\Users\salehmaaew\Desktop\WORK\MS01\5. WRITING\MANUSCRIPT\BJP\REWRITE\FIGURES\Supplementary 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ehmaaew\Desktop\WORK\MS01\5. WRITING\MANUSCRIPT\BJP\REWRITE\FIGURES\Supplementary figure 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53964" cy="4427140"/>
                    </a:xfrm>
                    <a:prstGeom prst="rect">
                      <a:avLst/>
                    </a:prstGeom>
                    <a:noFill/>
                    <a:ln>
                      <a:noFill/>
                    </a:ln>
                  </pic:spPr>
                </pic:pic>
              </a:graphicData>
            </a:graphic>
          </wp:inline>
        </w:drawing>
      </w:r>
      <w:r w:rsidRPr="00C644C2">
        <w:rPr>
          <w:rFonts w:cstheme="minorHAnsi"/>
          <w:b/>
          <w:sz w:val="20"/>
          <w:szCs w:val="20"/>
        </w:rPr>
        <w:br w:type="page"/>
      </w:r>
    </w:p>
    <w:p w14:paraId="7D6905C9" w14:textId="77777777" w:rsidR="00904E97" w:rsidRPr="00C644C2" w:rsidRDefault="00904E97" w:rsidP="00CC23C8">
      <w:pPr>
        <w:spacing w:after="0" w:line="240" w:lineRule="auto"/>
        <w:rPr>
          <w:rFonts w:cstheme="minorHAnsi"/>
          <w:b/>
          <w:sz w:val="20"/>
          <w:szCs w:val="20"/>
        </w:rPr>
        <w:sectPr w:rsidR="00904E97" w:rsidRPr="00C644C2" w:rsidSect="001C5405">
          <w:footnotePr>
            <w:numFmt w:val="lowerLetter"/>
          </w:footnotePr>
          <w:pgSz w:w="16838" w:h="11906" w:orient="landscape"/>
          <w:pgMar w:top="1418" w:right="1418" w:bottom="1418" w:left="1418" w:header="709" w:footer="709" w:gutter="0"/>
          <w:cols w:space="708"/>
          <w:docGrid w:linePitch="360"/>
        </w:sectPr>
      </w:pPr>
    </w:p>
    <w:p w14:paraId="410FFAA3" w14:textId="77777777" w:rsidR="00CC23C8" w:rsidRPr="00C644C2" w:rsidRDefault="00CC23C8" w:rsidP="00CC23C8">
      <w:pPr>
        <w:spacing w:after="0" w:line="240" w:lineRule="auto"/>
        <w:rPr>
          <w:rFonts w:cstheme="minorHAnsi"/>
          <w:sz w:val="20"/>
          <w:szCs w:val="20"/>
        </w:rPr>
      </w:pPr>
      <w:r w:rsidRPr="00C644C2">
        <w:rPr>
          <w:rFonts w:cstheme="minorHAnsi"/>
          <w:b/>
          <w:sz w:val="20"/>
          <w:szCs w:val="20"/>
        </w:rPr>
        <w:lastRenderedPageBreak/>
        <w:t>Supplementary fig</w:t>
      </w:r>
      <w:r w:rsidR="001344EA" w:rsidRPr="00C644C2">
        <w:rPr>
          <w:rFonts w:cstheme="minorHAnsi"/>
          <w:b/>
          <w:sz w:val="20"/>
          <w:szCs w:val="20"/>
        </w:rPr>
        <w:t xml:space="preserve">. </w:t>
      </w:r>
      <w:r w:rsidRPr="00C644C2">
        <w:rPr>
          <w:rFonts w:cstheme="minorHAnsi"/>
          <w:b/>
          <w:sz w:val="20"/>
          <w:szCs w:val="20"/>
        </w:rPr>
        <w:t xml:space="preserve">7 </w:t>
      </w:r>
      <w:r w:rsidRPr="00C644C2">
        <w:rPr>
          <w:rFonts w:cstheme="minorHAnsi"/>
          <w:sz w:val="20"/>
          <w:szCs w:val="20"/>
        </w:rPr>
        <w:t>LeiCNS-PK3.0 simulations of acetaminophen with interindividual variability of empirical plasma model in addition to nominal variability of CNS parameters of 0%, 30%, and 50% (as %coefficient of variation). The added CNS variability results in slightly wider 2.5</w:t>
      </w:r>
      <w:r w:rsidRPr="00C644C2">
        <w:rPr>
          <w:rFonts w:cstheme="minorHAnsi"/>
          <w:sz w:val="20"/>
          <w:szCs w:val="20"/>
          <w:vertAlign w:val="superscript"/>
        </w:rPr>
        <w:t>th</w:t>
      </w:r>
      <w:r w:rsidRPr="00C644C2">
        <w:rPr>
          <w:rFonts w:cstheme="minorHAnsi"/>
          <w:sz w:val="20"/>
          <w:szCs w:val="20"/>
        </w:rPr>
        <w:t xml:space="preserve"> and 97.5</w:t>
      </w:r>
      <w:r w:rsidRPr="00C644C2">
        <w:rPr>
          <w:rFonts w:cstheme="minorHAnsi"/>
          <w:sz w:val="20"/>
          <w:szCs w:val="20"/>
          <w:vertAlign w:val="superscript"/>
        </w:rPr>
        <w:t>th</w:t>
      </w:r>
      <w:r w:rsidRPr="00C644C2">
        <w:rPr>
          <w:rFonts w:cstheme="minorHAnsi"/>
          <w:sz w:val="20"/>
          <w:szCs w:val="20"/>
        </w:rPr>
        <w:t xml:space="preserve"> percentiles that can better describe observed variability. CV: coefficient of variation (%); ECF: brain extracellular fluid; LV: lateral ventricles; CM: cisterna magna.</w:t>
      </w:r>
    </w:p>
    <w:p w14:paraId="1D0F1A8E" w14:textId="77777777" w:rsidR="00F9165A" w:rsidRPr="00C644C2" w:rsidRDefault="00F9165A" w:rsidP="0038777A">
      <w:pPr>
        <w:spacing w:after="0" w:line="240" w:lineRule="auto"/>
        <w:rPr>
          <w:rFonts w:cstheme="minorHAnsi"/>
          <w:sz w:val="20"/>
          <w:szCs w:val="20"/>
        </w:rPr>
      </w:pPr>
      <w:r w:rsidRPr="00C644C2">
        <w:rPr>
          <w:rFonts w:cstheme="minorHAnsi"/>
          <w:noProof/>
          <w:sz w:val="20"/>
          <w:szCs w:val="20"/>
        </w:rPr>
        <w:drawing>
          <wp:inline distT="0" distB="0" distL="0" distR="0" wp14:anchorId="672115AD" wp14:editId="7B498B6D">
            <wp:extent cx="5760720" cy="2880360"/>
            <wp:effectExtent l="0" t="0" r="0" b="0"/>
            <wp:docPr id="21" name="Picture 21" descr="C:\Users\salehmaaew\Desktop\WORK\MS01\5. WRITING\MANUSCRIPT\BJP\REWRITE\FIGURES\20200619_BJP_rat-IIV.all-CNS_SU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ehmaaew\Desktop\WORK\MS01\5. WRITING\MANUSCRIPT\BJP\REWRITE\FIGURES\20200619_BJP_rat-IIV.all-CNS_SUPP.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bookmarkStart w:id="8" w:name="_GoBack"/>
    </w:p>
    <w:p w14:paraId="677A7D2B" w14:textId="77777777" w:rsidR="0065074B" w:rsidRPr="00C644C2" w:rsidRDefault="0065074B" w:rsidP="0038777A">
      <w:pPr>
        <w:spacing w:after="0" w:line="240" w:lineRule="auto"/>
        <w:rPr>
          <w:rFonts w:cstheme="minorHAnsi"/>
          <w:sz w:val="20"/>
          <w:szCs w:val="20"/>
        </w:rPr>
      </w:pPr>
    </w:p>
    <w:p w14:paraId="6120D4AD" w14:textId="77777777" w:rsidR="0065074B" w:rsidRPr="00C644C2" w:rsidRDefault="0065074B" w:rsidP="0065074B">
      <w:pPr>
        <w:spacing w:after="0" w:line="240" w:lineRule="auto"/>
        <w:rPr>
          <w:rFonts w:cstheme="minorHAnsi"/>
          <w:sz w:val="20"/>
          <w:szCs w:val="20"/>
        </w:rPr>
      </w:pPr>
      <w:r w:rsidRPr="00C644C2">
        <w:rPr>
          <w:rFonts w:cstheme="minorHAnsi"/>
          <w:b/>
          <w:sz w:val="20"/>
          <w:szCs w:val="20"/>
        </w:rPr>
        <w:t xml:space="preserve">Supplementary fig. 8 </w:t>
      </w:r>
      <w:r w:rsidRPr="00C644C2">
        <w:rPr>
          <w:rFonts w:cstheme="minorHAnsi"/>
          <w:sz w:val="20"/>
          <w:szCs w:val="20"/>
        </w:rPr>
        <w:t xml:space="preserve">LeiCNS-PK3.0 </w:t>
      </w:r>
      <w:r w:rsidR="008E0B50" w:rsidRPr="00C644C2">
        <w:rPr>
          <w:rFonts w:cstheme="minorHAnsi"/>
          <w:sz w:val="20"/>
          <w:szCs w:val="20"/>
        </w:rPr>
        <w:t xml:space="preserve">predictions of the PK profiles </w:t>
      </w:r>
      <w:r w:rsidRPr="00C644C2">
        <w:rPr>
          <w:rFonts w:cstheme="minorHAnsi"/>
          <w:sz w:val="20"/>
          <w:szCs w:val="20"/>
        </w:rPr>
        <w:t>of acetaminophen</w:t>
      </w:r>
      <w:r w:rsidR="008E0B50" w:rsidRPr="00C644C2">
        <w:rPr>
          <w:rFonts w:cstheme="minorHAnsi"/>
          <w:sz w:val="20"/>
          <w:szCs w:val="20"/>
        </w:rPr>
        <w:t>, indomethacin, morphine, oxycodone at plasma, brain ECF, brain ICF, and subarachnoid space. ECF: brain extracellular fluid, ICF: brain intracellular fluid, SAS: subarachnoid space.</w:t>
      </w:r>
    </w:p>
    <w:p w14:paraId="438BECEE" w14:textId="77777777" w:rsidR="0065074B" w:rsidRPr="00C644C2" w:rsidRDefault="0065074B" w:rsidP="0065074B">
      <w:pPr>
        <w:spacing w:after="0" w:line="240" w:lineRule="auto"/>
        <w:rPr>
          <w:rFonts w:cstheme="minorHAnsi"/>
          <w:sz w:val="20"/>
          <w:szCs w:val="20"/>
        </w:rPr>
      </w:pPr>
    </w:p>
    <w:p w14:paraId="6A0D3881" w14:textId="517167BA" w:rsidR="0065074B" w:rsidRPr="00C644C2" w:rsidRDefault="0065074B" w:rsidP="0065074B">
      <w:pPr>
        <w:spacing w:after="0" w:line="240" w:lineRule="auto"/>
        <w:rPr>
          <w:rFonts w:cstheme="minorHAnsi"/>
          <w:sz w:val="20"/>
          <w:szCs w:val="20"/>
        </w:rPr>
      </w:pPr>
      <w:r w:rsidRPr="00C644C2">
        <w:rPr>
          <w:rFonts w:cstheme="minorHAnsi"/>
          <w:noProof/>
          <w:sz w:val="20"/>
          <w:szCs w:val="20"/>
        </w:rPr>
        <w:drawing>
          <wp:inline distT="0" distB="0" distL="0" distR="0" wp14:anchorId="4F76BEEC" wp14:editId="198733FC">
            <wp:extent cx="5759450" cy="2878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0406_J PKPD_human-pred profiles_SUP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2878455"/>
                    </a:xfrm>
                    <a:prstGeom prst="rect">
                      <a:avLst/>
                    </a:prstGeom>
                  </pic:spPr>
                </pic:pic>
              </a:graphicData>
            </a:graphic>
          </wp:inline>
        </w:drawing>
      </w:r>
    </w:p>
    <w:bookmarkEnd w:id="8"/>
    <w:p w14:paraId="183DA919" w14:textId="77777777" w:rsidR="0065074B" w:rsidRPr="00C644C2" w:rsidRDefault="0065074B" w:rsidP="0038777A">
      <w:pPr>
        <w:spacing w:after="0" w:line="240" w:lineRule="auto"/>
        <w:rPr>
          <w:rFonts w:cstheme="minorHAnsi"/>
          <w:sz w:val="20"/>
          <w:szCs w:val="20"/>
        </w:rPr>
      </w:pPr>
    </w:p>
    <w:p w14:paraId="108CDDB5" w14:textId="77777777" w:rsidR="00F9165A" w:rsidRPr="00C644C2" w:rsidRDefault="00F9165A" w:rsidP="0038777A">
      <w:pPr>
        <w:spacing w:after="0" w:line="240" w:lineRule="auto"/>
        <w:rPr>
          <w:rFonts w:cstheme="minorHAnsi"/>
          <w:sz w:val="20"/>
          <w:szCs w:val="20"/>
        </w:rPr>
      </w:pPr>
    </w:p>
    <w:p w14:paraId="07221005" w14:textId="77777777" w:rsidR="00904E97" w:rsidRPr="00C644C2" w:rsidRDefault="00904E97" w:rsidP="0038777A">
      <w:pPr>
        <w:spacing w:after="0" w:line="240" w:lineRule="auto"/>
        <w:rPr>
          <w:rFonts w:cstheme="minorHAnsi"/>
          <w:sz w:val="20"/>
          <w:szCs w:val="20"/>
        </w:rPr>
        <w:sectPr w:rsidR="00904E97" w:rsidRPr="00C644C2" w:rsidSect="00904E97">
          <w:footnotePr>
            <w:numFmt w:val="lowerLetter"/>
          </w:footnotePr>
          <w:pgSz w:w="11906" w:h="16838"/>
          <w:pgMar w:top="1418" w:right="1418" w:bottom="1418" w:left="1418" w:header="709" w:footer="709" w:gutter="0"/>
          <w:cols w:space="708"/>
          <w:docGrid w:linePitch="360"/>
        </w:sectPr>
      </w:pPr>
    </w:p>
    <w:p w14:paraId="40CD4A30" w14:textId="77777777" w:rsidR="000B2139" w:rsidRPr="00C644C2" w:rsidRDefault="000B2139">
      <w:pPr>
        <w:rPr>
          <w:rFonts w:cstheme="minorHAnsi"/>
          <w:b/>
          <w:sz w:val="20"/>
          <w:szCs w:val="20"/>
        </w:rPr>
      </w:pPr>
      <w:r w:rsidRPr="00C644C2">
        <w:rPr>
          <w:rFonts w:cstheme="minorHAnsi"/>
          <w:b/>
          <w:sz w:val="20"/>
          <w:szCs w:val="20"/>
        </w:rPr>
        <w:lastRenderedPageBreak/>
        <w:t>Supplementary references</w:t>
      </w:r>
    </w:p>
    <w:p w14:paraId="7BD76530" w14:textId="35A0E0D9" w:rsidR="00691E3C" w:rsidRPr="00691E3C" w:rsidRDefault="000B2139" w:rsidP="00691E3C">
      <w:pPr>
        <w:widowControl w:val="0"/>
        <w:autoSpaceDE w:val="0"/>
        <w:autoSpaceDN w:val="0"/>
        <w:adjustRightInd w:val="0"/>
        <w:spacing w:line="240" w:lineRule="auto"/>
        <w:ind w:left="640" w:hanging="640"/>
        <w:rPr>
          <w:rFonts w:ascii="Calibri" w:hAnsi="Calibri" w:cs="Calibri"/>
          <w:noProof/>
          <w:sz w:val="20"/>
          <w:szCs w:val="24"/>
        </w:rPr>
      </w:pPr>
      <w:r w:rsidRPr="00C644C2">
        <w:rPr>
          <w:rFonts w:cstheme="minorHAnsi"/>
          <w:sz w:val="20"/>
          <w:szCs w:val="20"/>
        </w:rPr>
        <w:fldChar w:fldCharType="begin" w:fldLock="1"/>
      </w:r>
      <w:r w:rsidRPr="00C644C2">
        <w:rPr>
          <w:rFonts w:cstheme="minorHAnsi"/>
          <w:sz w:val="20"/>
          <w:szCs w:val="20"/>
        </w:rPr>
        <w:instrText xml:space="preserve">ADDIN Mendeley Bibliography CSL_BIBLIOGRAPHY </w:instrText>
      </w:r>
      <w:r w:rsidRPr="00C644C2">
        <w:rPr>
          <w:rFonts w:cstheme="minorHAnsi"/>
          <w:sz w:val="20"/>
          <w:szCs w:val="20"/>
        </w:rPr>
        <w:fldChar w:fldCharType="separate"/>
      </w:r>
      <w:r w:rsidR="00691E3C" w:rsidRPr="00691E3C">
        <w:rPr>
          <w:rFonts w:ascii="Calibri" w:hAnsi="Calibri" w:cs="Calibri"/>
          <w:noProof/>
          <w:sz w:val="20"/>
          <w:szCs w:val="24"/>
        </w:rPr>
        <w:t xml:space="preserve">1. </w:t>
      </w:r>
      <w:r w:rsidR="00691E3C" w:rsidRPr="00691E3C">
        <w:rPr>
          <w:rFonts w:ascii="Calibri" w:hAnsi="Calibri" w:cs="Calibri"/>
          <w:noProof/>
          <w:sz w:val="20"/>
          <w:szCs w:val="24"/>
        </w:rPr>
        <w:tab/>
        <w:t>Westerhout J, Ploeger B, Smeets J, et al (2012) Physiologically based pharmacokinetic modeling to investigate regional brain distribution kinetics in rats. AAPS J 14:543–553. https://doi.org/10.1208/s12248-012-9366-1</w:t>
      </w:r>
    </w:p>
    <w:p w14:paraId="1151E929"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 </w:t>
      </w:r>
      <w:r w:rsidRPr="00691E3C">
        <w:rPr>
          <w:rFonts w:ascii="Calibri" w:hAnsi="Calibri" w:cs="Calibri"/>
          <w:noProof/>
          <w:sz w:val="20"/>
          <w:szCs w:val="24"/>
        </w:rPr>
        <w:tab/>
        <w:t>De Lange ECM, Danhof M, de Boer AG, Breimer DD (1994) Critical factors of intracerebral microdialysis as a technique to determined the pharmacokinetics of drugs in rat brain. Brain Res 666:1–8. https://doi.org/10.1016/0006-8993(94)90276-3</w:t>
      </w:r>
    </w:p>
    <w:p w14:paraId="0E6A942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 </w:t>
      </w:r>
      <w:r w:rsidRPr="00691E3C">
        <w:rPr>
          <w:rFonts w:ascii="Calibri" w:hAnsi="Calibri" w:cs="Calibri"/>
          <w:noProof/>
          <w:sz w:val="20"/>
          <w:szCs w:val="24"/>
        </w:rPr>
        <w:tab/>
        <w:t>Westerhout J, Berg D Van Den, Hartman R, et al (2014) Prediction of methotrexate CNS distribution in different species – Influence of disease conditions. Eur J Pharm Sci 57:11–24. https://doi.org/10.1016/j.ejps.2013.12.020</w:t>
      </w:r>
    </w:p>
    <w:p w14:paraId="29C24FDF"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 </w:t>
      </w:r>
      <w:r w:rsidRPr="00691E3C">
        <w:rPr>
          <w:rFonts w:ascii="Calibri" w:hAnsi="Calibri" w:cs="Calibri"/>
          <w:noProof/>
          <w:sz w:val="20"/>
          <w:szCs w:val="24"/>
        </w:rPr>
        <w:tab/>
        <w:t>Groenendaal D, Freijer J, De Mik D, et al (2007) Population pharmacokinetic modelling of non-linear brain distribution of morphine: Influence of active saturable influx and P-glycoprotein mediated efflux. Br J Pharmacol 151:701–712. https://doi.org/10.1038/sj.bjp.0707257</w:t>
      </w:r>
    </w:p>
    <w:p w14:paraId="1E7EDE3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 </w:t>
      </w:r>
      <w:r w:rsidRPr="00691E3C">
        <w:rPr>
          <w:rFonts w:ascii="Calibri" w:hAnsi="Calibri" w:cs="Calibri"/>
          <w:noProof/>
          <w:sz w:val="20"/>
          <w:szCs w:val="24"/>
        </w:rPr>
        <w:tab/>
        <w:t>Bouw MR, Gårdmark M, Hammarlund-Udenaes M (2000) Modelling of morphine transport across the blood-brain barrier as a cause of the antinociceptive effect delay in rats - A microdialysis study. Pharm Res 17:1220–1227. https://doi.org/10.1023/A:1026414713509</w:t>
      </w:r>
    </w:p>
    <w:p w14:paraId="0420241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 </w:t>
      </w:r>
      <w:r w:rsidRPr="00691E3C">
        <w:rPr>
          <w:rFonts w:ascii="Calibri" w:hAnsi="Calibri" w:cs="Calibri"/>
          <w:noProof/>
          <w:sz w:val="20"/>
          <w:szCs w:val="24"/>
        </w:rPr>
        <w:tab/>
        <w:t>Yamamoto Y, Välitalo PA, van den Berg DJ, et al (2017) A Generic Multi-Compartmental CNS Distribution Model Structure for 9 Drugs Allows Prediction of Human Brain Target Site Concentrations. Pharm Res 34:333–351. https://doi.org/10.1007/s11095-016-2065-3</w:t>
      </w:r>
    </w:p>
    <w:p w14:paraId="6015A26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 </w:t>
      </w:r>
      <w:r w:rsidRPr="00691E3C">
        <w:rPr>
          <w:rFonts w:ascii="Calibri" w:hAnsi="Calibri" w:cs="Calibri"/>
          <w:noProof/>
          <w:sz w:val="20"/>
          <w:szCs w:val="24"/>
        </w:rPr>
        <w:tab/>
        <w:t>De Lange ECMM, Westerhout J, Smeets J, et al (2013) The impact of P-gp functionality on non-steady state relationships between CSF and brain extracellular fluid. J Pharmacokinet Pharmacodyn 40:327–342. https://doi.org/10.1007/s10928-013-9314-4</w:t>
      </w:r>
    </w:p>
    <w:p w14:paraId="39053D8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 </w:t>
      </w:r>
      <w:r w:rsidRPr="00691E3C">
        <w:rPr>
          <w:rFonts w:ascii="Calibri" w:hAnsi="Calibri" w:cs="Calibri"/>
          <w:noProof/>
          <w:sz w:val="20"/>
          <w:szCs w:val="24"/>
        </w:rPr>
        <w:tab/>
        <w:t>Wong YC, Ilkova T, van Wijk RC, et al (2018) Development of a population pharmacokinetic model to predict brain distribution and dopamine D2 receptor occupancy of raclopride in non-anesthetized rat. Eur J Pharm Sci 111:514–525. https://doi.org/10.1016/j.ejps.2017.10.031</w:t>
      </w:r>
    </w:p>
    <w:p w14:paraId="1915A57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9. </w:t>
      </w:r>
      <w:r w:rsidRPr="00691E3C">
        <w:rPr>
          <w:rFonts w:ascii="Calibri" w:hAnsi="Calibri" w:cs="Calibri"/>
          <w:noProof/>
          <w:sz w:val="20"/>
          <w:szCs w:val="24"/>
        </w:rPr>
        <w:tab/>
        <w:t>Yamamoto Y, Välitalo P, Huntjens D, et al (2017) Predicting drug concentration-time profiles in multiple relevant CNS compartments using a comprehensive physiologically-based pharmacokinetic model. CPT Pharmacometrics Syst Pharmacol 6:765–777. https://doi.org/10.1002/psp4.12250</w:t>
      </w:r>
    </w:p>
    <w:p w14:paraId="6E7A1FD2"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10. </w:t>
      </w:r>
      <w:r w:rsidRPr="00691E3C">
        <w:rPr>
          <w:rFonts w:ascii="Calibri" w:hAnsi="Calibri" w:cs="Calibri"/>
          <w:noProof/>
          <w:sz w:val="20"/>
          <w:szCs w:val="24"/>
        </w:rPr>
        <w:tab/>
        <w:t>Stevens J, Ploeger BA, Van Der Graaf PH, et al (2011) Systemic and direct nose-to-brain transport pharmacokinetic model for remoxipride after intravenous and intranasal administration. Drug Metab Dispos 39:2275–2282. https://doi.org/10.1124/dmd.111.040782</w:t>
      </w:r>
    </w:p>
    <w:p w14:paraId="5E23A7B5"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11. </w:t>
      </w:r>
      <w:r w:rsidRPr="00691E3C">
        <w:rPr>
          <w:rFonts w:ascii="Calibri" w:hAnsi="Calibri" w:cs="Calibri"/>
          <w:noProof/>
          <w:sz w:val="20"/>
          <w:szCs w:val="24"/>
        </w:rPr>
        <w:tab/>
        <w:t>Bannwarth B, Netter P, Lapicque F, et al (1992) Plasma and cerebrospinal fluid concentrations of paracetamol after a single intravenous dose of propacetamol. Br J Clin Pharmacol 34:79–81. https://doi.org/10.1111/j.1365-2125.1992.tb04112.x</w:t>
      </w:r>
    </w:p>
    <w:p w14:paraId="18E5C4A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12. </w:t>
      </w:r>
      <w:r w:rsidRPr="00691E3C">
        <w:rPr>
          <w:rFonts w:ascii="Calibri" w:hAnsi="Calibri" w:cs="Calibri"/>
          <w:noProof/>
          <w:sz w:val="20"/>
          <w:szCs w:val="24"/>
        </w:rPr>
        <w:tab/>
        <w:t>Singla NK, Parulan C, Samson R, et al (2012) Plasma and Cerebrospinal Fluid Pharmacokinetic Parameters After Single-Dose Administration of Intravenous, Oral, or Rectal Acetaminophen. Pain Pract 12:523–532. https://doi.org/10.1111/j.1533-2500.2012.00556.x</w:t>
      </w:r>
    </w:p>
    <w:p w14:paraId="41B6758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13. </w:t>
      </w:r>
      <w:r w:rsidRPr="00691E3C">
        <w:rPr>
          <w:rFonts w:ascii="Calibri" w:hAnsi="Calibri" w:cs="Calibri"/>
          <w:noProof/>
          <w:sz w:val="20"/>
          <w:szCs w:val="24"/>
        </w:rPr>
        <w:tab/>
        <w:t>Bannwarth B, Netter P, Lapicque F, et al (1990) Plasma and cerebrospinal fluid concentrations of indomethacin in humans - Relationship to analgesic activity. Eur J Clin Pharmacol 38:343–346. https://doi.org/10.1007/BF00315572</w:t>
      </w:r>
    </w:p>
    <w:p w14:paraId="0FC8096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14. </w:t>
      </w:r>
      <w:r w:rsidRPr="00691E3C">
        <w:rPr>
          <w:rFonts w:ascii="Calibri" w:hAnsi="Calibri" w:cs="Calibri"/>
          <w:noProof/>
          <w:sz w:val="20"/>
          <w:szCs w:val="24"/>
        </w:rPr>
        <w:tab/>
        <w:t>Summerfield SG, Read K, Begley DJ, et al (2007) Central Nervous System Drug Disposition: The Relationship between in Situ Brain Permeability and Brain Free Fraction. J Pharmacol Exp Ther 322:205–213. https://doi.org/10.1124/jpet.107.121525</w:t>
      </w:r>
    </w:p>
    <w:p w14:paraId="081E495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15. </w:t>
      </w:r>
      <w:r w:rsidRPr="00691E3C">
        <w:rPr>
          <w:rFonts w:ascii="Calibri" w:hAnsi="Calibri" w:cs="Calibri"/>
          <w:noProof/>
          <w:sz w:val="20"/>
          <w:szCs w:val="24"/>
        </w:rPr>
        <w:tab/>
        <w:t>Ederoth P, Tunblad K, Bouw R, et al (2004) Blood-brain barrier transport of morphine in patients with severe brain trauma. Br J Clin Pharmacol 57:427–435. https://doi.org/10.1046/j.1365-2125.2003.02032.x</w:t>
      </w:r>
    </w:p>
    <w:p w14:paraId="0CF0E8B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lastRenderedPageBreak/>
        <w:t xml:space="preserve">16. </w:t>
      </w:r>
      <w:r w:rsidRPr="00691E3C">
        <w:rPr>
          <w:rFonts w:ascii="Calibri" w:hAnsi="Calibri" w:cs="Calibri"/>
          <w:noProof/>
          <w:sz w:val="20"/>
          <w:szCs w:val="24"/>
        </w:rPr>
        <w:tab/>
        <w:t>Kokki M, Välitalo P, Kuusisto M, et al (2014) Central nervous system penetration of oxycodone after intravenous and epidural administration. Br J Anaesth 112:133–140. https://doi.org/10.1093/bja/aet337</w:t>
      </w:r>
    </w:p>
    <w:p w14:paraId="111CD1AF"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17. </w:t>
      </w:r>
      <w:r w:rsidRPr="00691E3C">
        <w:rPr>
          <w:rFonts w:ascii="Calibri" w:hAnsi="Calibri" w:cs="Calibri"/>
          <w:noProof/>
          <w:sz w:val="20"/>
          <w:szCs w:val="24"/>
        </w:rPr>
        <w:tab/>
        <w:t>DiResta GR, Lee J, Arbit E (1991) Measurement of brain tissue specific gravity using pycnometry. J Neurosci Methods 39:245–251. https://doi.org/10.1016/0165-0270(91)90103-7</w:t>
      </w:r>
    </w:p>
    <w:p w14:paraId="19A4DD3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18. </w:t>
      </w:r>
      <w:r w:rsidRPr="00691E3C">
        <w:rPr>
          <w:rFonts w:ascii="Calibri" w:hAnsi="Calibri" w:cs="Calibri"/>
          <w:noProof/>
          <w:sz w:val="20"/>
          <w:szCs w:val="24"/>
        </w:rPr>
        <w:tab/>
        <w:t>Kawakami J, Yamamoto K, Sawada Y, Iga T (1994) Prediction of brain delivery of ofloxacin, a new quinolone, in the human from animal data. J Pharmacokinet Biopharm 22:207–227. https://doi.org/10.1007/BF02353329</w:t>
      </w:r>
    </w:p>
    <w:p w14:paraId="64C6B0F6"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19. </w:t>
      </w:r>
      <w:r w:rsidRPr="00691E3C">
        <w:rPr>
          <w:rFonts w:ascii="Calibri" w:hAnsi="Calibri" w:cs="Calibri"/>
          <w:noProof/>
          <w:sz w:val="20"/>
          <w:szCs w:val="24"/>
        </w:rPr>
        <w:tab/>
        <w:t>Courchesne E, Chisum HJ, Townsend J, et al (2000) Normal Brain Development and Aging: Quantitative Analysis at in Vivo MR Imaging in Healthy Volunteers. Radiology 216:672–682. https://doi.org/10.1148/radiology.216.3.r00au37672</w:t>
      </w:r>
    </w:p>
    <w:p w14:paraId="357FB97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20. </w:t>
      </w:r>
      <w:r w:rsidRPr="00691E3C">
        <w:rPr>
          <w:rFonts w:ascii="Calibri" w:hAnsi="Calibri" w:cs="Calibri"/>
          <w:noProof/>
          <w:sz w:val="20"/>
          <w:szCs w:val="24"/>
        </w:rPr>
        <w:tab/>
        <w:t>Filipek PA, Richelme C, Kennedy DN, Caviness VS (1994) The Young Adult Human Brain: An MRI-based Morphometric Analysis. Cereb Cortex 4:344–360. https://doi.org/10.1093/cercor/4.4.344</w:t>
      </w:r>
    </w:p>
    <w:p w14:paraId="7FFBCE5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21. </w:t>
      </w:r>
      <w:r w:rsidRPr="00691E3C">
        <w:rPr>
          <w:rFonts w:ascii="Calibri" w:hAnsi="Calibri" w:cs="Calibri"/>
          <w:noProof/>
          <w:sz w:val="20"/>
          <w:szCs w:val="24"/>
        </w:rPr>
        <w:tab/>
        <w:t>Gur RC, Mozley PD, Resnick SM, et al (1991) Gender differences in age effect on brain atrophy measured by magnetic resonance imaging. Proc Natl Acad Sci U S A 88:2845–2849. https://doi.org/10.1073/pnas.88.7.2845</w:t>
      </w:r>
    </w:p>
    <w:p w14:paraId="7A28E3C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22. </w:t>
      </w:r>
      <w:r w:rsidRPr="00691E3C">
        <w:rPr>
          <w:rFonts w:ascii="Calibri" w:hAnsi="Calibri" w:cs="Calibri"/>
          <w:noProof/>
          <w:sz w:val="20"/>
          <w:szCs w:val="24"/>
        </w:rPr>
        <w:tab/>
        <w:t>Peters M, Jäncke L, Staiger JF, et al (1998) Unsolved Problems in Comparing Brain Sizes in Homo Sapiens. Brain Cogn 37:254–285. https://doi.org/10.1006/brcg.1998.0983</w:t>
      </w:r>
    </w:p>
    <w:p w14:paraId="0DB8593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23. </w:t>
      </w:r>
      <w:r w:rsidRPr="00691E3C">
        <w:rPr>
          <w:rFonts w:ascii="Calibri" w:hAnsi="Calibri" w:cs="Calibri"/>
          <w:noProof/>
          <w:sz w:val="20"/>
          <w:szCs w:val="24"/>
        </w:rPr>
        <w:tab/>
        <w:t>Lei Y, Han H, Yuan F, et al (2017) The brain interstitial system: Anatomy, modeling, in vivo measurement, and applications. Prog Neurobiol 157:230–246. https://doi.org/10.1016/j.pneurobio.2015.12.007</w:t>
      </w:r>
    </w:p>
    <w:p w14:paraId="744249F2"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24. </w:t>
      </w:r>
      <w:r w:rsidRPr="00691E3C">
        <w:rPr>
          <w:rFonts w:ascii="Calibri" w:hAnsi="Calibri" w:cs="Calibri"/>
          <w:noProof/>
          <w:sz w:val="20"/>
          <w:szCs w:val="24"/>
        </w:rPr>
        <w:tab/>
        <w:t>Miyajima M, ARAI H (2015) Evaluation of the Production and Absorption of Cerebrospinal Fluid. Neurol Med Chir (Tokyo) 55:647–656. https://doi.org/10.2176/nmc.ra.2015-0003</w:t>
      </w:r>
    </w:p>
    <w:p w14:paraId="2E1BBC01"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25. </w:t>
      </w:r>
      <w:r w:rsidRPr="00691E3C">
        <w:rPr>
          <w:rFonts w:ascii="Calibri" w:hAnsi="Calibri" w:cs="Calibri"/>
          <w:noProof/>
          <w:sz w:val="20"/>
          <w:szCs w:val="24"/>
        </w:rPr>
        <w:tab/>
        <w:t>Nicholson C (2001) Diffusion and related transport mechanisms in brain tissue. Reports Prog Phys 64:815–884. https://doi.org/10.1088/0034-4885/64/7/202</w:t>
      </w:r>
    </w:p>
    <w:p w14:paraId="79084C3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26. </w:t>
      </w:r>
      <w:r w:rsidRPr="00691E3C">
        <w:rPr>
          <w:rFonts w:ascii="Calibri" w:hAnsi="Calibri" w:cs="Calibri"/>
          <w:noProof/>
          <w:sz w:val="20"/>
          <w:szCs w:val="24"/>
        </w:rPr>
        <w:tab/>
        <w:t>Nicholson C, Kamali-Zare P, Tao L (2011) Brain Extracellular Space as a Diffusion Barrier. Comput Vis Sci 14:309–325. https://doi.org/10.1007/s00791-012-0185-9</w:t>
      </w:r>
    </w:p>
    <w:p w14:paraId="4E60389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27. </w:t>
      </w:r>
      <w:r w:rsidRPr="00691E3C">
        <w:rPr>
          <w:rFonts w:ascii="Calibri" w:hAnsi="Calibri" w:cs="Calibri"/>
          <w:noProof/>
          <w:sz w:val="20"/>
          <w:szCs w:val="24"/>
        </w:rPr>
        <w:tab/>
        <w:t>Thorne RG, Hrabětová S, Nicholson C (2004) Diffusion of Epidermal Growth Factor in Rat Brain Extracellular Space Measured by Integrative Optical Imaging. J Neurophysiol 92:3471–3481. https://doi.org/10.1152/jn.00352.2004</w:t>
      </w:r>
    </w:p>
    <w:p w14:paraId="5C66C5D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28. </w:t>
      </w:r>
      <w:r w:rsidRPr="00691E3C">
        <w:rPr>
          <w:rFonts w:ascii="Calibri" w:hAnsi="Calibri" w:cs="Calibri"/>
          <w:noProof/>
          <w:sz w:val="20"/>
          <w:szCs w:val="24"/>
        </w:rPr>
        <w:tab/>
        <w:t>Weibel ER, Stäubli W, Gnägi HR, Hess FA (1969) Correlated Morphometric and Biochemical Studies on the Liver Cell: I. Morphometric Model, Stereologic Methods, and Normal Morphometric Data for Rat Liver. J Cell Biol 42:68–91. https://doi.org/10.1083/jcb.42.1.68</w:t>
      </w:r>
    </w:p>
    <w:p w14:paraId="6DC1185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29. </w:t>
      </w:r>
      <w:r w:rsidRPr="00691E3C">
        <w:rPr>
          <w:rFonts w:ascii="Calibri" w:hAnsi="Calibri" w:cs="Calibri"/>
          <w:noProof/>
          <w:sz w:val="20"/>
          <w:szCs w:val="24"/>
        </w:rPr>
        <w:tab/>
        <w:t>Brown RP, Delp MD, Lindstedt SL, et al (1997) Physiological parameter values for physiologically-based pharmacokinetic models. Toxicol Ind Health 13:407–484</w:t>
      </w:r>
    </w:p>
    <w:p w14:paraId="23D044EF"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30. </w:t>
      </w:r>
      <w:r w:rsidRPr="00691E3C">
        <w:rPr>
          <w:rFonts w:ascii="Calibri" w:hAnsi="Calibri" w:cs="Calibri"/>
          <w:noProof/>
          <w:sz w:val="20"/>
          <w:szCs w:val="24"/>
        </w:rPr>
        <w:tab/>
        <w:t>Brown RP, Delp MD, Lindstedt SL, et al (1997) Physiological Parameter Values for Physiologically Based Pharmacokinetic Models. Toxicol Ind Health 13:407–484. https://doi.org/10.1177/074823379701300401</w:t>
      </w:r>
    </w:p>
    <w:p w14:paraId="07F151A1"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31. </w:t>
      </w:r>
      <w:r w:rsidRPr="00691E3C">
        <w:rPr>
          <w:rFonts w:ascii="Calibri" w:hAnsi="Calibri" w:cs="Calibri"/>
          <w:noProof/>
          <w:sz w:val="20"/>
          <w:szCs w:val="24"/>
        </w:rPr>
        <w:tab/>
        <w:t>Hu Z-Y, Lu J, Zhao Y (2014) A physiologically based pharmacokinetic model of alvespimycin in mice and extrapolation to rats and humans. Br J Pharmacol 171:2778–2789. https://doi.org/10.1111/bph.12609</w:t>
      </w:r>
    </w:p>
    <w:p w14:paraId="4FD547EF"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32. </w:t>
      </w:r>
      <w:r w:rsidRPr="00691E3C">
        <w:rPr>
          <w:rFonts w:ascii="Calibri" w:hAnsi="Calibri" w:cs="Calibri"/>
          <w:noProof/>
          <w:sz w:val="20"/>
          <w:szCs w:val="24"/>
        </w:rPr>
        <w:tab/>
        <w:t>Preston JE (2001) Ageing choroid plexus-cerebrospinal fluid system. Microsc Res Tech 52:31–37. https://doi.org/10.1002/1097-0029(20010101)52:1&lt;31::AID-JEMT5&gt;3.0.CO;2-T</w:t>
      </w:r>
    </w:p>
    <w:p w14:paraId="4435696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33. </w:t>
      </w:r>
      <w:r w:rsidRPr="00691E3C">
        <w:rPr>
          <w:rFonts w:ascii="Calibri" w:hAnsi="Calibri" w:cs="Calibri"/>
          <w:noProof/>
          <w:sz w:val="20"/>
          <w:szCs w:val="24"/>
        </w:rPr>
        <w:tab/>
        <w:t>Chiu C, Miller MC, Caralopoulos IN, et al (2012) Temporal course of cerebrospinal fluid dynamics and amyloid accumulation in the aging rat brain from three to thirty months. Fluids Barriers CNS 9:1–10. https://doi.org/10.1186/2045-8118-9-3</w:t>
      </w:r>
    </w:p>
    <w:p w14:paraId="501861A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lastRenderedPageBreak/>
        <w:t xml:space="preserve">34. </w:t>
      </w:r>
      <w:r w:rsidRPr="00691E3C">
        <w:rPr>
          <w:rFonts w:ascii="Calibri" w:hAnsi="Calibri" w:cs="Calibri"/>
          <w:noProof/>
          <w:sz w:val="20"/>
          <w:szCs w:val="24"/>
        </w:rPr>
        <w:tab/>
        <w:t>Van Den Berg MP, Romeijn SG, Verhoef JC, Merkus FWHM (2002) Serial cerebrospinal fluid sampling in a rat model to study drug uptake from the nasal cavity. J Neurosci Methods 116:99–107. https://doi.org/10.1016/S0165-0270(02)00033-X</w:t>
      </w:r>
    </w:p>
    <w:p w14:paraId="52669B48"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35. </w:t>
      </w:r>
      <w:r w:rsidRPr="00691E3C">
        <w:rPr>
          <w:rFonts w:ascii="Calibri" w:hAnsi="Calibri" w:cs="Calibri"/>
          <w:noProof/>
          <w:sz w:val="20"/>
          <w:szCs w:val="24"/>
        </w:rPr>
        <w:tab/>
        <w:t>Basati S, Desai B, Alaraj A, et al (2012) Cerebrospinal fluid volume measurements in hydrocephalic rats. J Neurosurg Pediatr 10:347–354. https://doi.org/10.3171/2012.6.peds11457</w:t>
      </w:r>
    </w:p>
    <w:p w14:paraId="455FF6A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36. </w:t>
      </w:r>
      <w:r w:rsidRPr="00691E3C">
        <w:rPr>
          <w:rFonts w:ascii="Calibri" w:hAnsi="Calibri" w:cs="Calibri"/>
          <w:noProof/>
          <w:sz w:val="20"/>
          <w:szCs w:val="24"/>
        </w:rPr>
        <w:tab/>
        <w:t>Skjolding AD, Rowland IJ, Søgaard L V., et al (2010) Hydrocephalus induces dynamic spatiotemporal regulation of aquaporin-4 expression in the rat brain. Cerebrospinal Fluid Res 7:20. https://doi.org/10.1186/1743-8454-7-20</w:t>
      </w:r>
    </w:p>
    <w:p w14:paraId="0D86CBF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37. </w:t>
      </w:r>
      <w:r w:rsidRPr="00691E3C">
        <w:rPr>
          <w:rFonts w:ascii="Calibri" w:hAnsi="Calibri" w:cs="Calibri"/>
          <w:noProof/>
          <w:sz w:val="20"/>
          <w:szCs w:val="24"/>
        </w:rPr>
        <w:tab/>
        <w:t>Levinger IM (1971) The cerebral ventricles of the rat. J Anat 108:447–451</w:t>
      </w:r>
    </w:p>
    <w:p w14:paraId="074BDEB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38. </w:t>
      </w:r>
      <w:r w:rsidRPr="00691E3C">
        <w:rPr>
          <w:rFonts w:ascii="Calibri" w:hAnsi="Calibri" w:cs="Calibri"/>
          <w:noProof/>
          <w:sz w:val="20"/>
          <w:szCs w:val="24"/>
        </w:rPr>
        <w:tab/>
        <w:t>Allen JS, Damasio H, Grabowski TJ (2002) Normal neuroanatomical variation in the human brain: An MRI-volumetric study. Am J Phys Anthropol 118:341–358. https://doi.org/10.1002/ajpa.10092</w:t>
      </w:r>
    </w:p>
    <w:p w14:paraId="04AC8C85"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39. </w:t>
      </w:r>
      <w:r w:rsidRPr="00691E3C">
        <w:rPr>
          <w:rFonts w:ascii="Calibri" w:hAnsi="Calibri" w:cs="Calibri"/>
          <w:noProof/>
          <w:sz w:val="20"/>
          <w:szCs w:val="24"/>
        </w:rPr>
        <w:tab/>
        <w:t>Barra V, Frenoux E, Boire J-Y (2002) Automatic volumetric measurement of lateral ventricles on magnetic resonance images with correction of partial volume effects. J Magn Reson Imaging 15:16–22. https://doi.org/10.1002/jmri.10032</w:t>
      </w:r>
    </w:p>
    <w:p w14:paraId="6A9782F6"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40. </w:t>
      </w:r>
      <w:r w:rsidRPr="00691E3C">
        <w:rPr>
          <w:rFonts w:ascii="Calibri" w:hAnsi="Calibri" w:cs="Calibri"/>
          <w:noProof/>
          <w:sz w:val="20"/>
          <w:szCs w:val="24"/>
        </w:rPr>
        <w:tab/>
        <w:t>Erdogan ALIR, DANE S, AYDIN MD, et al (2004) Sex and Handedness Differences in Size of Cerebral Ventricles of Normal Subjects. Int J Neurosci 114:67–73. https://doi.org/10.1080/00207450490249428</w:t>
      </w:r>
    </w:p>
    <w:p w14:paraId="5187FD7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41. </w:t>
      </w:r>
      <w:r w:rsidRPr="00691E3C">
        <w:rPr>
          <w:rFonts w:ascii="Calibri" w:hAnsi="Calibri" w:cs="Calibri"/>
          <w:noProof/>
          <w:sz w:val="20"/>
          <w:szCs w:val="24"/>
        </w:rPr>
        <w:tab/>
        <w:t>Lamers M, Klein W, Góraj B (2010) Normal values of ventricular volume and cerebrospinal fluid (CSF) circulation in healthy subjects. https://posterng.netkey.at/esr/viewing/index.php?module=viewing_poster&amp;doi=10.1594/ecr2010/C-2729</w:t>
      </w:r>
    </w:p>
    <w:p w14:paraId="6914BAB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42. </w:t>
      </w:r>
      <w:r w:rsidRPr="00691E3C">
        <w:rPr>
          <w:rFonts w:ascii="Calibri" w:hAnsi="Calibri" w:cs="Calibri"/>
          <w:noProof/>
          <w:sz w:val="20"/>
          <w:szCs w:val="24"/>
        </w:rPr>
        <w:tab/>
        <w:t>Trimarchi F, Bramanti P, Marino S, et al (2013) MRI 3D lateral cerebral ventricles in living humans: morphological and morphometrical age-, gender-related preliminary study. Anat Sci Int 88:61–69. https://doi.org/10.1007/s12565-012-0162-x</w:t>
      </w:r>
    </w:p>
    <w:p w14:paraId="5B4BE68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43. </w:t>
      </w:r>
      <w:r w:rsidRPr="00691E3C">
        <w:rPr>
          <w:rFonts w:ascii="Calibri" w:hAnsi="Calibri" w:cs="Calibri"/>
          <w:noProof/>
          <w:sz w:val="20"/>
          <w:szCs w:val="24"/>
        </w:rPr>
        <w:tab/>
        <w:t>Lebedev S V., Blinov D V., Petrov S V. (2004) Spatial characteristics of cisterna magna in rats and novel technique for puncture with a stereotactic manipulator. Bull Exp Biol Med 137:635–638. https://doi.org/10.1023/B:BEBM.0000042732.00810.01</w:t>
      </w:r>
    </w:p>
    <w:p w14:paraId="09D8BAE5"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44. </w:t>
      </w:r>
      <w:r w:rsidRPr="00691E3C">
        <w:rPr>
          <w:rFonts w:ascii="Calibri" w:hAnsi="Calibri" w:cs="Calibri"/>
          <w:noProof/>
          <w:sz w:val="20"/>
          <w:szCs w:val="24"/>
        </w:rPr>
        <w:tab/>
        <w:t>Whitney N, Sun H, Pollock JM, Ross DA (2013) The human foramen magnum - Normal anatomy of the cisterna magna in adults. Neuroradiology 55:1333–1339. https://doi.org/10.1007/s00234-013-1269-z</w:t>
      </w:r>
    </w:p>
    <w:p w14:paraId="5A86867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45. </w:t>
      </w:r>
      <w:r w:rsidRPr="00691E3C">
        <w:rPr>
          <w:rFonts w:ascii="Calibri" w:hAnsi="Calibri" w:cs="Calibri"/>
          <w:noProof/>
          <w:sz w:val="20"/>
          <w:szCs w:val="24"/>
        </w:rPr>
        <w:tab/>
        <w:t>Ghersi-Egea JF, Babikian A, Blondel S, Strazielle N (2015) Changes in the cerebrospinal fluid circulatory system of the developing rat: Quantitative volumetric analysis and effect on blood-CSF permeability interpretation. Fluids Barriers CNS 12:. https://doi.org/10.1186/s12987-015-0001-2</w:t>
      </w:r>
    </w:p>
    <w:p w14:paraId="75E20BB9"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46. </w:t>
      </w:r>
      <w:r w:rsidRPr="00691E3C">
        <w:rPr>
          <w:rFonts w:ascii="Calibri" w:hAnsi="Calibri" w:cs="Calibri"/>
          <w:noProof/>
          <w:sz w:val="20"/>
          <w:szCs w:val="24"/>
        </w:rPr>
        <w:tab/>
        <w:t>Conn PM (2003) Neuroscience in Medicine. Springer Science &amp; Business Media</w:t>
      </w:r>
    </w:p>
    <w:p w14:paraId="7BE8BFC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47. </w:t>
      </w:r>
      <w:r w:rsidRPr="00691E3C">
        <w:rPr>
          <w:rFonts w:ascii="Calibri" w:hAnsi="Calibri" w:cs="Calibri"/>
          <w:noProof/>
          <w:sz w:val="20"/>
          <w:szCs w:val="24"/>
        </w:rPr>
        <w:tab/>
        <w:t>Parviz J (2011) Surgical Anatomy of the Head and Neck. Harvard University Press</w:t>
      </w:r>
    </w:p>
    <w:p w14:paraId="2B111938"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48. </w:t>
      </w:r>
      <w:r w:rsidRPr="00691E3C">
        <w:rPr>
          <w:rFonts w:ascii="Calibri" w:hAnsi="Calibri" w:cs="Calibri"/>
          <w:noProof/>
          <w:sz w:val="20"/>
          <w:szCs w:val="24"/>
        </w:rPr>
        <w:tab/>
        <w:t>Sakka L, Coll G, Chazal J (2011) Anatomy and physiology of cerebrospinal fluid. Eur Ann Otorhinolaryngol Head Neck Dis 128:309–316. https://doi.org/10.1016/j.anorl.2011.03.002</w:t>
      </w:r>
    </w:p>
    <w:p w14:paraId="4A01458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49. </w:t>
      </w:r>
      <w:r w:rsidRPr="00691E3C">
        <w:rPr>
          <w:rFonts w:ascii="Calibri" w:hAnsi="Calibri" w:cs="Calibri"/>
          <w:noProof/>
          <w:sz w:val="20"/>
          <w:szCs w:val="24"/>
        </w:rPr>
        <w:tab/>
        <w:t>SASAKI Y, WAGNER HN (1971) Measurement of the distribution of cardiac output in unanesthetized rats. J Appl PHYSOLOGY 30:879–884</w:t>
      </w:r>
    </w:p>
    <w:p w14:paraId="2DD5DB49"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50. </w:t>
      </w:r>
      <w:r w:rsidRPr="00691E3C">
        <w:rPr>
          <w:rFonts w:ascii="Calibri" w:hAnsi="Calibri" w:cs="Calibri"/>
          <w:noProof/>
          <w:sz w:val="20"/>
          <w:szCs w:val="24"/>
        </w:rPr>
        <w:tab/>
        <w:t>Lassen NA (1985) Normal Average Value of Cerebral Blood Flow in Younger Adults is 50 ml/100 g/min. J Cereb Blood Flow Metab 5:347–349. https://doi.org/10.1038/jcbfm.1985.48</w:t>
      </w:r>
    </w:p>
    <w:p w14:paraId="004A47A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51. </w:t>
      </w:r>
      <w:r w:rsidRPr="00691E3C">
        <w:rPr>
          <w:rFonts w:ascii="Calibri" w:hAnsi="Calibri" w:cs="Calibri"/>
          <w:noProof/>
          <w:sz w:val="20"/>
          <w:szCs w:val="24"/>
        </w:rPr>
        <w:tab/>
        <w:t>Madsen PL, Holm S, Herning M, Lassen NA (1993) Average Blood Flow and Oxygen Uptake in the Human Brain during Resting Wakefulness: A Critical Appraisal of the Kety—Schmidt Technique. J Cereb Blood Flow Metab 13:646–655. https://doi.org/10.1038/jcbfm.1993.83</w:t>
      </w:r>
    </w:p>
    <w:p w14:paraId="3CAC8E9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52. </w:t>
      </w:r>
      <w:r w:rsidRPr="00691E3C">
        <w:rPr>
          <w:rFonts w:ascii="Calibri" w:hAnsi="Calibri" w:cs="Calibri"/>
          <w:noProof/>
          <w:sz w:val="20"/>
          <w:szCs w:val="24"/>
        </w:rPr>
        <w:tab/>
        <w:t>Pascoe MJ, Melzer TR, Horwood LJ, et al (2019) Altered grey matter volume, perfusion and white matter integrity in very low birthweight adults. NeuroImage Clin 22:101780. https://doi.org/10.1016/j.nicl.2019.101780</w:t>
      </w:r>
    </w:p>
    <w:p w14:paraId="42E803EA"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lastRenderedPageBreak/>
        <w:t xml:space="preserve">53. </w:t>
      </w:r>
      <w:r w:rsidRPr="00691E3C">
        <w:rPr>
          <w:rFonts w:ascii="Calibri" w:hAnsi="Calibri" w:cs="Calibri"/>
          <w:noProof/>
          <w:sz w:val="20"/>
          <w:szCs w:val="24"/>
        </w:rPr>
        <w:tab/>
        <w:t>Szentistványi I, Patlak CS, Ellis RA, Cserr HF (1984) Drainage of interstitial fluid from different regions of rat brain. Am J Physiol 246:F835-844. https://doi.org/10.1152/ajprenal.1984.246.6.F835</w:t>
      </w:r>
    </w:p>
    <w:p w14:paraId="59EAF8E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54. </w:t>
      </w:r>
      <w:r w:rsidRPr="00691E3C">
        <w:rPr>
          <w:rFonts w:ascii="Calibri" w:hAnsi="Calibri" w:cs="Calibri"/>
          <w:noProof/>
          <w:sz w:val="20"/>
          <w:szCs w:val="24"/>
        </w:rPr>
        <w:tab/>
        <w:t>Mann JD, Butler AB, Johnson RN, Bass NH (1979) Clearance of macromolecular and particulate substances from the cerebrospinal fluid system of the rat. J Neurosurg 50:343–348. https://doi.org/10.3171/jns.1979.50.3.0343</w:t>
      </w:r>
    </w:p>
    <w:p w14:paraId="265CA2E5"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55. </w:t>
      </w:r>
      <w:r w:rsidRPr="00691E3C">
        <w:rPr>
          <w:rFonts w:ascii="Calibri" w:hAnsi="Calibri" w:cs="Calibri"/>
          <w:noProof/>
          <w:sz w:val="20"/>
          <w:szCs w:val="24"/>
        </w:rPr>
        <w:tab/>
        <w:t>Abbott NJ (2004) Evidence for bulk flow of brain interstitial fluid: Significance for physiology and pathology. Neurochem Int 45:545–552. https://doi.org/10.1016/j.neuint.2003.11.006</w:t>
      </w:r>
    </w:p>
    <w:p w14:paraId="4AE1FC4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56. </w:t>
      </w:r>
      <w:r w:rsidRPr="00691E3C">
        <w:rPr>
          <w:rFonts w:ascii="Calibri" w:hAnsi="Calibri" w:cs="Calibri"/>
          <w:noProof/>
          <w:sz w:val="20"/>
          <w:szCs w:val="24"/>
        </w:rPr>
        <w:tab/>
        <w:t>Kimelberg HK (2004) Water homeostasis in the brain: Basic concepts. Neuroscience 129:851–860. https://doi.org/10.1016/j.neuroscience.2004.07.033</w:t>
      </w:r>
    </w:p>
    <w:p w14:paraId="5A9784B5"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57. </w:t>
      </w:r>
      <w:r w:rsidRPr="00691E3C">
        <w:rPr>
          <w:rFonts w:ascii="Calibri" w:hAnsi="Calibri" w:cs="Calibri"/>
          <w:noProof/>
          <w:sz w:val="20"/>
          <w:szCs w:val="24"/>
        </w:rPr>
        <w:tab/>
        <w:t>Cserr H (1965) Potassium exchange between cerebrospinal fluid, plasma, and brain. Am J Physiol 209:1219–1226. https://doi.org/10.1152/ajplegacy.1965.209.6.1219</w:t>
      </w:r>
    </w:p>
    <w:p w14:paraId="01CB02F4"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58. </w:t>
      </w:r>
      <w:r w:rsidRPr="00691E3C">
        <w:rPr>
          <w:rFonts w:ascii="Calibri" w:hAnsi="Calibri" w:cs="Calibri"/>
          <w:noProof/>
          <w:sz w:val="20"/>
          <w:szCs w:val="24"/>
        </w:rPr>
        <w:tab/>
        <w:t>Cserr HF (1971) Physiology of the choroid plexus. Physiol Rev. https://doi.org/10.1152/physrev.1971.51.2.273</w:t>
      </w:r>
    </w:p>
    <w:p w14:paraId="643CED08"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59. </w:t>
      </w:r>
      <w:r w:rsidRPr="00691E3C">
        <w:rPr>
          <w:rFonts w:ascii="Calibri" w:hAnsi="Calibri" w:cs="Calibri"/>
          <w:noProof/>
          <w:sz w:val="20"/>
          <w:szCs w:val="24"/>
        </w:rPr>
        <w:tab/>
        <w:t>Edsbagge M, Tisell M, Jacobsson L, Wikkelso C (2004) Spinal CSF absorption in healthy individuals. Am J Physiol - Regul Integr Comp Physiol 287:R1450–R1455. https://doi.org/10.1152/ajpregu.00215.2004</w:t>
      </w:r>
    </w:p>
    <w:p w14:paraId="105E341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60. </w:t>
      </w:r>
      <w:r w:rsidRPr="00691E3C">
        <w:rPr>
          <w:rFonts w:ascii="Calibri" w:hAnsi="Calibri" w:cs="Calibri"/>
          <w:noProof/>
          <w:sz w:val="20"/>
          <w:szCs w:val="24"/>
        </w:rPr>
        <w:tab/>
        <w:t>Lumenta CB, Rocco C Di, Haase J, Mooij JJA (2009) Neurosurgery. Springer Science &amp; Business Media</w:t>
      </w:r>
    </w:p>
    <w:p w14:paraId="0900005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61. </w:t>
      </w:r>
      <w:r w:rsidRPr="00691E3C">
        <w:rPr>
          <w:rFonts w:ascii="Calibri" w:hAnsi="Calibri" w:cs="Calibri"/>
          <w:noProof/>
          <w:sz w:val="20"/>
          <w:szCs w:val="24"/>
        </w:rPr>
        <w:tab/>
        <w:t>Wright EM (1978) Transport processes in the formation of the cerebrospinal fluid. In: Reviews of Physiology, Biochemistry and Pharmacology, Volume 83: Volume: 83. Springer Berlin Heidelberg, Berlin, Heidelberg, pp 1–34</w:t>
      </w:r>
    </w:p>
    <w:p w14:paraId="601AAC4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62. </w:t>
      </w:r>
      <w:r w:rsidRPr="00691E3C">
        <w:rPr>
          <w:rFonts w:ascii="Calibri" w:hAnsi="Calibri" w:cs="Calibri"/>
          <w:noProof/>
          <w:sz w:val="20"/>
          <w:szCs w:val="24"/>
        </w:rPr>
        <w:tab/>
        <w:t>Keep RF, Jones HC (1990) A morphometric study on the development of the lateral ventricle choroid plexus, choroid plexus capillaries and ventricular ependyma in the rat. Dev Brain Res 56:47–53. https://doi.org/10.1016/0165-3806(90)90163-S</w:t>
      </w:r>
    </w:p>
    <w:p w14:paraId="7A4F037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63. </w:t>
      </w:r>
      <w:r w:rsidRPr="00691E3C">
        <w:rPr>
          <w:rFonts w:ascii="Calibri" w:hAnsi="Calibri" w:cs="Calibri"/>
          <w:noProof/>
          <w:sz w:val="20"/>
          <w:szCs w:val="24"/>
        </w:rPr>
        <w:tab/>
        <w:t>Sibbons PD, Aylward GL, Howard C V., Van Velzen D (1996) A quantitative immunocytochemical analysis of total surface area of blood-brain barrier in developing rat brain. Comp Haematol Int 6:214–220. https://doi.org/10.1007/BF00378113</w:t>
      </w:r>
    </w:p>
    <w:p w14:paraId="4445D65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64. </w:t>
      </w:r>
      <w:r w:rsidRPr="00691E3C">
        <w:rPr>
          <w:rFonts w:ascii="Calibri" w:hAnsi="Calibri" w:cs="Calibri"/>
          <w:noProof/>
          <w:sz w:val="20"/>
          <w:szCs w:val="24"/>
        </w:rPr>
        <w:tab/>
        <w:t>Hammarlund-Udenaes M, Fridén M, Syvänen S, Gupta A (2008) On the rate and extent of drug delivery to the brain. Pharm Res 25:1737–1750. https://doi.org/10.1007/s11095-007-9502-2</w:t>
      </w:r>
    </w:p>
    <w:p w14:paraId="463D5C51"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65. </w:t>
      </w:r>
      <w:r w:rsidRPr="00691E3C">
        <w:rPr>
          <w:rFonts w:ascii="Calibri" w:hAnsi="Calibri" w:cs="Calibri"/>
          <w:noProof/>
          <w:sz w:val="20"/>
          <w:szCs w:val="24"/>
        </w:rPr>
        <w:tab/>
        <w:t>Abbott NJ, Patabendige AAK, Dolman DEM, et al (2010) Structure and function of the blood–brain barrier. Neurobiol Dis 37:13–25. https://doi.org/10.1016/j.nbd.2009.07.030</w:t>
      </w:r>
    </w:p>
    <w:p w14:paraId="3B0B618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66. </w:t>
      </w:r>
      <w:r w:rsidRPr="00691E3C">
        <w:rPr>
          <w:rFonts w:ascii="Calibri" w:hAnsi="Calibri" w:cs="Calibri"/>
          <w:noProof/>
          <w:sz w:val="20"/>
          <w:szCs w:val="24"/>
        </w:rPr>
        <w:tab/>
        <w:t>Crone C (1963) The Permeability of Capillaries in Various Organs as Determined by Use of the ‘Indicator Diffusion’ Method. Acta Physiol Scand 58:292–305. https://doi.org/10.1111/j.1748-1716.1963.tb02652.x</w:t>
      </w:r>
    </w:p>
    <w:p w14:paraId="3EAA14B2"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67. </w:t>
      </w:r>
      <w:r w:rsidRPr="00691E3C">
        <w:rPr>
          <w:rFonts w:ascii="Calibri" w:hAnsi="Calibri" w:cs="Calibri"/>
          <w:noProof/>
          <w:sz w:val="20"/>
          <w:szCs w:val="24"/>
        </w:rPr>
        <w:tab/>
        <w:t>Di L, Kerns EH (2015) Blood-Brain Barrier in Drug Discovery: Optimizing Brain Exposure of CNS Drugs and Minimizing Brain Side Effects for Peripheral Drugs. John Wiley &amp; Sons</w:t>
      </w:r>
    </w:p>
    <w:p w14:paraId="1DE8CC8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68. </w:t>
      </w:r>
      <w:r w:rsidRPr="00691E3C">
        <w:rPr>
          <w:rFonts w:ascii="Calibri" w:hAnsi="Calibri" w:cs="Calibri"/>
          <w:noProof/>
          <w:sz w:val="20"/>
          <w:szCs w:val="24"/>
        </w:rPr>
        <w:tab/>
        <w:t>Gao H, Gao X (2018) Brain Targeted Drug Delivery Systems: A Focus on Nanotechnology and Nanoparticulates. Academic Press</w:t>
      </w:r>
    </w:p>
    <w:p w14:paraId="06FB250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69. </w:t>
      </w:r>
      <w:r w:rsidRPr="00691E3C">
        <w:rPr>
          <w:rFonts w:ascii="Calibri" w:hAnsi="Calibri" w:cs="Calibri"/>
          <w:noProof/>
          <w:sz w:val="20"/>
          <w:szCs w:val="24"/>
        </w:rPr>
        <w:tab/>
        <w:t>Gross, Sposito, Fenstermacher (1986) Differences in Function and Structure of the Capillary Endothelium in Gray Matter, White Matter and a Circumventricular Organ of Rat Brain - Abstract - Journal of Vascular Research 1986, Vol. 23, No. 6 - Karger Publishers. https://www.karger.com/Article/Abstract/158652</w:t>
      </w:r>
    </w:p>
    <w:p w14:paraId="6BC8F434"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70. </w:t>
      </w:r>
      <w:r w:rsidRPr="00691E3C">
        <w:rPr>
          <w:rFonts w:ascii="Calibri" w:hAnsi="Calibri" w:cs="Calibri"/>
          <w:noProof/>
          <w:sz w:val="20"/>
          <w:szCs w:val="24"/>
        </w:rPr>
        <w:tab/>
        <w:t>Pardridge WM (2005) The Blood-Brain Barrier: Bottleneck in Brain Drug Development. NeuroRx 2:3–14. https://doi.org/10.1602/neurorx.2.1.3</w:t>
      </w:r>
    </w:p>
    <w:p w14:paraId="174D6D99"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71. </w:t>
      </w:r>
      <w:r w:rsidRPr="00691E3C">
        <w:rPr>
          <w:rFonts w:ascii="Calibri" w:hAnsi="Calibri" w:cs="Calibri"/>
          <w:noProof/>
          <w:sz w:val="20"/>
          <w:szCs w:val="24"/>
        </w:rPr>
        <w:tab/>
        <w:t>Redzic Z (2011) Molecular biology of the blood-brain and the blood-cerebrospinal fluid barriers: similarities and differences. Fluids Barriers CNS 8:3. https://doi.org/10.1186/2045-8118-8-3</w:t>
      </w:r>
    </w:p>
    <w:p w14:paraId="1072400E"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lastRenderedPageBreak/>
        <w:t xml:space="preserve">72. </w:t>
      </w:r>
      <w:r w:rsidRPr="00691E3C">
        <w:rPr>
          <w:rFonts w:ascii="Calibri" w:hAnsi="Calibri" w:cs="Calibri"/>
          <w:noProof/>
          <w:sz w:val="20"/>
          <w:szCs w:val="24"/>
        </w:rPr>
        <w:tab/>
        <w:t>Sharma HS (2003) Blood-Spinal Cord and Brain Barriers in Health and Disease. Elsevier</w:t>
      </w:r>
    </w:p>
    <w:p w14:paraId="0A1018C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73. </w:t>
      </w:r>
      <w:r w:rsidRPr="00691E3C">
        <w:rPr>
          <w:rFonts w:ascii="Calibri" w:hAnsi="Calibri" w:cs="Calibri"/>
          <w:noProof/>
          <w:sz w:val="20"/>
          <w:szCs w:val="24"/>
        </w:rPr>
        <w:tab/>
        <w:t>Wong AD, Ye M, Levy AF, et al (2013) The blood-brain barrier: an engineering perspective. Front Neuroeng 6:1–22. https://doi.org/10.3389/fneng.2013.00007</w:t>
      </w:r>
    </w:p>
    <w:p w14:paraId="26934CE8"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74. </w:t>
      </w:r>
      <w:r w:rsidRPr="00691E3C">
        <w:rPr>
          <w:rFonts w:ascii="Calibri" w:hAnsi="Calibri" w:cs="Calibri"/>
          <w:noProof/>
          <w:sz w:val="20"/>
          <w:szCs w:val="24"/>
        </w:rPr>
        <w:tab/>
        <w:t>Pardridge WM (2016) CSF, blood-brain barrier, and brain drug delivery. Expert Opin Drug Deliv 13:963–975. https://doi.org/10.1517/17425247.2016.1171315</w:t>
      </w:r>
    </w:p>
    <w:p w14:paraId="7BFA261C"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75. </w:t>
      </w:r>
      <w:r w:rsidRPr="00691E3C">
        <w:rPr>
          <w:rFonts w:ascii="Calibri" w:hAnsi="Calibri" w:cs="Calibri"/>
          <w:noProof/>
          <w:sz w:val="20"/>
          <w:szCs w:val="24"/>
        </w:rPr>
        <w:tab/>
        <w:t>Spector R, Keep RF, Robert Snodgrass S, et al (2015) A balanced view of choroid plexus structure and function: Focus on adult humans. Exp Neurol 267:78–86. https://doi.org/10.1016/j.expneurol.2015.02.032</w:t>
      </w:r>
    </w:p>
    <w:p w14:paraId="46950B7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76. </w:t>
      </w:r>
      <w:r w:rsidRPr="00691E3C">
        <w:rPr>
          <w:rFonts w:ascii="Calibri" w:hAnsi="Calibri" w:cs="Calibri"/>
          <w:noProof/>
          <w:sz w:val="20"/>
          <w:szCs w:val="24"/>
        </w:rPr>
        <w:tab/>
        <w:t>Herculano-Houzel S, Mota B, Lent R (2006) Cellular scaling rules for rodent brains. Proc Natl Acad Sci 103:12138–12143. https://doi.org/10.1073/pnas.0604911103</w:t>
      </w:r>
    </w:p>
    <w:p w14:paraId="5EE5A17B"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77. </w:t>
      </w:r>
      <w:r w:rsidRPr="00691E3C">
        <w:rPr>
          <w:rFonts w:ascii="Calibri" w:hAnsi="Calibri" w:cs="Calibri"/>
          <w:noProof/>
          <w:sz w:val="20"/>
          <w:szCs w:val="24"/>
        </w:rPr>
        <w:tab/>
        <w:t>Andrade-Moraes CH, Oliveira-Pinto A V, Castro-Fonseca E, et al (2013) Cell number changes in Alzheimer’s disease relate to dementia, not to plaques and tangles. Brain 136:3738–3752. https://doi.org/10.1093/brain/awt273</w:t>
      </w:r>
    </w:p>
    <w:p w14:paraId="2A70CFF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78. </w:t>
      </w:r>
      <w:r w:rsidRPr="00691E3C">
        <w:rPr>
          <w:rFonts w:ascii="Calibri" w:hAnsi="Calibri" w:cs="Calibri"/>
          <w:noProof/>
          <w:sz w:val="20"/>
          <w:szCs w:val="24"/>
        </w:rPr>
        <w:tab/>
        <w:t>Azevedo FAC, Carvalho LRB, Grinberg LT, et al (2009) Equal numbers of neuronal and nonneuronal cells make the human brain an isometrically scaled-up primate brain. J Comp Neurol 513:532–541. https://doi.org/10.1002/cne.21974</w:t>
      </w:r>
    </w:p>
    <w:p w14:paraId="44E6056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79. </w:t>
      </w:r>
      <w:r w:rsidRPr="00691E3C">
        <w:rPr>
          <w:rFonts w:ascii="Calibri" w:hAnsi="Calibri" w:cs="Calibri"/>
          <w:noProof/>
          <w:sz w:val="20"/>
          <w:szCs w:val="24"/>
        </w:rPr>
        <w:tab/>
        <w:t>Bakker AC, Webster P, Jacob WA, Andrews NW (1997) Homotypic fusion between aggregated lysosomes triggered by elevated [Ca2+]i in fibroblasts. J Cell Sci 110:2227–38</w:t>
      </w:r>
    </w:p>
    <w:p w14:paraId="47690FE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80. </w:t>
      </w:r>
      <w:r w:rsidRPr="00691E3C">
        <w:rPr>
          <w:rFonts w:ascii="Calibri" w:hAnsi="Calibri" w:cs="Calibri"/>
          <w:noProof/>
          <w:sz w:val="20"/>
          <w:szCs w:val="24"/>
        </w:rPr>
        <w:tab/>
        <w:t>Bandyopadhyay D, Cyphersmith A, Zapata JA, et al (2014) Lysosome transport as a function of lysosome diameter. PLoS One 9:e86847. https://doi.org/10.1371/journal.pone.0086847</w:t>
      </w:r>
    </w:p>
    <w:p w14:paraId="2493536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81. </w:t>
      </w:r>
      <w:r w:rsidRPr="00691E3C">
        <w:rPr>
          <w:rFonts w:ascii="Calibri" w:hAnsi="Calibri" w:cs="Calibri"/>
          <w:noProof/>
          <w:sz w:val="20"/>
          <w:szCs w:val="24"/>
        </w:rPr>
        <w:tab/>
        <w:t>Demers-Lamarche J, Guillebaud G, Tlili M, et al (2016) Loss of Mitochondrial Function Impairs Lysosomes. J Biol Chem 291:10263–10276. https://doi.org/10.1074/jbc.M115.695825</w:t>
      </w:r>
    </w:p>
    <w:p w14:paraId="42F36B6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82. </w:t>
      </w:r>
      <w:r w:rsidRPr="00691E3C">
        <w:rPr>
          <w:rFonts w:ascii="Calibri" w:hAnsi="Calibri" w:cs="Calibri"/>
          <w:noProof/>
          <w:sz w:val="20"/>
          <w:szCs w:val="24"/>
        </w:rPr>
        <w:tab/>
        <w:t>RAHMAN YE (1962) Electron microscopy of lysosome-rich fractions from rat thymus isolated by density-gradient centrifugation before and after whole-body x-irradiation. J Cell Biol 13:253–260. https://doi.org/10.1083/jcb.13.2.253</w:t>
      </w:r>
    </w:p>
    <w:p w14:paraId="0F6B8E0F"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83. </w:t>
      </w:r>
      <w:r w:rsidRPr="00691E3C">
        <w:rPr>
          <w:rFonts w:ascii="Calibri" w:hAnsi="Calibri" w:cs="Calibri"/>
          <w:noProof/>
          <w:sz w:val="20"/>
          <w:szCs w:val="24"/>
        </w:rPr>
        <w:tab/>
        <w:t>Xu H, Ren D (2015) Lysosomal Physiology. Annu Rev Physiol 77:57–80. https://doi.org/10.1146/annurev-physiol-021014-071649</w:t>
      </w:r>
    </w:p>
    <w:p w14:paraId="2C3587CD"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84. </w:t>
      </w:r>
      <w:r w:rsidRPr="00691E3C">
        <w:rPr>
          <w:rFonts w:ascii="Calibri" w:hAnsi="Calibri" w:cs="Calibri"/>
          <w:noProof/>
          <w:sz w:val="20"/>
          <w:szCs w:val="24"/>
        </w:rPr>
        <w:tab/>
        <w:t>Keep RF, Jones HC (1990) Cortical microvessels during brain development: A morphometric study in the rat. Microvasc Res 40:412–426. https://doi.org/10.1016/0026-2862(90)90036-Q</w:t>
      </w:r>
    </w:p>
    <w:p w14:paraId="1CA79FB6"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85. </w:t>
      </w:r>
      <w:r w:rsidRPr="00691E3C">
        <w:rPr>
          <w:rFonts w:ascii="Calibri" w:hAnsi="Calibri" w:cs="Calibri"/>
          <w:noProof/>
          <w:sz w:val="20"/>
          <w:szCs w:val="24"/>
        </w:rPr>
        <w:tab/>
        <w:t>Cornford EM, Hyman S, Cornford ME, et al (1998) Interictal Seizure Resections Show Two Configurations of Endothelial Glut1 Glucose Transporter in the Human Blood–Brain Barrier. J Cereb Blood Flow Metab 18:26–42. https://doi.org/10.1097/00004647-199801000-00003</w:t>
      </w:r>
    </w:p>
    <w:p w14:paraId="65A6D398"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86. </w:t>
      </w:r>
      <w:r w:rsidRPr="00691E3C">
        <w:rPr>
          <w:rFonts w:ascii="Calibri" w:hAnsi="Calibri" w:cs="Calibri"/>
          <w:noProof/>
          <w:sz w:val="20"/>
          <w:szCs w:val="24"/>
        </w:rPr>
        <w:tab/>
        <w:t>Sarin H (2010) Physiologic upper limits of pore size of different blood capillary types and another perspective on the dual pore theory of microvascular permeability. J Angiogenes Res 2:14. https://doi.org/10.1186/2040-2384-2-14</w:t>
      </w:r>
    </w:p>
    <w:p w14:paraId="4C105D30"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87. </w:t>
      </w:r>
      <w:r w:rsidRPr="00691E3C">
        <w:rPr>
          <w:rFonts w:ascii="Calibri" w:hAnsi="Calibri" w:cs="Calibri"/>
          <w:noProof/>
          <w:sz w:val="20"/>
          <w:szCs w:val="24"/>
        </w:rPr>
        <w:tab/>
        <w:t>Monteiro JN, Goraksha SU (2017) ‘ROSE concept’ of fluid management: Relevance in neuroanaesthesia and neurocritical care. J Neuroanaesth Crit Care 04:10–16. https://doi.org/10.4103/2348-0548.197435</w:t>
      </w:r>
    </w:p>
    <w:p w14:paraId="2AD3D4A7"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88. </w:t>
      </w:r>
      <w:r w:rsidRPr="00691E3C">
        <w:rPr>
          <w:rFonts w:ascii="Calibri" w:hAnsi="Calibri" w:cs="Calibri"/>
          <w:noProof/>
          <w:sz w:val="20"/>
          <w:szCs w:val="24"/>
        </w:rPr>
        <w:tab/>
        <w:t>Haas TL, Duling BR (1997) Morphology favors an endothelial cell pathway for longitudinal conduction within arterioles. Microvasc Res 53:113–120. https://doi.org/10.1006/mvre.1996.1999</w:t>
      </w:r>
    </w:p>
    <w:p w14:paraId="1B91D8D2"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89. </w:t>
      </w:r>
      <w:r w:rsidRPr="00691E3C">
        <w:rPr>
          <w:rFonts w:ascii="Calibri" w:hAnsi="Calibri" w:cs="Calibri"/>
          <w:noProof/>
          <w:sz w:val="20"/>
          <w:szCs w:val="24"/>
        </w:rPr>
        <w:tab/>
        <w:t>Schulze C, Firth JA (1992) Interendothelial junctions during blood-brain barrier development in the rat: morphological changes at the level of individual tight junctional contacts. Dev Brain Res 69:85–95. https://doi.org/10.1016/0165-3806(92)90125-G</w:t>
      </w:r>
    </w:p>
    <w:p w14:paraId="4537B513"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90. </w:t>
      </w:r>
      <w:r w:rsidRPr="00691E3C">
        <w:rPr>
          <w:rFonts w:ascii="Calibri" w:hAnsi="Calibri" w:cs="Calibri"/>
          <w:noProof/>
          <w:sz w:val="20"/>
          <w:szCs w:val="24"/>
        </w:rPr>
        <w:tab/>
        <w:t>Atherton JC (2003) Acid-base balance: maintenance of plasma pH. Anaesth Intensive Care Med 4:419–422. https://doi.org/10.1383/anes.4.12.419.27385</w:t>
      </w:r>
    </w:p>
    <w:p w14:paraId="052A6A01"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lastRenderedPageBreak/>
        <w:t xml:space="preserve">91. </w:t>
      </w:r>
      <w:r w:rsidRPr="00691E3C">
        <w:rPr>
          <w:rFonts w:ascii="Calibri" w:hAnsi="Calibri" w:cs="Calibri"/>
          <w:noProof/>
          <w:sz w:val="20"/>
          <w:szCs w:val="24"/>
        </w:rPr>
        <w:tab/>
        <w:t>Fridén M, Bergström F, Wan H, et al (2011) Measurement of unbound drug exposure in brain: modeling of pH partitioning explains diverging results between the brain slice and brain homogenate methods. Drug Metab Dispos 39:353–362. https://doi.org/10.1124/dmd.110.035998</w:t>
      </w:r>
    </w:p>
    <w:p w14:paraId="47316282"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szCs w:val="24"/>
        </w:rPr>
      </w:pPr>
      <w:r w:rsidRPr="00691E3C">
        <w:rPr>
          <w:rFonts w:ascii="Calibri" w:hAnsi="Calibri" w:cs="Calibri"/>
          <w:noProof/>
          <w:sz w:val="20"/>
          <w:szCs w:val="24"/>
        </w:rPr>
        <w:t xml:space="preserve">92. </w:t>
      </w:r>
      <w:r w:rsidRPr="00691E3C">
        <w:rPr>
          <w:rFonts w:ascii="Calibri" w:hAnsi="Calibri" w:cs="Calibri"/>
          <w:noProof/>
          <w:sz w:val="20"/>
          <w:szCs w:val="24"/>
        </w:rPr>
        <w:tab/>
        <w:t>Siesjö BK (1972) Symposium on acid-base homeostasis. The regulation of cerebrospinal fluid pH. Kidney Int 1:360–374. https://doi.org/10.1038/ki.1972.47</w:t>
      </w:r>
    </w:p>
    <w:p w14:paraId="4C9CED44" w14:textId="77777777" w:rsidR="00691E3C" w:rsidRPr="00691E3C" w:rsidRDefault="00691E3C" w:rsidP="00691E3C">
      <w:pPr>
        <w:widowControl w:val="0"/>
        <w:autoSpaceDE w:val="0"/>
        <w:autoSpaceDN w:val="0"/>
        <w:adjustRightInd w:val="0"/>
        <w:spacing w:line="240" w:lineRule="auto"/>
        <w:ind w:left="640" w:hanging="640"/>
        <w:rPr>
          <w:rFonts w:ascii="Calibri" w:hAnsi="Calibri" w:cs="Calibri"/>
          <w:noProof/>
          <w:sz w:val="20"/>
        </w:rPr>
      </w:pPr>
      <w:r w:rsidRPr="00691E3C">
        <w:rPr>
          <w:rFonts w:ascii="Calibri" w:hAnsi="Calibri" w:cs="Calibri"/>
          <w:noProof/>
          <w:sz w:val="20"/>
          <w:szCs w:val="24"/>
        </w:rPr>
        <w:t xml:space="preserve">93. </w:t>
      </w:r>
      <w:r w:rsidRPr="00691E3C">
        <w:rPr>
          <w:rFonts w:ascii="Calibri" w:hAnsi="Calibri" w:cs="Calibri"/>
          <w:noProof/>
          <w:sz w:val="20"/>
          <w:szCs w:val="24"/>
        </w:rPr>
        <w:tab/>
        <w:t>Weiss N, Miller F, Cazaubon S, Couraud PO (2009) The blood-brain barrier in brain homeostasis and neurological diseases. Biochim Biophys Acta - Biomembr 1788:842–857. https://doi.org/10.1016/j.bbamem.2008.10.022</w:t>
      </w:r>
    </w:p>
    <w:p w14:paraId="57DCD5A4" w14:textId="77777777" w:rsidR="00431683" w:rsidRPr="00C644C2" w:rsidRDefault="000B2139" w:rsidP="00AA6F5B">
      <w:pPr>
        <w:widowControl w:val="0"/>
        <w:autoSpaceDE w:val="0"/>
        <w:autoSpaceDN w:val="0"/>
        <w:adjustRightInd w:val="0"/>
        <w:spacing w:line="240" w:lineRule="auto"/>
        <w:ind w:left="640" w:hanging="640"/>
        <w:rPr>
          <w:rFonts w:cstheme="minorHAnsi"/>
          <w:sz w:val="20"/>
          <w:szCs w:val="20"/>
        </w:rPr>
      </w:pPr>
      <w:r w:rsidRPr="00C644C2">
        <w:rPr>
          <w:rFonts w:cstheme="minorHAnsi"/>
          <w:sz w:val="20"/>
          <w:szCs w:val="20"/>
        </w:rPr>
        <w:fldChar w:fldCharType="end"/>
      </w:r>
    </w:p>
    <w:sectPr w:rsidR="00431683" w:rsidRPr="00C644C2" w:rsidSect="003C28D5">
      <w:footnotePr>
        <w:numFmt w:val="lowerLetter"/>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31C70" w14:textId="77777777" w:rsidR="00E36CF2" w:rsidRDefault="00E36CF2" w:rsidP="00431683">
      <w:pPr>
        <w:spacing w:after="0" w:line="240" w:lineRule="auto"/>
      </w:pPr>
      <w:r>
        <w:separator/>
      </w:r>
    </w:p>
  </w:endnote>
  <w:endnote w:type="continuationSeparator" w:id="0">
    <w:p w14:paraId="000A359A" w14:textId="77777777" w:rsidR="00E36CF2" w:rsidRDefault="00E36CF2" w:rsidP="00431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1D3EF" w14:textId="77777777" w:rsidR="00E36CF2" w:rsidRDefault="00E36CF2" w:rsidP="00431683">
      <w:pPr>
        <w:spacing w:after="0" w:line="240" w:lineRule="auto"/>
      </w:pPr>
      <w:r>
        <w:separator/>
      </w:r>
    </w:p>
  </w:footnote>
  <w:footnote w:type="continuationSeparator" w:id="0">
    <w:p w14:paraId="2F1A9438" w14:textId="77777777" w:rsidR="00E36CF2" w:rsidRDefault="00E36CF2" w:rsidP="00431683">
      <w:pPr>
        <w:spacing w:after="0" w:line="240" w:lineRule="auto"/>
      </w:pPr>
      <w:r>
        <w:continuationSeparator/>
      </w:r>
    </w:p>
  </w:footnote>
  <w:footnote w:id="1">
    <w:p w14:paraId="0A394CBC"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Based on r</w:t>
      </w:r>
      <w:r w:rsidRPr="006A14C3">
        <w:rPr>
          <w:rFonts w:ascii="Calibri" w:eastAsia="Times New Roman" w:hAnsi="Calibri" w:cs="Calibri"/>
          <w:color w:val="000000"/>
        </w:rPr>
        <w:t>at brain w</w:t>
      </w:r>
      <w:r>
        <w:rPr>
          <w:rFonts w:ascii="Calibri" w:eastAsia="Times New Roman" w:hAnsi="Calibri" w:cs="Calibri"/>
          <w:color w:val="000000"/>
        </w:rPr>
        <w:t>eight</w:t>
      </w:r>
      <w:r w:rsidRPr="006A14C3">
        <w:rPr>
          <w:rFonts w:ascii="Calibri" w:eastAsia="Times New Roman" w:hAnsi="Calibri" w:cs="Calibri"/>
          <w:color w:val="000000"/>
        </w:rPr>
        <w:t xml:space="preserve"> (1</w:t>
      </w:r>
      <w:r>
        <w:rPr>
          <w:rFonts w:ascii="Calibri" w:eastAsia="Times New Roman" w:hAnsi="Calibri" w:cs="Calibri"/>
          <w:color w:val="000000"/>
        </w:rPr>
        <w:t>.</w:t>
      </w:r>
      <w:r w:rsidRPr="006A14C3">
        <w:rPr>
          <w:rFonts w:ascii="Calibri" w:eastAsia="Times New Roman" w:hAnsi="Calibri" w:cs="Calibri"/>
          <w:color w:val="000000"/>
        </w:rPr>
        <w:t>88</w:t>
      </w:r>
      <w:r>
        <w:rPr>
          <w:rFonts w:ascii="Calibri" w:eastAsia="Times New Roman" w:hAnsi="Calibri" w:cs="Calibri"/>
          <w:color w:val="000000"/>
        </w:rPr>
        <w:t xml:space="preserve"> gm</w:t>
      </w:r>
      <w:r w:rsidRPr="006A14C3">
        <w:rPr>
          <w:rFonts w:ascii="Calibri" w:eastAsia="Times New Roman" w:hAnsi="Calibri" w:cs="Calibri"/>
          <w:color w:val="000000"/>
        </w:rPr>
        <w:t xml:space="preserve">) </w:t>
      </w:r>
      <w:r>
        <w:rPr>
          <w:rFonts w:ascii="Calibri" w:eastAsia="Times New Roman" w:hAnsi="Calibri" w:cs="Calibri"/>
          <w:color w:val="000000"/>
        </w:rPr>
        <w:t xml:space="preserve">and </w:t>
      </w:r>
      <w:r w:rsidRPr="006A14C3">
        <w:rPr>
          <w:rFonts w:ascii="Calibri" w:eastAsia="Times New Roman" w:hAnsi="Calibri" w:cs="Calibri"/>
          <w:color w:val="000000"/>
        </w:rPr>
        <w:t>den</w:t>
      </w:r>
      <w:r>
        <w:rPr>
          <w:rFonts w:ascii="Calibri" w:eastAsia="Times New Roman" w:hAnsi="Calibri" w:cs="Calibri"/>
          <w:color w:val="000000"/>
        </w:rPr>
        <w:t>si</w:t>
      </w:r>
      <w:r w:rsidRPr="006A14C3">
        <w:rPr>
          <w:rFonts w:ascii="Calibri" w:eastAsia="Times New Roman" w:hAnsi="Calibri" w:cs="Calibri"/>
          <w:color w:val="000000"/>
        </w:rPr>
        <w:t>ty (1.04-1.05</w:t>
      </w:r>
      <w:r>
        <w:rPr>
          <w:rFonts w:ascii="Calibri" w:eastAsia="Times New Roman" w:hAnsi="Calibri" w:cs="Calibri"/>
          <w:color w:val="000000"/>
        </w:rPr>
        <w:t xml:space="preserve"> gm ml</w:t>
      </w:r>
      <w:r w:rsidRPr="00FD0E55">
        <w:rPr>
          <w:rFonts w:ascii="Calibri" w:eastAsia="Times New Roman" w:hAnsi="Calibri" w:cs="Calibri"/>
          <w:b/>
          <w:color w:val="000000"/>
          <w:vertAlign w:val="superscript"/>
        </w:rPr>
        <w:t>-1</w:t>
      </w:r>
      <w:r w:rsidRPr="006A14C3">
        <w:rPr>
          <w:rFonts w:ascii="Calibri" w:eastAsia="Times New Roman" w:hAnsi="Calibri" w:cs="Calibri"/>
          <w:color w:val="000000"/>
        </w:rPr>
        <w:t>)</w:t>
      </w:r>
    </w:p>
  </w:footnote>
  <w:footnote w:id="2">
    <w:p w14:paraId="53417BFF" w14:textId="77777777" w:rsidR="00776ADF" w:rsidRPr="00FF024B" w:rsidRDefault="00776ADF" w:rsidP="00431683">
      <w:pPr>
        <w:spacing w:after="0" w:line="240" w:lineRule="auto"/>
        <w:rPr>
          <w:sz w:val="20"/>
        </w:rPr>
      </w:pPr>
      <w:r w:rsidRPr="00691E3C">
        <w:rPr>
          <w:rStyle w:val="FootnoteReference"/>
        </w:rPr>
        <w:footnoteRef/>
      </w:r>
      <w:r w:rsidRPr="00FF024B">
        <w:rPr>
          <w:sz w:val="20"/>
        </w:rPr>
        <w:t xml:space="preserve"> </w:t>
      </w:r>
      <w:r w:rsidRPr="00FF024B">
        <w:rPr>
          <w:rFonts w:ascii="Calibri" w:eastAsia="Times New Roman" w:hAnsi="Calibri" w:cs="Calibri"/>
          <w:color w:val="000000"/>
          <w:sz w:val="20"/>
        </w:rPr>
        <w:t xml:space="preserve">Calculated as 15-20 (20 was used)% of total brain volume </w:t>
      </w:r>
    </w:p>
  </w:footnote>
  <w:footnote w:id="3">
    <w:p w14:paraId="123ECC37"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C</w:t>
      </w:r>
      <w:r w:rsidRPr="006A14C3">
        <w:rPr>
          <w:rFonts w:ascii="Calibri" w:eastAsia="Times New Roman" w:hAnsi="Calibri" w:cs="Calibri"/>
          <w:color w:val="000000"/>
        </w:rPr>
        <w:t>alculated as 80% of total brain volume</w:t>
      </w:r>
    </w:p>
  </w:footnote>
  <w:footnote w:id="4">
    <w:p w14:paraId="0E2D2703"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C</w:t>
      </w:r>
      <w:r w:rsidRPr="006A14C3">
        <w:rPr>
          <w:rFonts w:ascii="Calibri" w:eastAsia="Times New Roman" w:hAnsi="Calibri" w:cs="Calibri"/>
          <w:color w:val="000000"/>
        </w:rPr>
        <w:t>alculate</w:t>
      </w:r>
      <w:r>
        <w:rPr>
          <w:rFonts w:ascii="Calibri" w:eastAsia="Times New Roman" w:hAnsi="Calibri" w:cs="Calibri"/>
          <w:color w:val="000000"/>
        </w:rPr>
        <w:t>d as 1.25% (1/80) of ICF volume;</w:t>
      </w:r>
      <w:r w:rsidRPr="006A14C3">
        <w:rPr>
          <w:rFonts w:ascii="Calibri" w:eastAsia="Times New Roman" w:hAnsi="Calibri" w:cs="Calibri"/>
          <w:color w:val="000000"/>
        </w:rPr>
        <w:t xml:space="preserve"> based on liver lysosomes</w:t>
      </w:r>
    </w:p>
  </w:footnote>
  <w:footnote w:id="5">
    <w:p w14:paraId="753E4713"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 xml:space="preserve">Calculated as </w:t>
      </w:r>
      <w:r w:rsidRPr="006A14C3">
        <w:rPr>
          <w:rFonts w:ascii="Calibri" w:eastAsia="Times New Roman" w:hAnsi="Calibri" w:cs="Calibri"/>
          <w:color w:val="000000"/>
        </w:rPr>
        <w:t>3%</w:t>
      </w:r>
      <w:r>
        <w:rPr>
          <w:rFonts w:ascii="Calibri" w:eastAsia="Times New Roman" w:hAnsi="Calibri" w:cs="Calibri"/>
          <w:color w:val="000000"/>
        </w:rPr>
        <w:t xml:space="preserve"> of total brain volume</w:t>
      </w:r>
    </w:p>
  </w:footnote>
  <w:footnote w:id="6">
    <w:p w14:paraId="71398B73" w14:textId="77777777" w:rsidR="00776ADF" w:rsidRDefault="00776ADF" w:rsidP="00431683">
      <w:pPr>
        <w:pStyle w:val="FootnoteText"/>
      </w:pPr>
      <w:r w:rsidRPr="00691E3C">
        <w:rPr>
          <w:rStyle w:val="FootnoteReference"/>
        </w:rPr>
        <w:footnoteRef/>
      </w:r>
      <w:r>
        <w:t xml:space="preserve"> Calculated as 3.67% of total brain volume</w:t>
      </w:r>
    </w:p>
  </w:footnote>
  <w:footnote w:id="7">
    <w:p w14:paraId="47A7BC2E"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M</w:t>
      </w:r>
      <w:r w:rsidRPr="006A14C3">
        <w:rPr>
          <w:rFonts w:ascii="Calibri" w:eastAsia="Times New Roman" w:hAnsi="Calibri" w:cs="Calibri"/>
          <w:color w:val="000000"/>
        </w:rPr>
        <w:t xml:space="preserve">ean of the 4 </w:t>
      </w:r>
      <w:r>
        <w:rPr>
          <w:rFonts w:ascii="Calibri" w:eastAsia="Times New Roman" w:hAnsi="Calibri" w:cs="Calibri"/>
          <w:color w:val="000000"/>
        </w:rPr>
        <w:t>values</w:t>
      </w:r>
    </w:p>
  </w:footnote>
  <w:footnote w:id="8">
    <w:p w14:paraId="08EAFEDD" w14:textId="77777777" w:rsidR="00776ADF" w:rsidRDefault="00776ADF" w:rsidP="00431683">
      <w:pPr>
        <w:pStyle w:val="FootnoteText"/>
      </w:pPr>
      <w:r w:rsidRPr="00691E3C">
        <w:rPr>
          <w:rStyle w:val="FootnoteReference"/>
        </w:rPr>
        <w:footnoteRef/>
      </w:r>
      <w:r>
        <w:t xml:space="preserve"> </w:t>
      </w:r>
      <w:r w:rsidRPr="006A14C3">
        <w:rPr>
          <w:rFonts w:ascii="Calibri" w:eastAsia="Times New Roman" w:hAnsi="Calibri" w:cs="Calibri"/>
          <w:color w:val="000000"/>
        </w:rPr>
        <w:t>Assuming equal volumes of the ventricles</w:t>
      </w:r>
      <w:r>
        <w:rPr>
          <w:rFonts w:ascii="Calibri" w:eastAsia="Times New Roman" w:hAnsi="Calibri" w:cs="Calibri"/>
          <w:color w:val="000000"/>
        </w:rPr>
        <w:t>; based on volumes of three-month-old rats</w:t>
      </w:r>
    </w:p>
  </w:footnote>
  <w:footnote w:id="9">
    <w:p w14:paraId="3A402912" w14:textId="77777777" w:rsidR="00776ADF" w:rsidRDefault="00776ADF" w:rsidP="00431683">
      <w:pPr>
        <w:pStyle w:val="FootnoteText"/>
      </w:pPr>
      <w:r w:rsidRPr="00691E3C">
        <w:rPr>
          <w:rStyle w:val="FootnoteReference"/>
        </w:rPr>
        <w:footnoteRef/>
      </w:r>
      <w:r>
        <w:t xml:space="preserve"> </w:t>
      </w:r>
      <w:hyperlink r:id="rId1" w:history="1">
        <w:r>
          <w:rPr>
            <w:rFonts w:ascii="Calibri" w:eastAsia="Times New Roman" w:hAnsi="Calibri" w:cs="Calibri"/>
            <w:color w:val="000000"/>
          </w:rPr>
          <w:t>C</w:t>
        </w:r>
        <w:r w:rsidRPr="006A14C3">
          <w:rPr>
            <w:rFonts w:ascii="Calibri" w:eastAsia="Times New Roman" w:hAnsi="Calibri" w:cs="Calibri"/>
            <w:color w:val="000000"/>
          </w:rPr>
          <w:t xml:space="preserve">alculated </w:t>
        </w:r>
        <w:r>
          <w:rPr>
            <w:rFonts w:ascii="Calibri" w:eastAsia="Times New Roman" w:hAnsi="Calibri" w:cs="Calibri"/>
            <w:color w:val="000000"/>
          </w:rPr>
          <w:t xml:space="preserve">as 5.7% of total CSF volume and </w:t>
        </w:r>
        <w:r w:rsidRPr="006A14C3">
          <w:rPr>
            <w:rFonts w:ascii="Calibri" w:eastAsia="Times New Roman" w:hAnsi="Calibri" w:cs="Calibri"/>
            <w:color w:val="000000"/>
          </w:rPr>
          <w:t>acc</w:t>
        </w:r>
        <w:r>
          <w:rPr>
            <w:rFonts w:ascii="Calibri" w:eastAsia="Times New Roman" w:hAnsi="Calibri" w:cs="Calibri"/>
            <w:color w:val="000000"/>
          </w:rPr>
          <w:t>ording to cisterna magna geometry</w:t>
        </w:r>
      </w:hyperlink>
    </w:p>
  </w:footnote>
  <w:footnote w:id="10">
    <w:p w14:paraId="4A7467A3"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 xml:space="preserve">Calculated as </w:t>
      </w:r>
      <w:r w:rsidRPr="006A14C3">
        <w:rPr>
          <w:rFonts w:ascii="Calibri" w:eastAsia="Times New Roman" w:hAnsi="Calibri" w:cs="Calibri"/>
          <w:color w:val="000000"/>
        </w:rPr>
        <w:t>48% of total CSF volume</w:t>
      </w:r>
      <w:r>
        <w:rPr>
          <w:rFonts w:ascii="Calibri" w:eastAsia="Times New Roman" w:hAnsi="Calibri" w:cs="Calibri"/>
          <w:color w:val="000000"/>
        </w:rPr>
        <w:t xml:space="preserve">, </w:t>
      </w:r>
      <w:r w:rsidRPr="006A14C3">
        <w:rPr>
          <w:rFonts w:ascii="Calibri" w:eastAsia="Times New Roman" w:hAnsi="Calibri" w:cs="Calibri"/>
          <w:color w:val="000000"/>
        </w:rPr>
        <w:t xml:space="preserve">based on measurement performed in </w:t>
      </w:r>
      <w:r>
        <w:rPr>
          <w:rFonts w:ascii="Calibri" w:eastAsia="Times New Roman" w:hAnsi="Calibri" w:cs="Calibri"/>
          <w:color w:val="000000"/>
        </w:rPr>
        <w:t xml:space="preserve">9-day-old </w:t>
      </w:r>
      <w:r w:rsidRPr="006A14C3">
        <w:rPr>
          <w:rFonts w:ascii="Calibri" w:eastAsia="Times New Roman" w:hAnsi="Calibri" w:cs="Calibri"/>
          <w:color w:val="000000"/>
        </w:rPr>
        <w:t>rats</w:t>
      </w:r>
    </w:p>
  </w:footnote>
  <w:footnote w:id="11">
    <w:p w14:paraId="6EB8B8B8" w14:textId="77777777" w:rsidR="00776ADF" w:rsidRDefault="00776ADF" w:rsidP="00431683">
      <w:pPr>
        <w:pStyle w:val="FootnoteText"/>
      </w:pPr>
      <w:r w:rsidRPr="00691E3C">
        <w:rPr>
          <w:rStyle w:val="FootnoteReference"/>
        </w:rPr>
        <w:footnoteRef/>
      </w:r>
      <w:r>
        <w:rPr>
          <w:rFonts w:ascii="Calibri" w:eastAsia="Times New Roman" w:hAnsi="Calibri" w:cs="Calibri"/>
          <w:color w:val="000000"/>
        </w:rPr>
        <w:t xml:space="preserve"> Calculated as 2.6% of total cardiac output</w:t>
      </w:r>
    </w:p>
  </w:footnote>
  <w:footnote w:id="12">
    <w:p w14:paraId="3F936940" w14:textId="77777777" w:rsidR="00776ADF" w:rsidRDefault="00776ADF" w:rsidP="00431683">
      <w:pPr>
        <w:pStyle w:val="FootnoteText"/>
      </w:pPr>
      <w:r w:rsidRPr="00691E3C">
        <w:rPr>
          <w:rStyle w:val="FootnoteReference"/>
        </w:rPr>
        <w:footnoteRef/>
      </w:r>
      <w:r>
        <w:t xml:space="preserve"> Based on 50% of CSF bulk flow</w:t>
      </w:r>
    </w:p>
  </w:footnote>
  <w:footnote w:id="13">
    <w:p w14:paraId="15398037"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Based on three-month-old rats, surface area at lateral ventricles (and 3</w:t>
      </w:r>
      <w:r w:rsidRPr="00AA20D5">
        <w:rPr>
          <w:rFonts w:ascii="Calibri" w:eastAsia="Times New Roman" w:hAnsi="Calibri" w:cs="Calibri"/>
          <w:color w:val="000000"/>
          <w:vertAlign w:val="superscript"/>
        </w:rPr>
        <w:t>rd</w:t>
      </w:r>
      <w:r>
        <w:rPr>
          <w:rFonts w:ascii="Calibri" w:eastAsia="Times New Roman" w:hAnsi="Calibri" w:cs="Calibri"/>
          <w:color w:val="000000"/>
        </w:rPr>
        <w:t xml:space="preserve"> and 4</w:t>
      </w:r>
      <w:r w:rsidRPr="00AA20D5">
        <w:rPr>
          <w:rFonts w:ascii="Calibri" w:eastAsia="Times New Roman" w:hAnsi="Calibri" w:cs="Calibri"/>
          <w:color w:val="000000"/>
          <w:vertAlign w:val="superscript"/>
        </w:rPr>
        <w:t>th</w:t>
      </w:r>
      <w:r>
        <w:rPr>
          <w:rFonts w:ascii="Calibri" w:eastAsia="Times New Roman" w:hAnsi="Calibri" w:cs="Calibri"/>
          <w:color w:val="000000"/>
        </w:rPr>
        <w:t xml:space="preserve"> ventricles) is assumed 50% of total surface area</w:t>
      </w:r>
    </w:p>
  </w:footnote>
  <w:footnote w:id="14">
    <w:p w14:paraId="59F867CA" w14:textId="77777777" w:rsidR="00776ADF" w:rsidRDefault="00776ADF" w:rsidP="00431683">
      <w:pPr>
        <w:pStyle w:val="FootnoteText"/>
      </w:pPr>
      <w:r w:rsidRPr="00691E3C">
        <w:rPr>
          <w:rStyle w:val="FootnoteReference"/>
        </w:rPr>
        <w:footnoteRef/>
      </w:r>
      <w:r>
        <w:t xml:space="preserve"> Based on 0.1 of BBB surface area</w:t>
      </w:r>
      <w:r>
        <w:rPr>
          <w:rFonts w:ascii="Calibri" w:eastAsia="Times New Roman" w:hAnsi="Calibri" w:cs="Calibri"/>
          <w:color w:val="000000"/>
        </w:rPr>
        <w:t>, surface area at lateral ventricles (and 3</w:t>
      </w:r>
      <w:r w:rsidRPr="00AA20D5">
        <w:rPr>
          <w:rFonts w:ascii="Calibri" w:eastAsia="Times New Roman" w:hAnsi="Calibri" w:cs="Calibri"/>
          <w:color w:val="000000"/>
          <w:vertAlign w:val="superscript"/>
        </w:rPr>
        <w:t>rd</w:t>
      </w:r>
      <w:r>
        <w:rPr>
          <w:rFonts w:ascii="Calibri" w:eastAsia="Times New Roman" w:hAnsi="Calibri" w:cs="Calibri"/>
          <w:color w:val="000000"/>
        </w:rPr>
        <w:t xml:space="preserve"> and 4</w:t>
      </w:r>
      <w:r w:rsidRPr="00AA20D5">
        <w:rPr>
          <w:rFonts w:ascii="Calibri" w:eastAsia="Times New Roman" w:hAnsi="Calibri" w:cs="Calibri"/>
          <w:color w:val="000000"/>
          <w:vertAlign w:val="superscript"/>
        </w:rPr>
        <w:t>th</w:t>
      </w:r>
      <w:r>
        <w:rPr>
          <w:rFonts w:ascii="Calibri" w:eastAsia="Times New Roman" w:hAnsi="Calibri" w:cs="Calibri"/>
          <w:color w:val="000000"/>
        </w:rPr>
        <w:t xml:space="preserve"> ventricles) is assumed 50% of total surface area</w:t>
      </w:r>
    </w:p>
  </w:footnote>
  <w:footnote w:id="15">
    <w:p w14:paraId="29B297DC" w14:textId="77777777" w:rsidR="00776ADF" w:rsidRDefault="00776ADF" w:rsidP="00431683">
      <w:pPr>
        <w:pStyle w:val="FootnoteText"/>
      </w:pPr>
      <w:r w:rsidRPr="00691E3C">
        <w:rPr>
          <w:rStyle w:val="FootnoteReference"/>
        </w:rPr>
        <w:footnoteRef/>
      </w:r>
      <w:r>
        <w:t xml:space="preserve"> </w:t>
      </w:r>
      <w:r w:rsidRPr="009C3A0A">
        <w:t>B</w:t>
      </w:r>
      <w:r w:rsidRPr="006A14C3">
        <w:rPr>
          <w:rFonts w:ascii="Calibri" w:eastAsia="Times New Roman" w:hAnsi="Calibri" w:cs="Calibri"/>
          <w:color w:val="000000"/>
        </w:rPr>
        <w:t>ased on ICF total volume, total number of brain cells</w:t>
      </w:r>
      <w:r>
        <w:rPr>
          <w:rFonts w:ascii="Calibri" w:eastAsia="Times New Roman" w:hAnsi="Calibri" w:cs="Calibri"/>
          <w:color w:val="000000"/>
        </w:rPr>
        <w:t xml:space="preserve">, </w:t>
      </w:r>
      <w:r w:rsidRPr="006A14C3">
        <w:rPr>
          <w:rFonts w:ascii="Calibri" w:eastAsia="Times New Roman" w:hAnsi="Calibri" w:cs="Calibri"/>
          <w:color w:val="000000"/>
        </w:rPr>
        <w:t xml:space="preserve">(1)and assuming </w:t>
      </w:r>
      <w:r>
        <w:rPr>
          <w:rFonts w:ascii="Calibri" w:eastAsia="Times New Roman" w:hAnsi="Calibri" w:cs="Calibri"/>
          <w:color w:val="000000"/>
        </w:rPr>
        <w:t xml:space="preserve">spherical </w:t>
      </w:r>
      <w:r w:rsidRPr="006A14C3">
        <w:rPr>
          <w:rFonts w:ascii="Calibri" w:eastAsia="Times New Roman" w:hAnsi="Calibri" w:cs="Calibri"/>
          <w:color w:val="000000"/>
        </w:rPr>
        <w:t>cells</w:t>
      </w:r>
      <w:r>
        <w:rPr>
          <w:rFonts w:ascii="Calibri" w:eastAsia="Times New Roman" w:hAnsi="Calibri" w:cs="Calibri"/>
          <w:color w:val="000000"/>
        </w:rPr>
        <w:t xml:space="preserve"> to calculate the radius w</w:t>
      </w:r>
      <w:r>
        <w:t xml:space="preserve">hich is used with total number of brain cells to calculate </w:t>
      </w:r>
      <w:r w:rsidRPr="006A14C3">
        <w:rPr>
          <w:rFonts w:ascii="Calibri" w:eastAsia="Times New Roman" w:hAnsi="Calibri" w:cs="Calibri"/>
          <w:color w:val="000000"/>
        </w:rPr>
        <w:t xml:space="preserve">total </w:t>
      </w:r>
      <w:r>
        <w:rPr>
          <w:rFonts w:ascii="Calibri" w:eastAsia="Times New Roman" w:hAnsi="Calibri" w:cs="Calibri"/>
          <w:color w:val="000000"/>
        </w:rPr>
        <w:t xml:space="preserve">surface area </w:t>
      </w:r>
      <w:r w:rsidRPr="006A14C3">
        <w:rPr>
          <w:rFonts w:ascii="Calibri" w:eastAsia="Times New Roman" w:hAnsi="Calibri" w:cs="Calibri"/>
          <w:color w:val="000000"/>
        </w:rPr>
        <w:t xml:space="preserve">of </w:t>
      </w:r>
      <w:r>
        <w:rPr>
          <w:rFonts w:ascii="Calibri" w:eastAsia="Times New Roman" w:hAnsi="Calibri" w:cs="Calibri"/>
          <w:color w:val="000000"/>
        </w:rPr>
        <w:t>brain cell membranes</w:t>
      </w:r>
    </w:p>
  </w:footnote>
  <w:footnote w:id="16">
    <w:p w14:paraId="4378A6D7" w14:textId="77777777" w:rsidR="00776ADF" w:rsidRDefault="00776ADF" w:rsidP="00431683">
      <w:pPr>
        <w:pStyle w:val="FootnoteText"/>
      </w:pPr>
      <w:r w:rsidRPr="00691E3C">
        <w:rPr>
          <w:rStyle w:val="FootnoteReference"/>
        </w:rPr>
        <w:footnoteRef/>
      </w:r>
      <w:r>
        <w:t xml:space="preserve"> </w:t>
      </w:r>
      <w:r w:rsidRPr="009C3A0A">
        <w:t>B</w:t>
      </w:r>
      <w:r w:rsidRPr="006A14C3">
        <w:rPr>
          <w:rFonts w:ascii="Calibri" w:eastAsia="Times New Roman" w:hAnsi="Calibri" w:cs="Calibri"/>
          <w:color w:val="000000"/>
        </w:rPr>
        <w:t xml:space="preserve">ased on lysosomes total volume and the average radius of rat </w:t>
      </w:r>
      <w:r>
        <w:rPr>
          <w:rFonts w:ascii="Calibri" w:eastAsia="Times New Roman" w:hAnsi="Calibri" w:cs="Calibri"/>
          <w:color w:val="000000"/>
        </w:rPr>
        <w:t>kidney</w:t>
      </w:r>
      <w:r w:rsidRPr="006A14C3">
        <w:rPr>
          <w:rFonts w:ascii="Calibri" w:eastAsia="Times New Roman" w:hAnsi="Calibri" w:cs="Calibri"/>
          <w:color w:val="000000"/>
        </w:rPr>
        <w:t xml:space="preserve"> lysosomes (0.</w:t>
      </w:r>
      <w:r>
        <w:rPr>
          <w:rFonts w:ascii="Calibri" w:eastAsia="Times New Roman" w:hAnsi="Calibri" w:cs="Calibri"/>
          <w:color w:val="000000"/>
        </w:rPr>
        <w:t>2</w:t>
      </w:r>
      <w:r w:rsidRPr="006A14C3">
        <w:rPr>
          <w:rFonts w:ascii="Calibri" w:eastAsia="Times New Roman" w:hAnsi="Calibri" w:cs="Calibri"/>
          <w:color w:val="000000"/>
        </w:rPr>
        <w:t xml:space="preserve"> </w:t>
      </w:r>
      <w:r>
        <w:rPr>
          <w:rFonts w:ascii="Calibri" w:eastAsia="Times New Roman" w:hAnsi="Calibri" w:cs="Calibri"/>
          <w:color w:val="000000"/>
        </w:rPr>
        <w:t>µ</w:t>
      </w:r>
      <w:r w:rsidRPr="006A14C3">
        <w:rPr>
          <w:rFonts w:ascii="Calibri" w:eastAsia="Times New Roman" w:hAnsi="Calibri" w:cs="Calibri"/>
          <w:color w:val="000000"/>
        </w:rPr>
        <w:t>m)</w:t>
      </w:r>
    </w:p>
  </w:footnote>
  <w:footnote w:id="17">
    <w:p w14:paraId="06A570BB" w14:textId="77777777" w:rsidR="00776ADF" w:rsidRDefault="00776ADF" w:rsidP="00431683">
      <w:pPr>
        <w:pStyle w:val="FootnoteText"/>
      </w:pPr>
      <w:r w:rsidRPr="00691E3C">
        <w:rPr>
          <w:rStyle w:val="FootnoteReference"/>
        </w:rPr>
        <w:footnoteRef/>
      </w:r>
      <w:r>
        <w:t xml:space="preserve"> </w:t>
      </w:r>
      <w:r w:rsidRPr="009C3A0A">
        <w:t>B</w:t>
      </w:r>
      <w:r w:rsidRPr="006A14C3">
        <w:rPr>
          <w:rFonts w:ascii="Calibri" w:eastAsia="Times New Roman" w:hAnsi="Calibri" w:cs="Calibri"/>
          <w:color w:val="000000"/>
        </w:rPr>
        <w:t xml:space="preserve">ased on lysosomes total volume and the average radius </w:t>
      </w:r>
      <w:r>
        <w:rPr>
          <w:rFonts w:ascii="Calibri" w:eastAsia="Times New Roman" w:hAnsi="Calibri" w:cs="Calibri"/>
          <w:color w:val="000000"/>
        </w:rPr>
        <w:t xml:space="preserve">of monkey kidney and rat kidney lysosomes </w:t>
      </w:r>
      <w:r w:rsidRPr="006A14C3">
        <w:rPr>
          <w:rFonts w:ascii="Calibri" w:eastAsia="Times New Roman" w:hAnsi="Calibri" w:cs="Calibri"/>
          <w:color w:val="000000"/>
        </w:rPr>
        <w:t>(</w:t>
      </w:r>
      <w:r w:rsidRPr="00EA52FC">
        <w:rPr>
          <w:rFonts w:ascii="Calibri" w:eastAsia="Times New Roman" w:hAnsi="Calibri" w:cs="Calibri"/>
          <w:color w:val="000000"/>
        </w:rPr>
        <w:t>0</w:t>
      </w:r>
      <w:r>
        <w:rPr>
          <w:rFonts w:ascii="Calibri" w:eastAsia="Times New Roman" w:hAnsi="Calibri" w:cs="Calibri"/>
          <w:color w:val="000000"/>
        </w:rPr>
        <w:t>.</w:t>
      </w:r>
      <w:r w:rsidRPr="00EA52FC">
        <w:rPr>
          <w:rFonts w:ascii="Calibri" w:eastAsia="Times New Roman" w:hAnsi="Calibri" w:cs="Calibri"/>
          <w:color w:val="000000"/>
        </w:rPr>
        <w:t>1875</w:t>
      </w:r>
      <w:r>
        <w:rPr>
          <w:rFonts w:ascii="Calibri" w:eastAsia="Times New Roman" w:hAnsi="Calibri" w:cs="Calibri"/>
          <w:color w:val="000000"/>
        </w:rPr>
        <w:t xml:space="preserve"> µm)</w:t>
      </w:r>
    </w:p>
  </w:footnote>
  <w:footnote w:id="18">
    <w:p w14:paraId="13E27B9F" w14:textId="77777777" w:rsidR="00776ADF" w:rsidRDefault="00776ADF" w:rsidP="00431683">
      <w:pPr>
        <w:pStyle w:val="FootnoteText"/>
      </w:pPr>
      <w:r w:rsidRPr="00691E3C">
        <w:rPr>
          <w:rStyle w:val="FootnoteReference"/>
        </w:rPr>
        <w:footnoteRef/>
      </w:r>
      <w:r>
        <w:t xml:space="preserve"> Based on 1500 gm brain</w:t>
      </w:r>
    </w:p>
  </w:footnote>
  <w:footnote w:id="19">
    <w:p w14:paraId="72AD3363" w14:textId="77777777" w:rsidR="00776ADF" w:rsidRDefault="00776ADF" w:rsidP="00431683">
      <w:pPr>
        <w:pStyle w:val="FootnoteText"/>
      </w:pPr>
      <w:r w:rsidRPr="00691E3C">
        <w:rPr>
          <w:rStyle w:val="FootnoteReference"/>
        </w:rPr>
        <w:footnoteRef/>
      </w:r>
      <w:r>
        <w:t xml:space="preserve"> Based on relative length of intercellular space (0.</w:t>
      </w:r>
      <w:r w:rsidRPr="0053769F">
        <w:t xml:space="preserve">03 </w:t>
      </w:r>
      <w:proofErr w:type="spellStart"/>
      <w:r w:rsidRPr="0053769F">
        <w:t>μm</w:t>
      </w:r>
      <w:proofErr w:type="spellEnd"/>
      <w:r w:rsidRPr="0053769F">
        <w:t>) and</w:t>
      </w:r>
      <w:r>
        <w:t xml:space="preserve"> cell perimeter (17 </w:t>
      </w:r>
      <w:proofErr w:type="spellStart"/>
      <w:r>
        <w:rPr>
          <w:rFonts w:cstheme="minorHAnsi"/>
        </w:rPr>
        <w:t>μ</w:t>
      </w:r>
      <w:r>
        <w:t>m</w:t>
      </w:r>
      <w:proofErr w:type="spellEnd"/>
      <w:r>
        <w:t xml:space="preserve">) </w:t>
      </w:r>
      <w:r>
        <w:fldChar w:fldCharType="begin" w:fldLock="1"/>
      </w:r>
      <w:r>
        <w:instrText>ADDIN CSL_CITATION {"citationItems":[{"id":"ITEM-1","itemData":{"DOI":"10.1002/psp4.12250","ISSN":"21638306","PMID":"28891201","author":[{"dropping-particle":"","family":"Yamamoto","given":"Y","non-dropping-particle":"","parse-names":false,"suffix":""},{"dropping-particle":"","family":"Välitalo","given":"PA","non-dropping-particle":"","parse-names":false,"suffix":""},{"dropping-particle":"","family":"Huntjens","given":"DR","non-dropping-particle":"","parse-names":false,"suffix":""},{"dropping-particle":"","family":"Proost","given":"JH","non-dropping-particle":"","parse-names":false,"suffix":""},{"dropping-particle":"","family":"Vermeulen","given":"A","non-dropping-particle":"","parse-names":false,"suffix":""},{"dropping-particle":"","family":"Krauwinkel","given":"W","non-dropping-particle":"","parse-names":false,"suffix":""},{"dropping-particle":"","family":"Beukers","given":"MW","non-dropping-particle":"","parse-names":false,"suffix":""},{"dropping-particle":"","family":"Berg","given":"DJ","non-dropping-particle":"van den","parse-names":false,"suffix":""},{"dropping-particle":"","family":"Hartman","given":"RJ","non-dropping-particle":"","parse-names":false,"suffix":""},{"dropping-particle":"","family":"Wong","given":"YC","non-dropping-particle":"","parse-names":false,"suffix":""},{"dropping-particle":"","family":"Danhof","given":"M","non-dropping-particle":"","parse-names":false,"suffix":""},{"dropping-particle":"","family":"Hasselt","given":"JGC","non-dropping-particle":"van","parse-names":false,"suffix":""},{"dropping-particle":"","family":"Lange","given":"ECM","non-dropping-particle":"De","parse-names":false,"suffix":""}],"container-title":"CPT: Pharmacometrics &amp; Systems Pharmacology","id":"ITEM-1","issue":"11","issued":{"date-parts":[["2017"]]},"page":"765-777","title":"Predicting drug concentration-time profiles in multiple relevant CNS compartments using a comprehensive physiologically-based pharmacokinetic model","type":"article-journal","volume":"6"},"uris":["http://www.mendeley.com/documents/?uuid=6e2d4ac0-7759-4436-8635-39d8dc2695b7"]},{"id":"ITEM-2","itemData":{"DOI":"10.1016/j.bbamem.2008.10.022","ISSN":"00052736","abstract":"Brain endothelial cells are unique among endothelial cells in that they express apical junctional complexes, including tight junctions, which quite resemble epithelial tight junctions both structurally and functionally. They form the blood-brain-barrier (BBB) which strictly controls the exchanges between the blood and the brain compartments by limiting passive diffusion of blood-borne solutes while actively transporting nutrients to the brain. Accumulating experimental and clinical evidence indicate that BBB dysfunctions are associated with a number of serious CNS diseases with important social impacts, such as multiple sclerosis, stroke, brain tumors, epilepsy or Alzheimer's disease. This review will focus on the implication of brain endothelial tight junctions in BBB architecture and physiology, will discuss the consequences of BBB dysfunction in these CNS diseases and will present some therapeutic strategies for drug delivery to the brain across the BBB. © 2008 Elsevier B.V. All rights reserved.","author":[{"dropping-particle":"","family":"Weiss","given":"Nicolas","non-dropping-particle":"","parse-names":false,"suffix":""},{"dropping-particle":"","family":"Miller","given":"Florence","non-dropping-particle":"","parse-names":false,"suffix":""},{"dropping-particle":"","family":"Cazaubon","given":"Sylvie","non-dropping-particle":"","parse-names":false,"suffix":""},{"dropping-particle":"","family":"Couraud","given":"Pierre Olivier","non-dropping-particle":"","parse-names":false,"suffix":""}],"container-title":"Biochimica et Biophysica Acta - Biomembranes","id":"ITEM-2","issue":"4","issued":{"date-parts":[["2009"]]},"page":"842-857","publisher":"Elsevier B.V.","title":"The blood-brain barrier in brain homeostasis and neurological diseases","type":"article-journal","volume":"1788"},"uris":["http://www.mendeley.com/documents/?uuid=07347092-2b95-4f12-b1bd-3c2a39361315"]}],"mendeley":{"formattedCitation":"[9, 93]","plainTextFormattedCitation":"[9, 93]","previouslyFormattedCitation":"[9, 93]"},"properties":{"noteIndex":0},"schema":"https://github.com/citation-style-language/schema/raw/master/csl-citation.json"}</w:instrText>
      </w:r>
      <w:r>
        <w:fldChar w:fldCharType="separate"/>
      </w:r>
      <w:r w:rsidRPr="001344EA">
        <w:rPr>
          <w:noProof/>
        </w:rPr>
        <w:t>[9, 93]</w:t>
      </w:r>
      <w:r>
        <w:fldChar w:fldCharType="end"/>
      </w:r>
    </w:p>
  </w:footnote>
  <w:footnote w:id="20">
    <w:p w14:paraId="799958BE" w14:textId="77777777" w:rsidR="00776ADF" w:rsidRDefault="00776ADF" w:rsidP="00431683">
      <w:pPr>
        <w:pStyle w:val="FootnoteText"/>
      </w:pPr>
      <w:r w:rsidRPr="00691E3C">
        <w:rPr>
          <w:rStyle w:val="FootnoteReference"/>
        </w:rPr>
        <w:footnoteRef/>
      </w:r>
      <w:r>
        <w:t xml:space="preserve"> Assumed the same as rats</w:t>
      </w:r>
    </w:p>
  </w:footnote>
  <w:footnote w:id="21">
    <w:p w14:paraId="0AEE73ED" w14:textId="77777777" w:rsidR="00776ADF" w:rsidRDefault="00776ADF" w:rsidP="00431683">
      <w:pPr>
        <w:pStyle w:val="FootnoteText"/>
      </w:pPr>
      <w:r w:rsidRPr="00691E3C">
        <w:rPr>
          <w:rStyle w:val="FootnoteReference"/>
        </w:rPr>
        <w:footnoteRef/>
      </w:r>
      <w:r>
        <w:t xml:space="preserve"> </w:t>
      </w:r>
      <w:r>
        <w:rPr>
          <w:rFonts w:ascii="Calibri" w:eastAsia="Times New Roman" w:hAnsi="Calibri" w:cs="Calibri"/>
          <w:color w:val="000000"/>
        </w:rPr>
        <w:t>B</w:t>
      </w:r>
      <w:r w:rsidRPr="006A14C3">
        <w:rPr>
          <w:rFonts w:ascii="Calibri" w:eastAsia="Times New Roman" w:hAnsi="Calibri" w:cs="Calibri"/>
          <w:color w:val="000000"/>
        </w:rPr>
        <w:t xml:space="preserve">ased on an </w:t>
      </w:r>
      <w:r>
        <w:rPr>
          <w:rFonts w:ascii="Calibri" w:eastAsia="Times New Roman" w:hAnsi="Calibri" w:cs="Calibri"/>
          <w:color w:val="000000"/>
        </w:rPr>
        <w:t xml:space="preserve">endothelial cell </w:t>
      </w:r>
      <w:r w:rsidRPr="006A14C3">
        <w:rPr>
          <w:rFonts w:ascii="Calibri" w:eastAsia="Times New Roman" w:hAnsi="Calibri" w:cs="Calibri"/>
          <w:color w:val="000000"/>
        </w:rPr>
        <w:t>perimeter of 17 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B51A9"/>
    <w:multiLevelType w:val="hybridMultilevel"/>
    <w:tmpl w:val="787C9034"/>
    <w:lvl w:ilvl="0" w:tplc="EFC616EA">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E567B"/>
    <w:multiLevelType w:val="hybridMultilevel"/>
    <w:tmpl w:val="866A35F0"/>
    <w:lvl w:ilvl="0" w:tplc="27764D4A">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126BD5"/>
    <w:multiLevelType w:val="multilevel"/>
    <w:tmpl w:val="2FBC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066D43"/>
    <w:multiLevelType w:val="hybridMultilevel"/>
    <w:tmpl w:val="33E0785A"/>
    <w:lvl w:ilvl="0" w:tplc="5236675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B59"/>
    <w:rsid w:val="00000F76"/>
    <w:rsid w:val="0002546C"/>
    <w:rsid w:val="00030383"/>
    <w:rsid w:val="0004284F"/>
    <w:rsid w:val="0006405C"/>
    <w:rsid w:val="000B2139"/>
    <w:rsid w:val="000B48EC"/>
    <w:rsid w:val="000C573B"/>
    <w:rsid w:val="00101070"/>
    <w:rsid w:val="001116C4"/>
    <w:rsid w:val="001344EA"/>
    <w:rsid w:val="001440E4"/>
    <w:rsid w:val="00154697"/>
    <w:rsid w:val="00155D2D"/>
    <w:rsid w:val="001616C4"/>
    <w:rsid w:val="00172794"/>
    <w:rsid w:val="0019065F"/>
    <w:rsid w:val="001C5405"/>
    <w:rsid w:val="00217F38"/>
    <w:rsid w:val="00245AEC"/>
    <w:rsid w:val="0025700E"/>
    <w:rsid w:val="00272BB2"/>
    <w:rsid w:val="0027378B"/>
    <w:rsid w:val="00277F90"/>
    <w:rsid w:val="002A468F"/>
    <w:rsid w:val="002C56FC"/>
    <w:rsid w:val="002D345C"/>
    <w:rsid w:val="002E1AA2"/>
    <w:rsid w:val="002E3B59"/>
    <w:rsid w:val="002F0E10"/>
    <w:rsid w:val="002F0FF1"/>
    <w:rsid w:val="00334238"/>
    <w:rsid w:val="00335F23"/>
    <w:rsid w:val="0034160E"/>
    <w:rsid w:val="003454A6"/>
    <w:rsid w:val="0038201A"/>
    <w:rsid w:val="00383F39"/>
    <w:rsid w:val="0038777A"/>
    <w:rsid w:val="003C1CBE"/>
    <w:rsid w:val="003C28D5"/>
    <w:rsid w:val="003C52E9"/>
    <w:rsid w:val="003F7A85"/>
    <w:rsid w:val="00422ED8"/>
    <w:rsid w:val="00422FBF"/>
    <w:rsid w:val="00431683"/>
    <w:rsid w:val="00447985"/>
    <w:rsid w:val="00464415"/>
    <w:rsid w:val="00485B8B"/>
    <w:rsid w:val="004A3328"/>
    <w:rsid w:val="004B2DFE"/>
    <w:rsid w:val="004B3CD6"/>
    <w:rsid w:val="004C46DD"/>
    <w:rsid w:val="004E5485"/>
    <w:rsid w:val="004E5CB3"/>
    <w:rsid w:val="004F1EC0"/>
    <w:rsid w:val="00511FE6"/>
    <w:rsid w:val="00515F97"/>
    <w:rsid w:val="005211F5"/>
    <w:rsid w:val="00522B28"/>
    <w:rsid w:val="00527543"/>
    <w:rsid w:val="00547D35"/>
    <w:rsid w:val="00555754"/>
    <w:rsid w:val="0058134B"/>
    <w:rsid w:val="00582B66"/>
    <w:rsid w:val="0058321B"/>
    <w:rsid w:val="00584BA8"/>
    <w:rsid w:val="005A06C5"/>
    <w:rsid w:val="005B754C"/>
    <w:rsid w:val="005D4B76"/>
    <w:rsid w:val="005E75F0"/>
    <w:rsid w:val="00624501"/>
    <w:rsid w:val="00633CBA"/>
    <w:rsid w:val="00635201"/>
    <w:rsid w:val="00640028"/>
    <w:rsid w:val="00647F5A"/>
    <w:rsid w:val="0065074B"/>
    <w:rsid w:val="00650780"/>
    <w:rsid w:val="0067195C"/>
    <w:rsid w:val="00681F21"/>
    <w:rsid w:val="00687C43"/>
    <w:rsid w:val="00687EF0"/>
    <w:rsid w:val="00691E3C"/>
    <w:rsid w:val="006977AD"/>
    <w:rsid w:val="006B306D"/>
    <w:rsid w:val="006C6712"/>
    <w:rsid w:val="006F3709"/>
    <w:rsid w:val="0076190C"/>
    <w:rsid w:val="0077373D"/>
    <w:rsid w:val="00776ADF"/>
    <w:rsid w:val="00785946"/>
    <w:rsid w:val="00790B94"/>
    <w:rsid w:val="00792A33"/>
    <w:rsid w:val="007B3C43"/>
    <w:rsid w:val="007D3829"/>
    <w:rsid w:val="007D77BB"/>
    <w:rsid w:val="008218F1"/>
    <w:rsid w:val="00822086"/>
    <w:rsid w:val="0082614A"/>
    <w:rsid w:val="0086645C"/>
    <w:rsid w:val="00871BAB"/>
    <w:rsid w:val="00876A22"/>
    <w:rsid w:val="00886A13"/>
    <w:rsid w:val="008A2310"/>
    <w:rsid w:val="008A6D8D"/>
    <w:rsid w:val="008C78C2"/>
    <w:rsid w:val="008E0B50"/>
    <w:rsid w:val="008E0B95"/>
    <w:rsid w:val="008F61D6"/>
    <w:rsid w:val="00904E97"/>
    <w:rsid w:val="00940F9A"/>
    <w:rsid w:val="009720CE"/>
    <w:rsid w:val="009979C8"/>
    <w:rsid w:val="009A4F02"/>
    <w:rsid w:val="009E487D"/>
    <w:rsid w:val="009F1E8C"/>
    <w:rsid w:val="009F54A2"/>
    <w:rsid w:val="00A0144C"/>
    <w:rsid w:val="00A0377D"/>
    <w:rsid w:val="00A17BA6"/>
    <w:rsid w:val="00A2271A"/>
    <w:rsid w:val="00A232BF"/>
    <w:rsid w:val="00A24231"/>
    <w:rsid w:val="00A47E0E"/>
    <w:rsid w:val="00A83AD2"/>
    <w:rsid w:val="00AA3A96"/>
    <w:rsid w:val="00AA6F5B"/>
    <w:rsid w:val="00B0480C"/>
    <w:rsid w:val="00B71182"/>
    <w:rsid w:val="00B84E22"/>
    <w:rsid w:val="00BC498D"/>
    <w:rsid w:val="00BC5350"/>
    <w:rsid w:val="00BF592A"/>
    <w:rsid w:val="00C2267B"/>
    <w:rsid w:val="00C239D9"/>
    <w:rsid w:val="00C25FD0"/>
    <w:rsid w:val="00C644C2"/>
    <w:rsid w:val="00C72D70"/>
    <w:rsid w:val="00CA43E8"/>
    <w:rsid w:val="00CB7A75"/>
    <w:rsid w:val="00CC23C8"/>
    <w:rsid w:val="00CD5127"/>
    <w:rsid w:val="00D07A78"/>
    <w:rsid w:val="00D22F2F"/>
    <w:rsid w:val="00D5208C"/>
    <w:rsid w:val="00D619EC"/>
    <w:rsid w:val="00D71E57"/>
    <w:rsid w:val="00DC10A6"/>
    <w:rsid w:val="00DF1FFF"/>
    <w:rsid w:val="00E045A5"/>
    <w:rsid w:val="00E1277D"/>
    <w:rsid w:val="00E36CF2"/>
    <w:rsid w:val="00E745FB"/>
    <w:rsid w:val="00E76D46"/>
    <w:rsid w:val="00E80506"/>
    <w:rsid w:val="00E8240D"/>
    <w:rsid w:val="00E921ED"/>
    <w:rsid w:val="00ED4865"/>
    <w:rsid w:val="00EF6F1E"/>
    <w:rsid w:val="00F22B2E"/>
    <w:rsid w:val="00F34BC1"/>
    <w:rsid w:val="00F567C1"/>
    <w:rsid w:val="00F7282D"/>
    <w:rsid w:val="00F9165A"/>
    <w:rsid w:val="00FF024B"/>
    <w:rsid w:val="00FF605E"/>
    <w:rsid w:val="00FF67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A7313"/>
  <w15:chartTrackingRefBased/>
  <w15:docId w15:val="{AEB2D376-1BA2-4938-9B64-FB35E2C0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68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316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1683"/>
    <w:rPr>
      <w:sz w:val="20"/>
      <w:szCs w:val="20"/>
      <w:lang w:val="en-US"/>
    </w:rPr>
  </w:style>
  <w:style w:type="character" w:styleId="FootnoteReference">
    <w:name w:val="footnote reference"/>
    <w:basedOn w:val="DefaultParagraphFont"/>
    <w:uiPriority w:val="99"/>
    <w:unhideWhenUsed/>
    <w:rsid w:val="00431683"/>
    <w:rPr>
      <w:vertAlign w:val="superscript"/>
    </w:rPr>
  </w:style>
  <w:style w:type="paragraph" w:styleId="ListParagraph">
    <w:name w:val="List Paragraph"/>
    <w:basedOn w:val="Normal"/>
    <w:uiPriority w:val="34"/>
    <w:qFormat/>
    <w:rsid w:val="00383F39"/>
    <w:pPr>
      <w:ind w:left="720"/>
      <w:contextualSpacing/>
    </w:pPr>
  </w:style>
  <w:style w:type="table" w:styleId="TableGrid">
    <w:name w:val="Table Grid"/>
    <w:basedOn w:val="TableNormal"/>
    <w:uiPriority w:val="39"/>
    <w:rsid w:val="00822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cell">
    <w:name w:val="numbercell"/>
    <w:basedOn w:val="DefaultParagraphFont"/>
    <w:rsid w:val="004A3328"/>
  </w:style>
  <w:style w:type="paragraph" w:styleId="BalloonText">
    <w:name w:val="Balloon Text"/>
    <w:basedOn w:val="Normal"/>
    <w:link w:val="BalloonTextChar"/>
    <w:uiPriority w:val="99"/>
    <w:semiHidden/>
    <w:unhideWhenUsed/>
    <w:rsid w:val="00025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46C"/>
    <w:rPr>
      <w:rFonts w:ascii="Segoe UI" w:hAnsi="Segoe UI" w:cs="Segoe UI"/>
      <w:sz w:val="18"/>
      <w:szCs w:val="18"/>
      <w:lang w:val="en-US"/>
    </w:rPr>
  </w:style>
  <w:style w:type="character" w:styleId="EndnoteReference">
    <w:name w:val="endnote reference"/>
    <w:basedOn w:val="DefaultParagraphFont"/>
    <w:uiPriority w:val="99"/>
    <w:semiHidden/>
    <w:unhideWhenUsed/>
    <w:rsid w:val="003F7A85"/>
    <w:rPr>
      <w:vertAlign w:val="superscript"/>
    </w:rPr>
  </w:style>
  <w:style w:type="paragraph" w:styleId="Revision">
    <w:name w:val="Revision"/>
    <w:hidden/>
    <w:uiPriority w:val="99"/>
    <w:semiHidden/>
    <w:rsid w:val="0038777A"/>
    <w:pPr>
      <w:spacing w:after="0" w:line="240" w:lineRule="auto"/>
    </w:pPr>
    <w:rPr>
      <w:lang w:val="en-US"/>
    </w:rPr>
  </w:style>
  <w:style w:type="character" w:styleId="Hyperlink">
    <w:name w:val="Hyperlink"/>
    <w:basedOn w:val="DefaultParagraphFont"/>
    <w:uiPriority w:val="99"/>
    <w:unhideWhenUsed/>
    <w:rsid w:val="00886A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587816">
      <w:bodyDiv w:val="1"/>
      <w:marLeft w:val="0"/>
      <w:marRight w:val="0"/>
      <w:marTop w:val="0"/>
      <w:marBottom w:val="0"/>
      <w:divBdr>
        <w:top w:val="none" w:sz="0" w:space="0" w:color="auto"/>
        <w:left w:val="none" w:sz="0" w:space="0" w:color="auto"/>
        <w:bottom w:val="none" w:sz="0" w:space="0" w:color="auto"/>
        <w:right w:val="none" w:sz="0" w:space="0" w:color="auto"/>
      </w:divBdr>
    </w:div>
    <w:div w:id="1668904366">
      <w:bodyDiv w:val="1"/>
      <w:marLeft w:val="0"/>
      <w:marRight w:val="0"/>
      <w:marTop w:val="0"/>
      <w:marBottom w:val="0"/>
      <w:divBdr>
        <w:top w:val="none" w:sz="0" w:space="0" w:color="auto"/>
        <w:left w:val="none" w:sz="0" w:space="0" w:color="auto"/>
        <w:bottom w:val="none" w:sz="0" w:space="0" w:color="auto"/>
        <w:right w:val="none" w:sz="0" w:space="0" w:color="auto"/>
      </w:divBdr>
    </w:div>
    <w:div w:id="213570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mdelange@lacdr.leidenuniv.n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4365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AC073-69B2-4CD0-92A6-AD899481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52348</Words>
  <Characters>287914</Characters>
  <Application>Microsoft Office Word</Application>
  <DocSecurity>0</DocSecurity>
  <Lines>2399</Lines>
  <Paragraphs>679</Paragraphs>
  <ScaleCrop>false</ScaleCrop>
  <HeadingPairs>
    <vt:vector size="2" baseType="variant">
      <vt:variant>
        <vt:lpstr>Title</vt:lpstr>
      </vt:variant>
      <vt:variant>
        <vt:i4>1</vt:i4>
      </vt:variant>
    </vt:vector>
  </HeadingPairs>
  <TitlesOfParts>
    <vt:vector size="1" baseType="lpstr">
      <vt:lpstr/>
    </vt:vector>
  </TitlesOfParts>
  <Company>ISSC</Company>
  <LinksUpToDate>false</LinksUpToDate>
  <CharactersWithSpaces>339583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M.A.A.E.W.</dc:creator>
  <cp:keywords/>
  <dc:description/>
  <cp:lastModifiedBy>Saleh, M.A.A.E.W.</cp:lastModifiedBy>
  <cp:revision>9</cp:revision>
  <cp:lastPrinted>2020-07-27T18:43:00Z</cp:lastPrinted>
  <dcterms:created xsi:type="dcterms:W3CDTF">2021-04-20T07:37:00Z</dcterms:created>
  <dcterms:modified xsi:type="dcterms:W3CDTF">2021-05-30T10:51:00Z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http://www.zotero.org/styles/british-journal-of-pharmacology</vt:lpwstr>
  </property>
  <property fmtid="{D5CDD505-2E9C-101B-9397-08002B2CF9AE}" pid="7" name="Mendeley Recent Style Name 2_1">
    <vt:lpwstr>British Journal of Pharmacology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http://www.zotero.org/styles/journal-of-infectious-diseases</vt:lpwstr>
  </property>
  <property fmtid="{D5CDD505-2E9C-101B-9397-08002B2CF9AE}" pid="15" name="Mendeley Recent Style Name 6_1">
    <vt:lpwstr>Journal of Infectious Diseases</vt:lpwstr>
  </property>
  <property fmtid="{D5CDD505-2E9C-101B-9397-08002B2CF9AE}" pid="16" name="Mendeley Recent Style Id 7_1">
    <vt:lpwstr>http://www.zotero.org/styles/journal-of-pharmacokinetics-and-pharmacodynamics</vt:lpwstr>
  </property>
  <property fmtid="{D5CDD505-2E9C-101B-9397-08002B2CF9AE}" pid="17" name="Mendeley Recent Style Name 7_1">
    <vt:lpwstr>Journal of Pharmacokinetics and Pharmacodynamics</vt:lpwstr>
  </property>
  <property fmtid="{D5CDD505-2E9C-101B-9397-08002B2CF9AE}" pid="18" name="Mendeley Recent Style Id 8_1">
    <vt:lpwstr>http://www.zotero.org/styles/pharmaceutics</vt:lpwstr>
  </property>
  <property fmtid="{D5CDD505-2E9C-101B-9397-08002B2CF9AE}" pid="19" name="Mendeley Recent Style Name 8_1">
    <vt:lpwstr>Pharmaceutics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71c35841-dbe5-3f7e-8ef2-a3a9cb0b056b</vt:lpwstr>
  </property>
  <property fmtid="{D5CDD505-2E9C-101B-9397-08002B2CF9AE}" pid="24" name="Mendeley Citation Style_1">
    <vt:lpwstr>http://www.zotero.org/styles/journal-of-pharmacokinetics-and-pharmacodynamics</vt:lpwstr>
  </property>
</Properties>
</file>