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D7A94" w14:textId="77777777" w:rsidR="004003B0" w:rsidRPr="00850735" w:rsidRDefault="004003B0" w:rsidP="004003B0">
      <w:pPr>
        <w:pStyle w:val="StyleTitlePage20pt"/>
        <w:spacing w:after="240"/>
        <w:jc w:val="left"/>
        <w:rPr>
          <w:rFonts w:eastAsiaTheme="minorHAnsi"/>
          <w:bCs/>
          <w:color w:val="000000" w:themeColor="text1"/>
          <w:sz w:val="48"/>
          <w:szCs w:val="48"/>
        </w:rPr>
      </w:pPr>
      <w:bookmarkStart w:id="0" w:name="_GoBack"/>
      <w:r w:rsidRPr="00850735">
        <w:rPr>
          <w:rFonts w:eastAsiaTheme="minorHAnsi"/>
          <w:bCs/>
          <w:color w:val="000000" w:themeColor="text1"/>
          <w:sz w:val="48"/>
          <w:szCs w:val="48"/>
        </w:rPr>
        <w:t>Development of PBPK Model for Intra-articular Injection in Human: Methotrexate Solution and Rheumatoid Arthritis Case Study.</w:t>
      </w:r>
    </w:p>
    <w:p w14:paraId="59643E1B" w14:textId="77777777" w:rsidR="004003B0" w:rsidRPr="00850735" w:rsidRDefault="004003B0" w:rsidP="004003B0">
      <w:pPr>
        <w:spacing w:after="240" w:line="360" w:lineRule="auto"/>
        <w:jc w:val="center"/>
        <w:rPr>
          <w:rFonts w:cs="Times New Roman"/>
          <w:b/>
          <w:bCs/>
          <w:color w:val="000000" w:themeColor="text1"/>
          <w:sz w:val="40"/>
          <w:szCs w:val="40"/>
        </w:rPr>
      </w:pPr>
    </w:p>
    <w:p w14:paraId="75AF7071" w14:textId="77777777" w:rsidR="004003B0" w:rsidRPr="00850735" w:rsidRDefault="004003B0" w:rsidP="004003B0">
      <w:pPr>
        <w:spacing w:after="240" w:line="360" w:lineRule="auto"/>
        <w:rPr>
          <w:color w:val="000000" w:themeColor="text1"/>
          <w:vertAlign w:val="superscript"/>
          <w:lang w:val="fr-CH"/>
        </w:rPr>
      </w:pPr>
      <w:r w:rsidRPr="00850735">
        <w:rPr>
          <w:color w:val="000000" w:themeColor="text1"/>
          <w:lang w:val="fr-CH"/>
        </w:rPr>
        <w:t>Maxime Le Merdy*</w:t>
      </w:r>
      <w:r w:rsidRPr="00850735">
        <w:rPr>
          <w:color w:val="000000" w:themeColor="text1"/>
          <w:vertAlign w:val="superscript"/>
          <w:lang w:val="fr-CH"/>
        </w:rPr>
        <w:t>1</w:t>
      </w:r>
      <w:r w:rsidRPr="00850735">
        <w:rPr>
          <w:color w:val="000000" w:themeColor="text1"/>
          <w:lang w:val="fr-CH"/>
        </w:rPr>
        <w:t xml:space="preserve">, </w:t>
      </w:r>
      <w:r w:rsidRPr="00850735">
        <w:rPr>
          <w:rFonts w:cs="Times New Roman"/>
          <w:color w:val="000000" w:themeColor="text1"/>
          <w:lang w:val="fr-CH"/>
        </w:rPr>
        <w:t>Jim Mullin</w:t>
      </w:r>
      <w:r w:rsidRPr="00850735">
        <w:rPr>
          <w:color w:val="000000" w:themeColor="text1"/>
          <w:vertAlign w:val="superscript"/>
          <w:lang w:val="fr-CH"/>
        </w:rPr>
        <w:t>1</w:t>
      </w:r>
      <w:r w:rsidRPr="00850735">
        <w:rPr>
          <w:color w:val="000000" w:themeColor="text1"/>
          <w:lang w:val="fr-CH"/>
        </w:rPr>
        <w:t>, Viera Lukacova</w:t>
      </w:r>
      <w:r w:rsidRPr="00850735">
        <w:rPr>
          <w:color w:val="000000" w:themeColor="text1"/>
          <w:vertAlign w:val="superscript"/>
          <w:lang w:val="fr-CH"/>
        </w:rPr>
        <w:t>1</w:t>
      </w:r>
    </w:p>
    <w:p w14:paraId="667988B3" w14:textId="77777777" w:rsidR="004003B0" w:rsidRPr="00850735" w:rsidRDefault="004003B0" w:rsidP="004003B0">
      <w:pPr>
        <w:spacing w:after="240" w:line="360" w:lineRule="auto"/>
        <w:rPr>
          <w:color w:val="000000" w:themeColor="text1"/>
          <w:lang w:val="fr-CH"/>
        </w:rPr>
      </w:pPr>
    </w:p>
    <w:p w14:paraId="5F7E195C" w14:textId="77777777" w:rsidR="004003B0" w:rsidRPr="00850735" w:rsidRDefault="004003B0" w:rsidP="004003B0">
      <w:pPr>
        <w:autoSpaceDE w:val="0"/>
        <w:autoSpaceDN w:val="0"/>
        <w:adjustRightInd w:val="0"/>
        <w:spacing w:after="240" w:line="360" w:lineRule="auto"/>
        <w:rPr>
          <w:rFonts w:ascii="JwbcvwAdvTT1a8fcafc" w:hAnsi="JwbcvwAdvTT1a8fcafc" w:cs="JwbcvwAdvTT1a8fcafc"/>
          <w:color w:val="000000" w:themeColor="text1"/>
          <w:sz w:val="16"/>
          <w:szCs w:val="16"/>
        </w:rPr>
      </w:pPr>
      <w:r w:rsidRPr="00850735">
        <w:rPr>
          <w:i/>
          <w:color w:val="000000" w:themeColor="text1"/>
          <w:szCs w:val="24"/>
        </w:rPr>
        <w:t>1: Simulations Plus, Inc., 42505 10th Street West, Lancaster, California 93534, USA.</w:t>
      </w:r>
    </w:p>
    <w:p w14:paraId="039FD291" w14:textId="77777777" w:rsidR="004003B0" w:rsidRPr="00850735" w:rsidRDefault="004003B0" w:rsidP="004003B0">
      <w:pPr>
        <w:spacing w:after="240" w:line="360" w:lineRule="auto"/>
        <w:rPr>
          <w:rFonts w:cs="Times New Roman"/>
          <w:i/>
          <w:iCs/>
          <w:color w:val="000000" w:themeColor="text1"/>
        </w:rPr>
      </w:pPr>
      <w:r w:rsidRPr="00850735">
        <w:rPr>
          <w:rFonts w:cs="Times New Roman"/>
          <w:i/>
          <w:iCs/>
          <w:color w:val="000000" w:themeColor="text1"/>
        </w:rPr>
        <w:t>Maxime Le Merdy and Jim Mullin contributed equally to the realization of this research project.</w:t>
      </w:r>
    </w:p>
    <w:p w14:paraId="255DA69F" w14:textId="77777777" w:rsidR="004003B0" w:rsidRPr="00850735" w:rsidRDefault="004003B0" w:rsidP="004003B0">
      <w:pPr>
        <w:spacing w:after="240" w:line="360" w:lineRule="auto"/>
        <w:rPr>
          <w:rFonts w:cs="Times New Roman"/>
          <w:i/>
          <w:iCs/>
          <w:color w:val="000000" w:themeColor="text1"/>
        </w:rPr>
      </w:pPr>
    </w:p>
    <w:p w14:paraId="14CDE01B" w14:textId="77777777" w:rsidR="004003B0" w:rsidRPr="00850735" w:rsidRDefault="004003B0" w:rsidP="004003B0">
      <w:pPr>
        <w:spacing w:after="240" w:line="360" w:lineRule="auto"/>
        <w:rPr>
          <w:rFonts w:cs="Times New Roman"/>
          <w:color w:val="000000" w:themeColor="text1"/>
        </w:rPr>
      </w:pPr>
      <w:bookmarkStart w:id="1" w:name="_Hlk527713080"/>
      <w:r w:rsidRPr="00850735">
        <w:rPr>
          <w:rFonts w:cs="Times New Roman"/>
          <w:color w:val="000000" w:themeColor="text1"/>
        </w:rPr>
        <w:t>*Corresponding author: Maxime Le Merdy</w:t>
      </w:r>
    </w:p>
    <w:p w14:paraId="391B2415" w14:textId="77777777" w:rsidR="004003B0" w:rsidRPr="00850735" w:rsidRDefault="004003B0" w:rsidP="004003B0">
      <w:pPr>
        <w:spacing w:after="240" w:line="360" w:lineRule="auto"/>
        <w:rPr>
          <w:i/>
          <w:color w:val="000000" w:themeColor="text1"/>
          <w:szCs w:val="24"/>
        </w:rPr>
      </w:pPr>
      <w:r w:rsidRPr="00850735">
        <w:rPr>
          <w:i/>
          <w:color w:val="000000" w:themeColor="text1"/>
          <w:szCs w:val="24"/>
        </w:rPr>
        <w:t>Simulations Plus, Inc., 42505 10th Street West, Lancaster, California 93534, USA.</w:t>
      </w:r>
    </w:p>
    <w:p w14:paraId="6143FCEA" w14:textId="77777777" w:rsidR="004003B0" w:rsidRPr="00850735" w:rsidRDefault="004003B0" w:rsidP="004003B0">
      <w:pPr>
        <w:spacing w:after="240" w:line="360" w:lineRule="auto"/>
        <w:rPr>
          <w:color w:val="000000" w:themeColor="text1"/>
        </w:rPr>
      </w:pPr>
      <w:r w:rsidRPr="00850735">
        <w:rPr>
          <w:color w:val="000000" w:themeColor="text1"/>
          <w:szCs w:val="24"/>
        </w:rPr>
        <w:t xml:space="preserve">Phone: +1-661-723-7723, Email: </w:t>
      </w:r>
      <w:hyperlink r:id="rId6" w:history="1">
        <w:r w:rsidRPr="00850735">
          <w:rPr>
            <w:rStyle w:val="Hyperlink"/>
            <w:color w:val="000000" w:themeColor="text1"/>
            <w:szCs w:val="24"/>
          </w:rPr>
          <w:t>maxime@simulations-plus.com</w:t>
        </w:r>
      </w:hyperlink>
      <w:r w:rsidRPr="00850735">
        <w:rPr>
          <w:color w:val="000000" w:themeColor="text1"/>
          <w:szCs w:val="24"/>
        </w:rPr>
        <w:t xml:space="preserve"> </w:t>
      </w:r>
    </w:p>
    <w:bookmarkEnd w:id="1"/>
    <w:p w14:paraId="084A7B32" w14:textId="77777777" w:rsidR="004003B0" w:rsidRPr="00850735" w:rsidRDefault="004003B0" w:rsidP="004003B0">
      <w:pPr>
        <w:spacing w:after="240" w:line="360" w:lineRule="auto"/>
        <w:rPr>
          <w:rFonts w:cs="Times New Roman"/>
          <w:b/>
          <w:color w:val="000000" w:themeColor="text1"/>
          <w:szCs w:val="24"/>
        </w:rPr>
      </w:pPr>
      <w:r w:rsidRPr="00850735">
        <w:rPr>
          <w:rFonts w:cs="Times New Roman"/>
          <w:b/>
          <w:color w:val="000000" w:themeColor="text1"/>
          <w:szCs w:val="24"/>
          <w:u w:val="single"/>
        </w:rPr>
        <w:t>Running title</w:t>
      </w:r>
      <w:r w:rsidRPr="00850735">
        <w:rPr>
          <w:rFonts w:cs="Times New Roman"/>
          <w:b/>
          <w:color w:val="000000" w:themeColor="text1"/>
          <w:szCs w:val="24"/>
        </w:rPr>
        <w:t xml:space="preserve">: </w:t>
      </w:r>
      <w:r w:rsidRPr="00850735">
        <w:rPr>
          <w:rFonts w:cs="Times New Roman"/>
          <w:color w:val="000000" w:themeColor="text1"/>
          <w:szCs w:val="24"/>
        </w:rPr>
        <w:t>Intra-articular PBPK modeling of methotrexate solution.</w:t>
      </w:r>
    </w:p>
    <w:p w14:paraId="2C64ED01" w14:textId="77777777" w:rsidR="004003B0" w:rsidRPr="00850735" w:rsidRDefault="004003B0" w:rsidP="004003B0">
      <w:pPr>
        <w:rPr>
          <w:color w:val="000000" w:themeColor="text1"/>
        </w:rPr>
      </w:pPr>
      <w:r w:rsidRPr="00850735">
        <w:rPr>
          <w:rFonts w:cs="Times New Roman"/>
          <w:b/>
          <w:color w:val="000000" w:themeColor="text1"/>
          <w:szCs w:val="24"/>
          <w:u w:val="single"/>
        </w:rPr>
        <w:t>Keywords:</w:t>
      </w:r>
      <w:r w:rsidRPr="00850735">
        <w:rPr>
          <w:rFonts w:cs="Times New Roman"/>
          <w:b/>
          <w:color w:val="000000" w:themeColor="text1"/>
          <w:sz w:val="28"/>
        </w:rPr>
        <w:t xml:space="preserve"> </w:t>
      </w:r>
      <w:bookmarkStart w:id="2" w:name="_Hlk55645955"/>
      <w:r w:rsidRPr="00850735">
        <w:rPr>
          <w:rFonts w:cs="Times New Roman"/>
          <w:color w:val="000000" w:themeColor="text1"/>
          <w:szCs w:val="24"/>
        </w:rPr>
        <w:t>PBPK, methotrexate, product development, rheumatoid arthritis, intra-articular</w:t>
      </w:r>
      <w:bookmarkEnd w:id="2"/>
      <w:r w:rsidRPr="00850735">
        <w:rPr>
          <w:rFonts w:cs="Times New Roman"/>
          <w:b/>
          <w:bCs/>
          <w:color w:val="000000" w:themeColor="text1"/>
          <w:sz w:val="40"/>
          <w:szCs w:val="40"/>
        </w:rPr>
        <w:br w:type="page"/>
      </w:r>
    </w:p>
    <w:p w14:paraId="36E50FE9" w14:textId="77777777" w:rsidR="004003B0" w:rsidRPr="00850735" w:rsidRDefault="004003B0" w:rsidP="004003B0">
      <w:pPr>
        <w:pStyle w:val="Caption"/>
        <w:keepNext/>
        <w:rPr>
          <w:color w:val="000000" w:themeColor="text1"/>
          <w:sz w:val="24"/>
          <w:szCs w:val="24"/>
        </w:rPr>
      </w:pPr>
      <w:r w:rsidRPr="00850735">
        <w:rPr>
          <w:color w:val="000000" w:themeColor="text1"/>
          <w:sz w:val="24"/>
          <w:szCs w:val="24"/>
        </w:rPr>
        <w:lastRenderedPageBreak/>
        <w:t xml:space="preserve">Table </w:t>
      </w:r>
      <w:r w:rsidRPr="00850735">
        <w:rPr>
          <w:color w:val="000000" w:themeColor="text1"/>
          <w:sz w:val="24"/>
          <w:szCs w:val="24"/>
        </w:rPr>
        <w:fldChar w:fldCharType="begin"/>
      </w:r>
      <w:r w:rsidRPr="00850735">
        <w:rPr>
          <w:color w:val="000000" w:themeColor="text1"/>
          <w:sz w:val="24"/>
          <w:szCs w:val="24"/>
        </w:rPr>
        <w:instrText xml:space="preserve"> SEQ Table \* ARABIC </w:instrText>
      </w:r>
      <w:r w:rsidRPr="00850735">
        <w:rPr>
          <w:color w:val="000000" w:themeColor="text1"/>
          <w:sz w:val="24"/>
          <w:szCs w:val="24"/>
        </w:rPr>
        <w:fldChar w:fldCharType="separate"/>
      </w:r>
      <w:r w:rsidRPr="00850735">
        <w:rPr>
          <w:noProof/>
          <w:color w:val="000000" w:themeColor="text1"/>
          <w:sz w:val="24"/>
          <w:szCs w:val="24"/>
        </w:rPr>
        <w:t>5</w:t>
      </w:r>
      <w:r w:rsidRPr="00850735">
        <w:rPr>
          <w:color w:val="000000" w:themeColor="text1"/>
          <w:sz w:val="24"/>
          <w:szCs w:val="24"/>
        </w:rPr>
        <w:fldChar w:fldCharType="end"/>
      </w:r>
      <w:r w:rsidRPr="00850735">
        <w:rPr>
          <w:color w:val="000000" w:themeColor="text1"/>
          <w:sz w:val="24"/>
          <w:szCs w:val="24"/>
        </w:rPr>
        <w:t>: Nomenclature and units in order of appearance.</w:t>
      </w:r>
    </w:p>
    <w:tbl>
      <w:tblPr>
        <w:tblW w:w="9580" w:type="dxa"/>
        <w:jc w:val="center"/>
        <w:tblLook w:val="04A0" w:firstRow="1" w:lastRow="0" w:firstColumn="1" w:lastColumn="0" w:noHBand="0" w:noVBand="1"/>
      </w:tblPr>
      <w:tblGrid>
        <w:gridCol w:w="1480"/>
        <w:gridCol w:w="6663"/>
        <w:gridCol w:w="1576"/>
      </w:tblGrid>
      <w:tr w:rsidR="00850735" w:rsidRPr="00850735" w14:paraId="09197C66" w14:textId="77777777" w:rsidTr="00C953F3">
        <w:trPr>
          <w:trHeight w:val="684"/>
          <w:jc w:val="center"/>
        </w:trPr>
        <w:tc>
          <w:tcPr>
            <w:tcW w:w="1347" w:type="dxa"/>
            <w:tcBorders>
              <w:top w:val="nil"/>
              <w:left w:val="nil"/>
              <w:bottom w:val="single" w:sz="4" w:space="0" w:color="auto"/>
              <w:right w:val="nil"/>
            </w:tcBorders>
            <w:shd w:val="clear" w:color="000000" w:fill="FFFFFF"/>
            <w:noWrap/>
            <w:vAlign w:val="center"/>
            <w:hideMark/>
          </w:tcPr>
          <w:p w14:paraId="0CA0419A"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 </w:t>
            </w:r>
          </w:p>
        </w:tc>
        <w:tc>
          <w:tcPr>
            <w:tcW w:w="6663" w:type="dxa"/>
            <w:tcBorders>
              <w:top w:val="single" w:sz="4" w:space="0" w:color="auto"/>
              <w:left w:val="nil"/>
              <w:bottom w:val="single" w:sz="4" w:space="0" w:color="auto"/>
              <w:right w:val="nil"/>
            </w:tcBorders>
            <w:shd w:val="clear" w:color="000000" w:fill="FFFFFF"/>
            <w:vAlign w:val="center"/>
            <w:hideMark/>
          </w:tcPr>
          <w:p w14:paraId="7B017042"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Description</w:t>
            </w:r>
          </w:p>
        </w:tc>
        <w:tc>
          <w:tcPr>
            <w:tcW w:w="1570" w:type="dxa"/>
            <w:tcBorders>
              <w:top w:val="single" w:sz="4" w:space="0" w:color="auto"/>
              <w:left w:val="nil"/>
              <w:bottom w:val="single" w:sz="4" w:space="0" w:color="auto"/>
              <w:right w:val="nil"/>
            </w:tcBorders>
            <w:shd w:val="clear" w:color="000000" w:fill="FFFFFF"/>
            <w:vAlign w:val="center"/>
            <w:hideMark/>
          </w:tcPr>
          <w:p w14:paraId="013C807A"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Units</w:t>
            </w:r>
          </w:p>
        </w:tc>
      </w:tr>
      <w:tr w:rsidR="00850735" w:rsidRPr="00850735" w14:paraId="22B0AD6A"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31C611C0"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f>
                  <m:fPr>
                    <m:ctrlPr>
                      <w:rPr>
                        <w:rFonts w:ascii="Cambria Math" w:hAnsi="Cambria Math"/>
                        <w:i/>
                        <w:color w:val="000000" w:themeColor="text1"/>
                      </w:rPr>
                    </m:ctrlPr>
                  </m:fPr>
                  <m:num>
                    <m:r>
                      <w:rPr>
                        <w:rFonts w:ascii="Cambria Math"/>
                        <w:color w:val="000000" w:themeColor="text1"/>
                      </w:rPr>
                      <m:t>d</m:t>
                    </m:r>
                    <m:sSub>
                      <m:sSubPr>
                        <m:ctrlPr>
                          <w:rPr>
                            <w:rFonts w:ascii="Cambria Math" w:hAnsi="Cambria Math"/>
                            <w:i/>
                            <w:color w:val="000000" w:themeColor="text1"/>
                          </w:rPr>
                        </m:ctrlPr>
                      </m:sSubPr>
                      <m:e>
                        <m:r>
                          <w:rPr>
                            <w:rFonts w:ascii="Cambria Math"/>
                            <w:color w:val="000000" w:themeColor="text1"/>
                          </w:rPr>
                          <m:t>M</m:t>
                        </m:r>
                      </m:e>
                      <m:sub>
                        <m:r>
                          <w:rPr>
                            <w:rFonts w:ascii="Cambria Math"/>
                            <w:color w:val="000000" w:themeColor="text1"/>
                          </w:rPr>
                          <m:t>syn</m:t>
                        </m:r>
                        <m:r>
                          <w:rPr>
                            <w:rFonts w:ascii="Cambria Math"/>
                            <w:color w:val="000000" w:themeColor="text1"/>
                          </w:rPr>
                          <m:t>-</m:t>
                        </m:r>
                        <m:r>
                          <w:rPr>
                            <w:rFonts w:ascii="Cambria Math"/>
                            <w:color w:val="000000" w:themeColor="text1"/>
                          </w:rPr>
                          <m:t>cart</m:t>
                        </m:r>
                      </m:sub>
                    </m:sSub>
                  </m:num>
                  <m:den>
                    <m:r>
                      <w:rPr>
                        <w:rFonts w:ascii="Cambria Math"/>
                        <w:color w:val="000000" w:themeColor="text1"/>
                      </w:rPr>
                      <m:t>dt</m:t>
                    </m:r>
                  </m:den>
                </m:f>
              </m:oMath>
            </m:oMathPara>
          </w:p>
        </w:tc>
        <w:tc>
          <w:tcPr>
            <w:tcW w:w="6663" w:type="dxa"/>
            <w:tcBorders>
              <w:top w:val="nil"/>
              <w:left w:val="nil"/>
              <w:bottom w:val="nil"/>
              <w:right w:val="nil"/>
            </w:tcBorders>
            <w:shd w:val="clear" w:color="000000" w:fill="FFFFFF"/>
            <w:noWrap/>
            <w:vAlign w:val="center"/>
            <w:hideMark/>
          </w:tcPr>
          <w:p w14:paraId="16A3B6A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Rate of mass transfer from the synovial fluid to the cartilage</w:t>
            </w:r>
          </w:p>
        </w:tc>
        <w:tc>
          <w:tcPr>
            <w:tcW w:w="1570" w:type="dxa"/>
            <w:tcBorders>
              <w:top w:val="nil"/>
              <w:left w:val="nil"/>
              <w:bottom w:val="nil"/>
              <w:right w:val="nil"/>
            </w:tcBorders>
            <w:shd w:val="clear" w:color="000000" w:fill="FFFFFF"/>
            <w:noWrap/>
            <w:vAlign w:val="center"/>
            <w:hideMark/>
          </w:tcPr>
          <w:p w14:paraId="21A3C45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mg/s</w:t>
            </w:r>
          </w:p>
        </w:tc>
      </w:tr>
      <w:tr w:rsidR="00850735" w:rsidRPr="00850735" w14:paraId="754E75B1"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6EF98F3D"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syn,cart</m:t>
                    </m:r>
                  </m:sub>
                </m:sSub>
              </m:oMath>
            </m:oMathPara>
          </w:p>
        </w:tc>
        <w:tc>
          <w:tcPr>
            <w:tcW w:w="6663" w:type="dxa"/>
            <w:tcBorders>
              <w:top w:val="nil"/>
              <w:left w:val="nil"/>
              <w:bottom w:val="nil"/>
              <w:right w:val="nil"/>
            </w:tcBorders>
            <w:shd w:val="clear" w:color="000000" w:fill="FFFFFF"/>
            <w:noWrap/>
            <w:vAlign w:val="center"/>
            <w:hideMark/>
          </w:tcPr>
          <w:p w14:paraId="76F9038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Mass transfer coefficient from synovial fluid to cartilage</w:t>
            </w:r>
          </w:p>
        </w:tc>
        <w:tc>
          <w:tcPr>
            <w:tcW w:w="1570" w:type="dxa"/>
            <w:tcBorders>
              <w:top w:val="nil"/>
              <w:left w:val="nil"/>
              <w:bottom w:val="nil"/>
              <w:right w:val="nil"/>
            </w:tcBorders>
            <w:shd w:val="clear" w:color="000000" w:fill="FFFFFF"/>
            <w:noWrap/>
            <w:vAlign w:val="center"/>
            <w:hideMark/>
          </w:tcPr>
          <w:p w14:paraId="4A09CEC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cm/s</w:t>
            </w:r>
          </w:p>
        </w:tc>
      </w:tr>
      <w:tr w:rsidR="00850735" w:rsidRPr="00850735" w14:paraId="34BC9334"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5E05F97D" w14:textId="77777777" w:rsidR="004003B0" w:rsidRPr="00850735" w:rsidRDefault="004003B0" w:rsidP="00C953F3">
            <w:pPr>
              <w:spacing w:before="0" w:after="0" w:line="240" w:lineRule="auto"/>
              <w:jc w:val="left"/>
              <w:rPr>
                <w:rFonts w:eastAsia="Times New Roman" w:cs="Times New Roman"/>
                <w:i/>
                <w:iCs/>
                <w:color w:val="000000" w:themeColor="text1"/>
                <w:szCs w:val="24"/>
              </w:rPr>
            </w:pPr>
            <m:oMathPara>
              <m:oMath>
                <m:r>
                  <w:rPr>
                    <w:rFonts w:ascii="Cambria Math"/>
                    <w:color w:val="000000" w:themeColor="text1"/>
                  </w:rPr>
                  <m:t>S</m:t>
                </m:r>
                <m:sSub>
                  <m:sSubPr>
                    <m:ctrlPr>
                      <w:rPr>
                        <w:rFonts w:ascii="Cambria Math" w:hAnsi="Cambria Math"/>
                        <w:i/>
                        <w:color w:val="000000" w:themeColor="text1"/>
                      </w:rPr>
                    </m:ctrlPr>
                  </m:sSubPr>
                  <m:e>
                    <m:r>
                      <w:rPr>
                        <w:rFonts w:ascii="Cambria Math"/>
                        <w:color w:val="000000" w:themeColor="text1"/>
                      </w:rPr>
                      <m:t>A</m:t>
                    </m:r>
                  </m:e>
                  <m:sub>
                    <m:r>
                      <w:rPr>
                        <w:rFonts w:ascii="Cambria Math"/>
                        <w:color w:val="000000" w:themeColor="text1"/>
                      </w:rPr>
                      <m:t>cart</m:t>
                    </m:r>
                  </m:sub>
                </m:sSub>
              </m:oMath>
            </m:oMathPara>
          </w:p>
        </w:tc>
        <w:tc>
          <w:tcPr>
            <w:tcW w:w="6663" w:type="dxa"/>
            <w:tcBorders>
              <w:top w:val="nil"/>
              <w:left w:val="nil"/>
              <w:bottom w:val="nil"/>
              <w:right w:val="nil"/>
            </w:tcBorders>
            <w:shd w:val="clear" w:color="000000" w:fill="FFFFFF"/>
            <w:noWrap/>
            <w:vAlign w:val="center"/>
            <w:hideMark/>
          </w:tcPr>
          <w:p w14:paraId="264129B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Surface area between cartilage and synovial fluid</w:t>
            </w:r>
          </w:p>
        </w:tc>
        <w:tc>
          <w:tcPr>
            <w:tcW w:w="1570" w:type="dxa"/>
            <w:tcBorders>
              <w:top w:val="nil"/>
              <w:left w:val="nil"/>
              <w:bottom w:val="nil"/>
              <w:right w:val="nil"/>
            </w:tcBorders>
            <w:shd w:val="clear" w:color="000000" w:fill="FFFFFF"/>
            <w:noWrap/>
            <w:vAlign w:val="center"/>
            <w:hideMark/>
          </w:tcPr>
          <w:p w14:paraId="2CEA549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p>
        </w:tc>
      </w:tr>
      <w:tr w:rsidR="00850735" w:rsidRPr="00850735" w14:paraId="01CC495F"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41680403"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sSubSup>
                  <m:sSubSupPr>
                    <m:ctrlPr>
                      <w:rPr>
                        <w:rFonts w:ascii="Cambria Math" w:hAnsi="Cambria Math"/>
                        <w:i/>
                        <w:color w:val="000000" w:themeColor="text1"/>
                      </w:rPr>
                    </m:ctrlPr>
                  </m:sSubSupPr>
                  <m:e>
                    <m:r>
                      <w:rPr>
                        <w:rFonts w:ascii="Cambria Math"/>
                        <w:color w:val="000000" w:themeColor="text1"/>
                      </w:rPr>
                      <m:t>C</m:t>
                    </m:r>
                  </m:e>
                  <m:sub>
                    <m:r>
                      <w:rPr>
                        <w:rFonts w:ascii="Cambria Math"/>
                        <w:color w:val="000000" w:themeColor="text1"/>
                      </w:rPr>
                      <m:t>u</m:t>
                    </m:r>
                  </m:sub>
                  <m:sup>
                    <m:r>
                      <w:rPr>
                        <w:rFonts w:ascii="Cambria Math"/>
                        <w:color w:val="000000" w:themeColor="text1"/>
                      </w:rPr>
                      <m:t>syn</m:t>
                    </m:r>
                  </m:sup>
                </m:sSubSup>
              </m:oMath>
            </m:oMathPara>
          </w:p>
        </w:tc>
        <w:tc>
          <w:tcPr>
            <w:tcW w:w="6663" w:type="dxa"/>
            <w:tcBorders>
              <w:top w:val="nil"/>
              <w:left w:val="nil"/>
              <w:bottom w:val="nil"/>
              <w:right w:val="nil"/>
            </w:tcBorders>
            <w:shd w:val="clear" w:color="000000" w:fill="FFFFFF"/>
            <w:noWrap/>
            <w:vAlign w:val="center"/>
            <w:hideMark/>
          </w:tcPr>
          <w:p w14:paraId="4E6EC3E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Unbound concentration of drug in synovial fluid</w:t>
            </w:r>
          </w:p>
        </w:tc>
        <w:tc>
          <w:tcPr>
            <w:tcW w:w="1570" w:type="dxa"/>
            <w:tcBorders>
              <w:top w:val="nil"/>
              <w:left w:val="nil"/>
              <w:bottom w:val="nil"/>
              <w:right w:val="nil"/>
            </w:tcBorders>
            <w:shd w:val="clear" w:color="000000" w:fill="FFFFFF"/>
            <w:noWrap/>
            <w:vAlign w:val="center"/>
            <w:hideMark/>
          </w:tcPr>
          <w:p w14:paraId="0A5F36F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73BBBDF6"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1527785D"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sSubSup>
                  <m:sSubSupPr>
                    <m:ctrlPr>
                      <w:rPr>
                        <w:rFonts w:ascii="Cambria Math" w:hAnsi="Cambria Math"/>
                        <w:i/>
                        <w:color w:val="000000" w:themeColor="text1"/>
                      </w:rPr>
                    </m:ctrlPr>
                  </m:sSubSupPr>
                  <m:e>
                    <m:r>
                      <w:rPr>
                        <w:rFonts w:ascii="Cambria Math"/>
                        <w:color w:val="000000" w:themeColor="text1"/>
                      </w:rPr>
                      <m:t>C</m:t>
                    </m:r>
                  </m:e>
                  <m:sub>
                    <m:r>
                      <w:rPr>
                        <w:rFonts w:ascii="Cambria Math"/>
                        <w:color w:val="000000" w:themeColor="text1"/>
                      </w:rPr>
                      <m:t>j,u</m:t>
                    </m:r>
                  </m:sub>
                  <m:sup>
                    <m:r>
                      <w:rPr>
                        <w:rFonts w:ascii="Cambria Math"/>
                        <w:color w:val="000000" w:themeColor="text1"/>
                      </w:rPr>
                      <m:t>cart</m:t>
                    </m:r>
                  </m:sup>
                </m:sSubSup>
              </m:oMath>
            </m:oMathPara>
          </w:p>
        </w:tc>
        <w:tc>
          <w:tcPr>
            <w:tcW w:w="6663" w:type="dxa"/>
            <w:tcBorders>
              <w:top w:val="nil"/>
              <w:left w:val="nil"/>
              <w:bottom w:val="nil"/>
              <w:right w:val="nil"/>
            </w:tcBorders>
            <w:shd w:val="clear" w:color="000000" w:fill="FFFFFF"/>
            <w:noWrap/>
            <w:vAlign w:val="center"/>
            <w:hideMark/>
          </w:tcPr>
          <w:p w14:paraId="264139C4"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 xml:space="preserve">Unbound concentration in cartilage at node </w:t>
            </w:r>
            <w:r w:rsidRPr="00850735">
              <w:rPr>
                <w:rFonts w:eastAsia="Times New Roman" w:cs="Times New Roman"/>
                <w:i/>
                <w:iCs/>
                <w:color w:val="000000" w:themeColor="text1"/>
                <w:szCs w:val="24"/>
              </w:rPr>
              <w:t>j</w:t>
            </w:r>
          </w:p>
        </w:tc>
        <w:tc>
          <w:tcPr>
            <w:tcW w:w="1570" w:type="dxa"/>
            <w:tcBorders>
              <w:top w:val="nil"/>
              <w:left w:val="nil"/>
              <w:bottom w:val="nil"/>
              <w:right w:val="nil"/>
            </w:tcBorders>
            <w:shd w:val="clear" w:color="000000" w:fill="FFFFFF"/>
            <w:noWrap/>
            <w:vAlign w:val="center"/>
            <w:hideMark/>
          </w:tcPr>
          <w:p w14:paraId="2F51E49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3970E4DE" w14:textId="77777777" w:rsidTr="00C953F3">
        <w:trPr>
          <w:trHeight w:val="312"/>
          <w:jc w:val="center"/>
        </w:trPr>
        <w:tc>
          <w:tcPr>
            <w:tcW w:w="1347" w:type="dxa"/>
            <w:tcBorders>
              <w:top w:val="nil"/>
              <w:left w:val="nil"/>
              <w:bottom w:val="nil"/>
              <w:right w:val="nil"/>
            </w:tcBorders>
            <w:shd w:val="clear" w:color="000000" w:fill="FFFFFF"/>
            <w:noWrap/>
            <w:vAlign w:val="center"/>
            <w:hideMark/>
          </w:tcPr>
          <w:p w14:paraId="0473744A"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syn</m:t>
                    </m:r>
                  </m:sub>
                </m:sSub>
              </m:oMath>
            </m:oMathPara>
          </w:p>
        </w:tc>
        <w:tc>
          <w:tcPr>
            <w:tcW w:w="6663" w:type="dxa"/>
            <w:tcBorders>
              <w:top w:val="nil"/>
              <w:left w:val="nil"/>
              <w:bottom w:val="nil"/>
              <w:right w:val="nil"/>
            </w:tcBorders>
            <w:shd w:val="clear" w:color="000000" w:fill="FFFFFF"/>
            <w:noWrap/>
            <w:vAlign w:val="center"/>
            <w:hideMark/>
          </w:tcPr>
          <w:p w14:paraId="5C41005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Diffusivity in the synovial fluid</w:t>
            </w:r>
          </w:p>
        </w:tc>
        <w:tc>
          <w:tcPr>
            <w:tcW w:w="1570" w:type="dxa"/>
            <w:tcBorders>
              <w:top w:val="nil"/>
              <w:left w:val="nil"/>
              <w:bottom w:val="nil"/>
              <w:right w:val="nil"/>
            </w:tcBorders>
            <w:shd w:val="clear" w:color="000000" w:fill="FFFFFF"/>
            <w:noWrap/>
            <w:vAlign w:val="center"/>
            <w:hideMark/>
          </w:tcPr>
          <w:p w14:paraId="44B6F20E"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r w:rsidRPr="00850735">
              <w:rPr>
                <w:rFonts w:eastAsia="Times New Roman" w:cs="Times New Roman"/>
                <w:color w:val="000000" w:themeColor="text1"/>
                <w:szCs w:val="24"/>
              </w:rPr>
              <w:t>/s</w:t>
            </w:r>
          </w:p>
        </w:tc>
      </w:tr>
      <w:tr w:rsidR="00850735" w:rsidRPr="00850735" w14:paraId="7915344C" w14:textId="77777777" w:rsidTr="00C953F3">
        <w:trPr>
          <w:trHeight w:val="312"/>
          <w:jc w:val="center"/>
        </w:trPr>
        <w:tc>
          <w:tcPr>
            <w:tcW w:w="1347" w:type="dxa"/>
            <w:tcBorders>
              <w:top w:val="nil"/>
              <w:left w:val="nil"/>
              <w:bottom w:val="nil"/>
              <w:right w:val="nil"/>
            </w:tcBorders>
            <w:shd w:val="clear" w:color="000000" w:fill="FFFFFF"/>
            <w:noWrap/>
            <w:vAlign w:val="center"/>
          </w:tcPr>
          <w:p w14:paraId="3B08F410" w14:textId="77777777" w:rsidR="004003B0" w:rsidRPr="00850735" w:rsidRDefault="00850735" w:rsidP="00C953F3">
            <w:pPr>
              <w:spacing w:before="0" w:after="0" w:line="240" w:lineRule="auto"/>
              <w:jc w:val="left"/>
              <w:rPr>
                <w:rFonts w:eastAsia="Times New Roman" w:cs="Times New Roman"/>
                <w:i/>
                <w:iCs/>
                <w:color w:val="000000" w:themeColor="text1"/>
                <w:szCs w:val="24"/>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cart</m:t>
                    </m:r>
                  </m:sub>
                </m:sSub>
              </m:oMath>
            </m:oMathPara>
          </w:p>
        </w:tc>
        <w:tc>
          <w:tcPr>
            <w:tcW w:w="6663" w:type="dxa"/>
            <w:tcBorders>
              <w:top w:val="nil"/>
              <w:left w:val="nil"/>
              <w:bottom w:val="nil"/>
              <w:right w:val="nil"/>
            </w:tcBorders>
            <w:shd w:val="clear" w:color="000000" w:fill="FFFFFF"/>
            <w:noWrap/>
            <w:vAlign w:val="center"/>
          </w:tcPr>
          <w:p w14:paraId="6187D45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Distance between the posterior and anterior cartilage</w:t>
            </w:r>
          </w:p>
        </w:tc>
        <w:tc>
          <w:tcPr>
            <w:tcW w:w="1570" w:type="dxa"/>
            <w:tcBorders>
              <w:top w:val="nil"/>
              <w:left w:val="nil"/>
              <w:bottom w:val="nil"/>
              <w:right w:val="nil"/>
            </w:tcBorders>
            <w:shd w:val="clear" w:color="000000" w:fill="FFFFFF"/>
            <w:noWrap/>
            <w:vAlign w:val="center"/>
          </w:tcPr>
          <w:p w14:paraId="32EAE9B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6049D40B" w14:textId="77777777" w:rsidTr="00C953F3">
        <w:trPr>
          <w:trHeight w:val="312"/>
          <w:jc w:val="center"/>
        </w:trPr>
        <w:tc>
          <w:tcPr>
            <w:tcW w:w="1347" w:type="dxa"/>
            <w:tcBorders>
              <w:top w:val="nil"/>
              <w:left w:val="nil"/>
              <w:bottom w:val="nil"/>
              <w:right w:val="nil"/>
            </w:tcBorders>
            <w:shd w:val="clear" w:color="000000" w:fill="FFFFFF"/>
            <w:noWrap/>
            <w:vAlign w:val="center"/>
          </w:tcPr>
          <w:p w14:paraId="3D843C7F" w14:textId="77777777" w:rsidR="004003B0" w:rsidRPr="00850735" w:rsidRDefault="004003B0" w:rsidP="00C953F3">
            <w:pPr>
              <w:spacing w:before="0" w:after="0" w:line="240" w:lineRule="auto"/>
              <w:jc w:val="left"/>
              <w:rPr>
                <w:rFonts w:eastAsia="Times New Roman" w:cs="Times New Roman"/>
                <w:i/>
                <w:iCs/>
                <w:color w:val="000000" w:themeColor="text1"/>
                <w:szCs w:val="24"/>
              </w:rPr>
            </w:pPr>
            <m:oMathPara>
              <m:oMath>
                <m:r>
                  <w:rPr>
                    <w:rFonts w:ascii="Cambria Math" w:hAnsi="Cambria Math" w:cs="Times New Roman"/>
                    <w:color w:val="000000" w:themeColor="text1"/>
                  </w:rPr>
                  <m:t>Re</m:t>
                </m:r>
              </m:oMath>
            </m:oMathPara>
          </w:p>
        </w:tc>
        <w:tc>
          <w:tcPr>
            <w:tcW w:w="6663" w:type="dxa"/>
            <w:tcBorders>
              <w:top w:val="nil"/>
              <w:left w:val="nil"/>
              <w:bottom w:val="nil"/>
              <w:right w:val="nil"/>
            </w:tcBorders>
            <w:shd w:val="clear" w:color="000000" w:fill="FFFFFF"/>
            <w:noWrap/>
            <w:vAlign w:val="center"/>
          </w:tcPr>
          <w:p w14:paraId="1511BBC4"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Reynolds number</w:t>
            </w:r>
          </w:p>
        </w:tc>
        <w:tc>
          <w:tcPr>
            <w:tcW w:w="1570" w:type="dxa"/>
            <w:tcBorders>
              <w:top w:val="nil"/>
              <w:left w:val="nil"/>
              <w:bottom w:val="nil"/>
              <w:right w:val="nil"/>
            </w:tcBorders>
            <w:shd w:val="clear" w:color="000000" w:fill="FFFFFF"/>
            <w:noWrap/>
            <w:vAlign w:val="center"/>
          </w:tcPr>
          <w:p w14:paraId="645D09B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dimensionless</w:t>
            </w:r>
          </w:p>
        </w:tc>
      </w:tr>
      <w:tr w:rsidR="00850735" w:rsidRPr="00850735" w14:paraId="29B44215" w14:textId="77777777" w:rsidTr="00C953F3">
        <w:trPr>
          <w:trHeight w:val="312"/>
          <w:jc w:val="center"/>
        </w:trPr>
        <w:tc>
          <w:tcPr>
            <w:tcW w:w="1347" w:type="dxa"/>
            <w:tcBorders>
              <w:top w:val="nil"/>
              <w:left w:val="nil"/>
              <w:bottom w:val="nil"/>
              <w:right w:val="nil"/>
            </w:tcBorders>
            <w:shd w:val="clear" w:color="000000" w:fill="FFFFFF"/>
            <w:noWrap/>
            <w:vAlign w:val="center"/>
          </w:tcPr>
          <w:p w14:paraId="0B5896CC"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s="Times New Roman"/>
                    <w:color w:val="000000" w:themeColor="text1"/>
                  </w:rPr>
                  <m:t>Sc</m:t>
                </m:r>
              </m:oMath>
            </m:oMathPara>
          </w:p>
        </w:tc>
        <w:tc>
          <w:tcPr>
            <w:tcW w:w="6663" w:type="dxa"/>
            <w:tcBorders>
              <w:top w:val="nil"/>
              <w:left w:val="nil"/>
              <w:bottom w:val="nil"/>
              <w:right w:val="nil"/>
            </w:tcBorders>
            <w:shd w:val="clear" w:color="000000" w:fill="FFFFFF"/>
            <w:noWrap/>
            <w:vAlign w:val="center"/>
          </w:tcPr>
          <w:p w14:paraId="609DB9B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Schmidt number</w:t>
            </w:r>
          </w:p>
        </w:tc>
        <w:tc>
          <w:tcPr>
            <w:tcW w:w="1570" w:type="dxa"/>
            <w:tcBorders>
              <w:top w:val="nil"/>
              <w:left w:val="nil"/>
              <w:bottom w:val="nil"/>
              <w:right w:val="nil"/>
            </w:tcBorders>
            <w:shd w:val="clear" w:color="000000" w:fill="FFFFFF"/>
            <w:noWrap/>
            <w:vAlign w:val="center"/>
          </w:tcPr>
          <w:p w14:paraId="1DE9B43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dimensionless</w:t>
            </w:r>
          </w:p>
        </w:tc>
      </w:tr>
      <w:tr w:rsidR="00850735" w:rsidRPr="00850735" w14:paraId="785FED81" w14:textId="77777777" w:rsidTr="00C953F3">
        <w:trPr>
          <w:trHeight w:val="312"/>
          <w:jc w:val="center"/>
        </w:trPr>
        <w:tc>
          <w:tcPr>
            <w:tcW w:w="1347" w:type="dxa"/>
            <w:tcBorders>
              <w:top w:val="nil"/>
              <w:left w:val="nil"/>
              <w:bottom w:val="nil"/>
              <w:right w:val="nil"/>
            </w:tcBorders>
            <w:shd w:val="clear" w:color="000000" w:fill="FFFFFF"/>
            <w:noWrap/>
            <w:vAlign w:val="center"/>
          </w:tcPr>
          <w:p w14:paraId="0357E2C5"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s="Times New Roman"/>
                    <w:color w:val="000000" w:themeColor="text1"/>
                  </w:rPr>
                  <m:t>ρ</m:t>
                </m:r>
              </m:oMath>
            </m:oMathPara>
          </w:p>
        </w:tc>
        <w:tc>
          <w:tcPr>
            <w:tcW w:w="6663" w:type="dxa"/>
            <w:tcBorders>
              <w:top w:val="nil"/>
              <w:left w:val="nil"/>
              <w:bottom w:val="nil"/>
              <w:right w:val="nil"/>
            </w:tcBorders>
            <w:shd w:val="clear" w:color="000000" w:fill="FFFFFF"/>
            <w:noWrap/>
            <w:vAlign w:val="center"/>
          </w:tcPr>
          <w:p w14:paraId="5DA34973"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Density</w:t>
            </w:r>
          </w:p>
        </w:tc>
        <w:tc>
          <w:tcPr>
            <w:tcW w:w="1570" w:type="dxa"/>
            <w:tcBorders>
              <w:top w:val="nil"/>
              <w:left w:val="nil"/>
              <w:bottom w:val="nil"/>
              <w:right w:val="nil"/>
            </w:tcBorders>
            <w:shd w:val="clear" w:color="000000" w:fill="FFFFFF"/>
            <w:noWrap/>
            <w:vAlign w:val="center"/>
          </w:tcPr>
          <w:p w14:paraId="5C45AF38"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g/mL</w:t>
            </w:r>
          </w:p>
        </w:tc>
      </w:tr>
      <w:tr w:rsidR="00850735" w:rsidRPr="00850735" w14:paraId="6296008C" w14:textId="77777777" w:rsidTr="00C953F3">
        <w:trPr>
          <w:trHeight w:val="312"/>
          <w:jc w:val="center"/>
        </w:trPr>
        <w:tc>
          <w:tcPr>
            <w:tcW w:w="1347" w:type="dxa"/>
            <w:tcBorders>
              <w:top w:val="nil"/>
              <w:left w:val="nil"/>
              <w:bottom w:val="nil"/>
              <w:right w:val="nil"/>
            </w:tcBorders>
            <w:shd w:val="clear" w:color="000000" w:fill="FFFFFF"/>
            <w:noWrap/>
            <w:vAlign w:val="center"/>
          </w:tcPr>
          <w:p w14:paraId="132758DD"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color w:val="000000" w:themeColor="text1"/>
                  </w:rPr>
                  <m:t>v</m:t>
                </m:r>
              </m:oMath>
            </m:oMathPara>
          </w:p>
        </w:tc>
        <w:tc>
          <w:tcPr>
            <w:tcW w:w="6663" w:type="dxa"/>
            <w:tcBorders>
              <w:top w:val="nil"/>
              <w:left w:val="nil"/>
              <w:bottom w:val="nil"/>
              <w:right w:val="nil"/>
            </w:tcBorders>
            <w:shd w:val="clear" w:color="000000" w:fill="FFFFFF"/>
            <w:noWrap/>
            <w:vAlign w:val="center"/>
          </w:tcPr>
          <w:p w14:paraId="6788D87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Velocity</w:t>
            </w:r>
          </w:p>
        </w:tc>
        <w:tc>
          <w:tcPr>
            <w:tcW w:w="1570" w:type="dxa"/>
            <w:tcBorders>
              <w:top w:val="nil"/>
              <w:left w:val="nil"/>
              <w:bottom w:val="nil"/>
              <w:right w:val="nil"/>
            </w:tcBorders>
            <w:shd w:val="clear" w:color="000000" w:fill="FFFFFF"/>
            <w:noWrap/>
            <w:vAlign w:val="center"/>
          </w:tcPr>
          <w:p w14:paraId="07E4762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cm/s</w:t>
            </w:r>
          </w:p>
        </w:tc>
      </w:tr>
      <w:tr w:rsidR="00850735" w:rsidRPr="00850735" w14:paraId="5E4F4A90" w14:textId="77777777" w:rsidTr="00C953F3">
        <w:trPr>
          <w:trHeight w:val="312"/>
          <w:jc w:val="center"/>
        </w:trPr>
        <w:tc>
          <w:tcPr>
            <w:tcW w:w="1347" w:type="dxa"/>
            <w:tcBorders>
              <w:top w:val="nil"/>
              <w:left w:val="nil"/>
              <w:bottom w:val="nil"/>
              <w:right w:val="nil"/>
            </w:tcBorders>
            <w:shd w:val="clear" w:color="000000" w:fill="FFFFFF"/>
            <w:noWrap/>
            <w:vAlign w:val="center"/>
          </w:tcPr>
          <w:p w14:paraId="2F9FEC27"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s="Calibri"/>
                    <w:color w:val="000000" w:themeColor="text1"/>
                  </w:rPr>
                  <m:t>µ</m:t>
                </m:r>
              </m:oMath>
            </m:oMathPara>
          </w:p>
        </w:tc>
        <w:tc>
          <w:tcPr>
            <w:tcW w:w="6663" w:type="dxa"/>
            <w:tcBorders>
              <w:top w:val="nil"/>
              <w:left w:val="nil"/>
              <w:bottom w:val="nil"/>
              <w:right w:val="nil"/>
            </w:tcBorders>
            <w:shd w:val="clear" w:color="000000" w:fill="FFFFFF"/>
            <w:noWrap/>
            <w:vAlign w:val="center"/>
          </w:tcPr>
          <w:p w14:paraId="2533603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Viscosity</w:t>
            </w:r>
          </w:p>
        </w:tc>
        <w:tc>
          <w:tcPr>
            <w:tcW w:w="1570" w:type="dxa"/>
            <w:tcBorders>
              <w:top w:val="nil"/>
              <w:left w:val="nil"/>
              <w:bottom w:val="nil"/>
              <w:right w:val="nil"/>
            </w:tcBorders>
            <w:shd w:val="clear" w:color="000000" w:fill="FFFFFF"/>
            <w:noWrap/>
            <w:vAlign w:val="center"/>
          </w:tcPr>
          <w:p w14:paraId="3EFF2C3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poise</w:t>
            </w:r>
          </w:p>
        </w:tc>
      </w:tr>
      <w:tr w:rsidR="00850735" w:rsidRPr="00850735" w14:paraId="5F5A4A05" w14:textId="77777777" w:rsidTr="00C953F3">
        <w:trPr>
          <w:trHeight w:val="312"/>
          <w:jc w:val="center"/>
        </w:trPr>
        <w:tc>
          <w:tcPr>
            <w:tcW w:w="1347" w:type="dxa"/>
            <w:tcBorders>
              <w:top w:val="nil"/>
              <w:left w:val="nil"/>
              <w:bottom w:val="nil"/>
              <w:right w:val="nil"/>
            </w:tcBorders>
            <w:shd w:val="clear" w:color="000000" w:fill="FFFFFF"/>
            <w:noWrap/>
            <w:vAlign w:val="center"/>
          </w:tcPr>
          <w:p w14:paraId="22EC4C55"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eastAsia="Calibri" w:hAnsi="Cambria Math" w:cs="Times New Roman"/>
                        <w:i/>
                        <w:color w:val="000000" w:themeColor="text1"/>
                      </w:rPr>
                    </m:ctrlPr>
                  </m:sSubPr>
                  <m:e>
                    <m:r>
                      <w:rPr>
                        <w:rFonts w:ascii="Cambria Math" w:eastAsia="Calibri" w:hAnsi="Cambria Math" w:cs="Times New Roman"/>
                        <w:color w:val="000000" w:themeColor="text1"/>
                      </w:rPr>
                      <m:t>h</m:t>
                    </m:r>
                  </m:e>
                  <m:sub>
                    <m:r>
                      <w:rPr>
                        <w:rFonts w:ascii="Cambria Math" w:eastAsia="Calibri" w:hAnsi="Cambria Math" w:cs="Times New Roman"/>
                        <w:color w:val="000000" w:themeColor="text1"/>
                      </w:rPr>
                      <m:t>j</m:t>
                    </m:r>
                  </m:sub>
                </m:sSub>
              </m:oMath>
            </m:oMathPara>
          </w:p>
        </w:tc>
        <w:tc>
          <w:tcPr>
            <w:tcW w:w="6663" w:type="dxa"/>
            <w:tcBorders>
              <w:top w:val="nil"/>
              <w:left w:val="nil"/>
              <w:bottom w:val="nil"/>
              <w:right w:val="nil"/>
            </w:tcBorders>
            <w:shd w:val="clear" w:color="000000" w:fill="FFFFFF"/>
            <w:noWrap/>
            <w:vAlign w:val="center"/>
          </w:tcPr>
          <w:p w14:paraId="5E39206F"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 xml:space="preserve">Thickness of cartilage node </w:t>
            </w:r>
            <w:r w:rsidRPr="00850735">
              <w:rPr>
                <w:rFonts w:eastAsia="Times New Roman" w:cs="Times New Roman"/>
                <w:i/>
                <w:iCs/>
                <w:color w:val="000000" w:themeColor="text1"/>
                <w:szCs w:val="24"/>
              </w:rPr>
              <w:t>j</w:t>
            </w:r>
          </w:p>
        </w:tc>
        <w:tc>
          <w:tcPr>
            <w:tcW w:w="1570" w:type="dxa"/>
            <w:tcBorders>
              <w:top w:val="nil"/>
              <w:left w:val="nil"/>
              <w:bottom w:val="nil"/>
              <w:right w:val="nil"/>
            </w:tcBorders>
            <w:shd w:val="clear" w:color="000000" w:fill="FFFFFF"/>
            <w:noWrap/>
            <w:vAlign w:val="center"/>
          </w:tcPr>
          <w:p w14:paraId="509E2E1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026F5688" w14:textId="77777777" w:rsidTr="00C953F3">
        <w:trPr>
          <w:trHeight w:val="312"/>
          <w:jc w:val="center"/>
        </w:trPr>
        <w:tc>
          <w:tcPr>
            <w:tcW w:w="1347" w:type="dxa"/>
            <w:tcBorders>
              <w:top w:val="nil"/>
              <w:left w:val="nil"/>
              <w:bottom w:val="nil"/>
              <w:right w:val="nil"/>
            </w:tcBorders>
            <w:shd w:val="clear" w:color="000000" w:fill="FFFFFF"/>
            <w:noWrap/>
            <w:vAlign w:val="center"/>
          </w:tcPr>
          <w:p w14:paraId="25D687B9" w14:textId="77777777" w:rsidR="004003B0" w:rsidRPr="00850735" w:rsidRDefault="00850735" w:rsidP="00C953F3">
            <w:pPr>
              <w:spacing w:before="0" w:after="0" w:line="240" w:lineRule="auto"/>
              <w:jc w:val="left"/>
              <w:rPr>
                <w:rFonts w:eastAsia="Calibri" w:cs="Times New Roman"/>
                <w:color w:val="000000" w:themeColor="text1"/>
              </w:rPr>
            </w:pPr>
            <m:oMathPara>
              <m:oMath>
                <m:f>
                  <m:fPr>
                    <m:ctrlPr>
                      <w:rPr>
                        <w:rFonts w:ascii="Cambria Math" w:hAnsi="Cambria Math"/>
                        <w:i/>
                        <w:color w:val="000000" w:themeColor="text1"/>
                      </w:rPr>
                    </m:ctrlPr>
                  </m:fPr>
                  <m:num>
                    <m:r>
                      <w:rPr>
                        <w:rFonts w:ascii="Cambria Math"/>
                        <w:color w:val="000000" w:themeColor="text1"/>
                      </w:rPr>
                      <m:t>d</m:t>
                    </m:r>
                    <m:sSub>
                      <m:sSubPr>
                        <m:ctrlPr>
                          <w:rPr>
                            <w:rFonts w:ascii="Cambria Math" w:hAnsi="Cambria Math"/>
                            <w:i/>
                            <w:color w:val="000000" w:themeColor="text1"/>
                          </w:rPr>
                        </m:ctrlPr>
                      </m:sSubPr>
                      <m:e>
                        <m:r>
                          <w:rPr>
                            <w:rFonts w:ascii="Cambria Math"/>
                            <w:color w:val="000000" w:themeColor="text1"/>
                          </w:rPr>
                          <m:t>M</m:t>
                        </m:r>
                      </m:e>
                      <m:sub>
                        <m:r>
                          <w:rPr>
                            <w:rFonts w:ascii="Cambria Math"/>
                            <w:color w:val="000000" w:themeColor="text1"/>
                          </w:rPr>
                          <m:t>syn</m:t>
                        </m:r>
                        <m:r>
                          <w:rPr>
                            <w:rFonts w:ascii="Cambria Math"/>
                            <w:color w:val="000000" w:themeColor="text1"/>
                          </w:rPr>
                          <m:t>-</m:t>
                        </m:r>
                        <m:r>
                          <w:rPr>
                            <w:rFonts w:ascii="Cambria Math"/>
                            <w:color w:val="000000" w:themeColor="text1"/>
                          </w:rPr>
                          <m:t>int</m:t>
                        </m:r>
                      </m:sub>
                    </m:sSub>
                  </m:num>
                  <m:den>
                    <m:r>
                      <w:rPr>
                        <w:rFonts w:ascii="Cambria Math"/>
                        <w:color w:val="000000" w:themeColor="text1"/>
                      </w:rPr>
                      <m:t>dt</m:t>
                    </m:r>
                  </m:den>
                </m:f>
              </m:oMath>
            </m:oMathPara>
          </w:p>
        </w:tc>
        <w:tc>
          <w:tcPr>
            <w:tcW w:w="6663" w:type="dxa"/>
            <w:tcBorders>
              <w:top w:val="nil"/>
              <w:left w:val="nil"/>
              <w:bottom w:val="nil"/>
              <w:right w:val="nil"/>
            </w:tcBorders>
            <w:shd w:val="clear" w:color="000000" w:fill="FFFFFF"/>
            <w:noWrap/>
            <w:vAlign w:val="center"/>
          </w:tcPr>
          <w:p w14:paraId="322178E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Rate of mass transfer from synovial fluid to intimal membrane</w:t>
            </w:r>
          </w:p>
        </w:tc>
        <w:tc>
          <w:tcPr>
            <w:tcW w:w="1570" w:type="dxa"/>
            <w:tcBorders>
              <w:top w:val="nil"/>
              <w:left w:val="nil"/>
              <w:bottom w:val="nil"/>
              <w:right w:val="nil"/>
            </w:tcBorders>
            <w:shd w:val="clear" w:color="000000" w:fill="FFFFFF"/>
            <w:noWrap/>
            <w:vAlign w:val="center"/>
          </w:tcPr>
          <w:p w14:paraId="4927442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mg/s</w:t>
            </w:r>
          </w:p>
        </w:tc>
      </w:tr>
      <w:tr w:rsidR="00850735" w:rsidRPr="00850735" w14:paraId="18FF0722" w14:textId="77777777" w:rsidTr="00C953F3">
        <w:trPr>
          <w:trHeight w:val="312"/>
          <w:jc w:val="center"/>
        </w:trPr>
        <w:tc>
          <w:tcPr>
            <w:tcW w:w="1347" w:type="dxa"/>
            <w:tcBorders>
              <w:top w:val="nil"/>
              <w:left w:val="nil"/>
              <w:bottom w:val="nil"/>
              <w:right w:val="nil"/>
            </w:tcBorders>
            <w:shd w:val="clear" w:color="000000" w:fill="FFFFFF"/>
            <w:noWrap/>
            <w:vAlign w:val="center"/>
          </w:tcPr>
          <w:p w14:paraId="04574D44"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k</m:t>
                    </m:r>
                  </m:e>
                  <m:sub>
                    <m:r>
                      <w:rPr>
                        <w:rFonts w:ascii="Cambria Math"/>
                        <w:color w:val="000000" w:themeColor="text1"/>
                      </w:rPr>
                      <m:t>syn,int</m:t>
                    </m:r>
                  </m:sub>
                </m:sSub>
              </m:oMath>
            </m:oMathPara>
          </w:p>
        </w:tc>
        <w:tc>
          <w:tcPr>
            <w:tcW w:w="6663" w:type="dxa"/>
            <w:tcBorders>
              <w:top w:val="nil"/>
              <w:left w:val="nil"/>
              <w:bottom w:val="nil"/>
              <w:right w:val="nil"/>
            </w:tcBorders>
            <w:shd w:val="clear" w:color="000000" w:fill="FFFFFF"/>
            <w:noWrap/>
            <w:vAlign w:val="center"/>
          </w:tcPr>
          <w:p w14:paraId="243BE37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Mass transfer coefficient from synovial fluid to intimal membrane</w:t>
            </w:r>
          </w:p>
        </w:tc>
        <w:tc>
          <w:tcPr>
            <w:tcW w:w="1570" w:type="dxa"/>
            <w:tcBorders>
              <w:top w:val="nil"/>
              <w:left w:val="nil"/>
              <w:bottom w:val="nil"/>
              <w:right w:val="nil"/>
            </w:tcBorders>
            <w:shd w:val="clear" w:color="000000" w:fill="FFFFFF"/>
            <w:noWrap/>
            <w:vAlign w:val="center"/>
          </w:tcPr>
          <w:p w14:paraId="28928B84"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cm/s</w:t>
            </w:r>
          </w:p>
        </w:tc>
      </w:tr>
      <w:tr w:rsidR="00850735" w:rsidRPr="00850735" w14:paraId="577F9D82" w14:textId="77777777" w:rsidTr="00C953F3">
        <w:trPr>
          <w:trHeight w:val="312"/>
          <w:jc w:val="center"/>
        </w:trPr>
        <w:tc>
          <w:tcPr>
            <w:tcW w:w="1347" w:type="dxa"/>
            <w:tcBorders>
              <w:top w:val="nil"/>
              <w:left w:val="nil"/>
              <w:bottom w:val="nil"/>
              <w:right w:val="nil"/>
            </w:tcBorders>
            <w:shd w:val="clear" w:color="000000" w:fill="FFFFFF"/>
            <w:noWrap/>
            <w:vAlign w:val="center"/>
          </w:tcPr>
          <w:p w14:paraId="0AC159B7"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color w:val="000000" w:themeColor="text1"/>
                  </w:rPr>
                  <m:t>S</m:t>
                </m:r>
                <m:sSub>
                  <m:sSubPr>
                    <m:ctrlPr>
                      <w:rPr>
                        <w:rFonts w:ascii="Cambria Math" w:hAnsi="Cambria Math"/>
                        <w:i/>
                        <w:color w:val="000000" w:themeColor="text1"/>
                      </w:rPr>
                    </m:ctrlPr>
                  </m:sSubPr>
                  <m:e>
                    <m:r>
                      <w:rPr>
                        <w:rFonts w:ascii="Cambria Math"/>
                        <w:color w:val="000000" w:themeColor="text1"/>
                      </w:rPr>
                      <m:t>A</m:t>
                    </m:r>
                  </m:e>
                  <m:sub>
                    <m:r>
                      <w:rPr>
                        <w:rFonts w:ascii="Cambria Math"/>
                        <w:color w:val="000000" w:themeColor="text1"/>
                      </w:rPr>
                      <m:t>int</m:t>
                    </m:r>
                  </m:sub>
                </m:sSub>
              </m:oMath>
            </m:oMathPara>
          </w:p>
        </w:tc>
        <w:tc>
          <w:tcPr>
            <w:tcW w:w="6663" w:type="dxa"/>
            <w:tcBorders>
              <w:top w:val="nil"/>
              <w:left w:val="nil"/>
              <w:bottom w:val="nil"/>
              <w:right w:val="nil"/>
            </w:tcBorders>
            <w:shd w:val="clear" w:color="000000" w:fill="FFFFFF"/>
            <w:noWrap/>
            <w:vAlign w:val="center"/>
          </w:tcPr>
          <w:p w14:paraId="369B7FB6"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Surface area of intimal membrane</w:t>
            </w:r>
          </w:p>
        </w:tc>
        <w:tc>
          <w:tcPr>
            <w:tcW w:w="1570" w:type="dxa"/>
            <w:tcBorders>
              <w:top w:val="nil"/>
              <w:left w:val="nil"/>
              <w:bottom w:val="nil"/>
              <w:right w:val="nil"/>
            </w:tcBorders>
            <w:shd w:val="clear" w:color="000000" w:fill="FFFFFF"/>
            <w:noWrap/>
            <w:vAlign w:val="center"/>
          </w:tcPr>
          <w:p w14:paraId="067F2A1F"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p>
        </w:tc>
      </w:tr>
      <w:tr w:rsidR="00850735" w:rsidRPr="00850735" w14:paraId="4A22CEA7" w14:textId="77777777" w:rsidTr="00C953F3">
        <w:trPr>
          <w:trHeight w:val="312"/>
          <w:jc w:val="center"/>
        </w:trPr>
        <w:tc>
          <w:tcPr>
            <w:tcW w:w="1347" w:type="dxa"/>
            <w:tcBorders>
              <w:top w:val="nil"/>
              <w:left w:val="nil"/>
              <w:bottom w:val="nil"/>
              <w:right w:val="nil"/>
            </w:tcBorders>
            <w:shd w:val="clear" w:color="000000" w:fill="FFFFFF"/>
            <w:noWrap/>
            <w:vAlign w:val="center"/>
          </w:tcPr>
          <w:p w14:paraId="55CA718C" w14:textId="77777777" w:rsidR="004003B0" w:rsidRPr="00850735" w:rsidRDefault="00850735" w:rsidP="00C953F3">
            <w:pPr>
              <w:spacing w:before="0" w:after="0" w:line="240" w:lineRule="auto"/>
              <w:jc w:val="left"/>
              <w:rPr>
                <w:rFonts w:eastAsia="Calibri"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C</m:t>
                    </m:r>
                  </m:e>
                  <m:sub>
                    <m:r>
                      <w:rPr>
                        <w:rFonts w:ascii="Cambria Math"/>
                        <w:color w:val="000000" w:themeColor="text1"/>
                      </w:rPr>
                      <m:t>u</m:t>
                    </m:r>
                  </m:sub>
                  <m:sup>
                    <m:r>
                      <w:rPr>
                        <w:rFonts w:ascii="Cambria Math"/>
                        <w:color w:val="000000" w:themeColor="text1"/>
                      </w:rPr>
                      <m:t>syn</m:t>
                    </m:r>
                  </m:sup>
                </m:sSubSup>
              </m:oMath>
            </m:oMathPara>
          </w:p>
        </w:tc>
        <w:tc>
          <w:tcPr>
            <w:tcW w:w="6663" w:type="dxa"/>
            <w:tcBorders>
              <w:top w:val="nil"/>
              <w:left w:val="nil"/>
              <w:bottom w:val="nil"/>
              <w:right w:val="nil"/>
            </w:tcBorders>
            <w:shd w:val="clear" w:color="000000" w:fill="FFFFFF"/>
            <w:noWrap/>
            <w:vAlign w:val="center"/>
          </w:tcPr>
          <w:p w14:paraId="5272E23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Unbound drug concentration in synovial fluid</w:t>
            </w:r>
          </w:p>
        </w:tc>
        <w:tc>
          <w:tcPr>
            <w:tcW w:w="1570" w:type="dxa"/>
            <w:tcBorders>
              <w:top w:val="nil"/>
              <w:left w:val="nil"/>
              <w:bottom w:val="nil"/>
              <w:right w:val="nil"/>
            </w:tcBorders>
            <w:shd w:val="clear" w:color="000000" w:fill="FFFFFF"/>
            <w:noWrap/>
            <w:vAlign w:val="center"/>
          </w:tcPr>
          <w:p w14:paraId="1C5D80C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53FCC3CE" w14:textId="77777777" w:rsidTr="00C953F3">
        <w:trPr>
          <w:trHeight w:val="312"/>
          <w:jc w:val="center"/>
        </w:trPr>
        <w:tc>
          <w:tcPr>
            <w:tcW w:w="1347" w:type="dxa"/>
            <w:tcBorders>
              <w:top w:val="nil"/>
              <w:left w:val="nil"/>
              <w:bottom w:val="nil"/>
              <w:right w:val="nil"/>
            </w:tcBorders>
            <w:shd w:val="clear" w:color="000000" w:fill="FFFFFF"/>
            <w:noWrap/>
            <w:vAlign w:val="center"/>
          </w:tcPr>
          <w:p w14:paraId="345EAD84" w14:textId="77777777" w:rsidR="004003B0" w:rsidRPr="00850735" w:rsidRDefault="00850735" w:rsidP="00C953F3">
            <w:pPr>
              <w:spacing w:before="0" w:after="0" w:line="240" w:lineRule="auto"/>
              <w:jc w:val="left"/>
              <w:rPr>
                <w:rFonts w:eastAsia="Calibri"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C</m:t>
                    </m:r>
                  </m:e>
                  <m:sub>
                    <m:r>
                      <w:rPr>
                        <w:rFonts w:ascii="Cambria Math"/>
                        <w:color w:val="000000" w:themeColor="text1"/>
                      </w:rPr>
                      <m:t>u</m:t>
                    </m:r>
                  </m:sub>
                  <m:sup>
                    <m:r>
                      <w:rPr>
                        <w:rFonts w:ascii="Cambria Math"/>
                        <w:color w:val="000000" w:themeColor="text1"/>
                      </w:rPr>
                      <m:t>int</m:t>
                    </m:r>
                  </m:sup>
                </m:sSubSup>
              </m:oMath>
            </m:oMathPara>
          </w:p>
        </w:tc>
        <w:tc>
          <w:tcPr>
            <w:tcW w:w="6663" w:type="dxa"/>
            <w:tcBorders>
              <w:top w:val="nil"/>
              <w:left w:val="nil"/>
              <w:bottom w:val="nil"/>
              <w:right w:val="nil"/>
            </w:tcBorders>
            <w:shd w:val="clear" w:color="000000" w:fill="FFFFFF"/>
            <w:noWrap/>
            <w:vAlign w:val="center"/>
          </w:tcPr>
          <w:p w14:paraId="2F337A6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Unbound drug concentration in intimal membrane</w:t>
            </w:r>
          </w:p>
        </w:tc>
        <w:tc>
          <w:tcPr>
            <w:tcW w:w="1570" w:type="dxa"/>
            <w:tcBorders>
              <w:top w:val="nil"/>
              <w:left w:val="nil"/>
              <w:bottom w:val="nil"/>
              <w:right w:val="nil"/>
            </w:tcBorders>
            <w:shd w:val="clear" w:color="000000" w:fill="FFFFFF"/>
            <w:noWrap/>
            <w:vAlign w:val="center"/>
          </w:tcPr>
          <w:p w14:paraId="64EC301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43AE354C" w14:textId="77777777" w:rsidTr="00C953F3">
        <w:trPr>
          <w:trHeight w:val="312"/>
          <w:jc w:val="center"/>
        </w:trPr>
        <w:tc>
          <w:tcPr>
            <w:tcW w:w="1347" w:type="dxa"/>
            <w:tcBorders>
              <w:top w:val="nil"/>
              <w:left w:val="nil"/>
              <w:bottom w:val="nil"/>
              <w:right w:val="nil"/>
            </w:tcBorders>
            <w:shd w:val="clear" w:color="000000" w:fill="FFFFFF"/>
            <w:noWrap/>
            <w:vAlign w:val="center"/>
          </w:tcPr>
          <w:p w14:paraId="22F0A88E"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k</m:t>
                    </m:r>
                  </m:e>
                  <m:sub>
                    <m:r>
                      <w:rPr>
                        <w:rFonts w:ascii="Cambria Math"/>
                        <w:color w:val="000000" w:themeColor="text1"/>
                      </w:rPr>
                      <m:t>syn,bl</m:t>
                    </m:r>
                  </m:sub>
                </m:sSub>
              </m:oMath>
            </m:oMathPara>
          </w:p>
        </w:tc>
        <w:tc>
          <w:tcPr>
            <w:tcW w:w="6663" w:type="dxa"/>
            <w:tcBorders>
              <w:top w:val="nil"/>
              <w:left w:val="nil"/>
              <w:bottom w:val="nil"/>
              <w:right w:val="nil"/>
            </w:tcBorders>
            <w:shd w:val="clear" w:color="000000" w:fill="FFFFFF"/>
            <w:noWrap/>
            <w:vAlign w:val="center"/>
          </w:tcPr>
          <w:p w14:paraId="057F0696"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Mass transfer coefficient in unstirred water layer of synovial fluid</w:t>
            </w:r>
          </w:p>
        </w:tc>
        <w:tc>
          <w:tcPr>
            <w:tcW w:w="1570" w:type="dxa"/>
            <w:tcBorders>
              <w:top w:val="nil"/>
              <w:left w:val="nil"/>
              <w:bottom w:val="nil"/>
              <w:right w:val="nil"/>
            </w:tcBorders>
            <w:shd w:val="clear" w:color="000000" w:fill="FFFFFF"/>
            <w:noWrap/>
            <w:vAlign w:val="center"/>
          </w:tcPr>
          <w:p w14:paraId="752C686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cm/s</w:t>
            </w:r>
          </w:p>
        </w:tc>
      </w:tr>
      <w:tr w:rsidR="00850735" w:rsidRPr="00850735" w14:paraId="57D69C11" w14:textId="77777777" w:rsidTr="00C953F3">
        <w:trPr>
          <w:trHeight w:val="312"/>
          <w:jc w:val="center"/>
        </w:trPr>
        <w:tc>
          <w:tcPr>
            <w:tcW w:w="1347" w:type="dxa"/>
            <w:tcBorders>
              <w:top w:val="nil"/>
              <w:left w:val="nil"/>
              <w:bottom w:val="nil"/>
              <w:right w:val="nil"/>
            </w:tcBorders>
            <w:shd w:val="clear" w:color="000000" w:fill="FFFFFF"/>
            <w:noWrap/>
            <w:vAlign w:val="center"/>
          </w:tcPr>
          <w:p w14:paraId="0D3F8472"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int</m:t>
                    </m:r>
                  </m:sub>
                </m:sSub>
              </m:oMath>
            </m:oMathPara>
          </w:p>
        </w:tc>
        <w:tc>
          <w:tcPr>
            <w:tcW w:w="6663" w:type="dxa"/>
            <w:tcBorders>
              <w:top w:val="nil"/>
              <w:left w:val="nil"/>
              <w:bottom w:val="nil"/>
              <w:right w:val="nil"/>
            </w:tcBorders>
            <w:shd w:val="clear" w:color="000000" w:fill="FFFFFF"/>
            <w:noWrap/>
            <w:vAlign w:val="center"/>
          </w:tcPr>
          <w:p w14:paraId="58C8C91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Thickness of intimal membrane</w:t>
            </w:r>
          </w:p>
        </w:tc>
        <w:tc>
          <w:tcPr>
            <w:tcW w:w="1570" w:type="dxa"/>
            <w:tcBorders>
              <w:top w:val="nil"/>
              <w:left w:val="nil"/>
              <w:bottom w:val="nil"/>
              <w:right w:val="nil"/>
            </w:tcBorders>
            <w:shd w:val="clear" w:color="000000" w:fill="FFFFFF"/>
            <w:noWrap/>
            <w:vAlign w:val="center"/>
          </w:tcPr>
          <w:p w14:paraId="29D7D36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219113B1" w14:textId="77777777" w:rsidTr="00C953F3">
        <w:trPr>
          <w:trHeight w:val="312"/>
          <w:jc w:val="center"/>
        </w:trPr>
        <w:tc>
          <w:tcPr>
            <w:tcW w:w="1347" w:type="dxa"/>
            <w:tcBorders>
              <w:top w:val="nil"/>
              <w:left w:val="nil"/>
              <w:bottom w:val="nil"/>
              <w:right w:val="nil"/>
            </w:tcBorders>
            <w:shd w:val="clear" w:color="000000" w:fill="FFFFFF"/>
            <w:noWrap/>
            <w:vAlign w:val="center"/>
          </w:tcPr>
          <w:p w14:paraId="5F2E1D1A"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D</m:t>
                    </m:r>
                  </m:e>
                  <m:sub>
                    <m:r>
                      <w:rPr>
                        <w:rFonts w:ascii="Cambria Math"/>
                        <w:color w:val="000000" w:themeColor="text1"/>
                      </w:rPr>
                      <m:t>int</m:t>
                    </m:r>
                  </m:sub>
                </m:sSub>
              </m:oMath>
            </m:oMathPara>
          </w:p>
        </w:tc>
        <w:tc>
          <w:tcPr>
            <w:tcW w:w="6663" w:type="dxa"/>
            <w:tcBorders>
              <w:top w:val="nil"/>
              <w:left w:val="nil"/>
              <w:bottom w:val="nil"/>
              <w:right w:val="nil"/>
            </w:tcBorders>
            <w:shd w:val="clear" w:color="000000" w:fill="FFFFFF"/>
            <w:noWrap/>
            <w:vAlign w:val="center"/>
          </w:tcPr>
          <w:p w14:paraId="071F61FD"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Diffusivity of drug in intimal tissue</w:t>
            </w:r>
          </w:p>
        </w:tc>
        <w:tc>
          <w:tcPr>
            <w:tcW w:w="1570" w:type="dxa"/>
            <w:tcBorders>
              <w:top w:val="nil"/>
              <w:left w:val="nil"/>
              <w:bottom w:val="nil"/>
              <w:right w:val="nil"/>
            </w:tcBorders>
            <w:shd w:val="clear" w:color="000000" w:fill="FFFFFF"/>
            <w:noWrap/>
            <w:vAlign w:val="center"/>
          </w:tcPr>
          <w:p w14:paraId="59FEDDD5"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r w:rsidRPr="00850735">
              <w:rPr>
                <w:rFonts w:eastAsia="Times New Roman" w:cs="Times New Roman"/>
                <w:color w:val="000000" w:themeColor="text1"/>
                <w:szCs w:val="24"/>
              </w:rPr>
              <w:t>/s</w:t>
            </w:r>
          </w:p>
        </w:tc>
      </w:tr>
      <w:tr w:rsidR="00850735" w:rsidRPr="00850735" w14:paraId="6B56DC6D" w14:textId="77777777" w:rsidTr="00C953F3">
        <w:trPr>
          <w:trHeight w:val="312"/>
          <w:jc w:val="center"/>
        </w:trPr>
        <w:tc>
          <w:tcPr>
            <w:tcW w:w="1347" w:type="dxa"/>
            <w:tcBorders>
              <w:top w:val="nil"/>
              <w:left w:val="nil"/>
              <w:bottom w:val="nil"/>
              <w:right w:val="nil"/>
            </w:tcBorders>
            <w:shd w:val="clear" w:color="000000" w:fill="FFFFFF"/>
            <w:noWrap/>
            <w:vAlign w:val="center"/>
          </w:tcPr>
          <w:p w14:paraId="55AD2293" w14:textId="77777777" w:rsidR="004003B0" w:rsidRPr="00850735" w:rsidRDefault="00850735" w:rsidP="00C953F3">
            <w:pPr>
              <w:spacing w:before="0" w:after="0" w:line="240" w:lineRule="auto"/>
              <w:jc w:val="left"/>
              <w:rPr>
                <w:rFonts w:eastAsia="Calibri" w:cs="Times New Roman"/>
                <w:color w:val="000000" w:themeColor="text1"/>
              </w:rPr>
            </w:pPr>
            <m:oMathPara>
              <m:oMath>
                <m:f>
                  <m:fPr>
                    <m:ctrlPr>
                      <w:rPr>
                        <w:rFonts w:ascii="Cambria Math" w:hAnsi="Cambria Math"/>
                        <w:i/>
                        <w:color w:val="000000" w:themeColor="text1"/>
                      </w:rPr>
                    </m:ctrlPr>
                  </m:fPr>
                  <m:num>
                    <m:r>
                      <w:rPr>
                        <w:rFonts w:ascii="Cambria Math"/>
                        <w:color w:val="000000" w:themeColor="text1"/>
                      </w:rPr>
                      <m:t>d</m:t>
                    </m:r>
                    <m:sSub>
                      <m:sSubPr>
                        <m:ctrlPr>
                          <w:rPr>
                            <w:rFonts w:ascii="Cambria Math" w:hAnsi="Cambria Math"/>
                            <w:i/>
                            <w:color w:val="000000" w:themeColor="text1"/>
                          </w:rPr>
                        </m:ctrlPr>
                      </m:sSubPr>
                      <m:e>
                        <m:r>
                          <w:rPr>
                            <w:rFonts w:ascii="Cambria Math"/>
                            <w:color w:val="000000" w:themeColor="text1"/>
                          </w:rPr>
                          <m:t>M</m:t>
                        </m:r>
                      </m:e>
                      <m:sub>
                        <m:r>
                          <w:rPr>
                            <w:rFonts w:ascii="Cambria Math"/>
                            <w:color w:val="000000" w:themeColor="text1"/>
                          </w:rPr>
                          <m:t>int</m:t>
                        </m:r>
                        <m:r>
                          <w:rPr>
                            <w:rFonts w:ascii="Cambria Math"/>
                            <w:color w:val="000000" w:themeColor="text1"/>
                          </w:rPr>
                          <m:t>-</m:t>
                        </m:r>
                        <m:r>
                          <w:rPr>
                            <w:rFonts w:ascii="Cambria Math"/>
                            <w:color w:val="000000" w:themeColor="text1"/>
                          </w:rPr>
                          <m:t>subint</m:t>
                        </m:r>
                      </m:sub>
                    </m:sSub>
                  </m:num>
                  <m:den>
                    <m:r>
                      <w:rPr>
                        <w:rFonts w:ascii="Cambria Math"/>
                        <w:color w:val="000000" w:themeColor="text1"/>
                      </w:rPr>
                      <m:t>dt</m:t>
                    </m:r>
                  </m:den>
                </m:f>
              </m:oMath>
            </m:oMathPara>
          </w:p>
        </w:tc>
        <w:tc>
          <w:tcPr>
            <w:tcW w:w="6663" w:type="dxa"/>
            <w:tcBorders>
              <w:top w:val="nil"/>
              <w:left w:val="nil"/>
              <w:bottom w:val="nil"/>
              <w:right w:val="nil"/>
            </w:tcBorders>
            <w:shd w:val="clear" w:color="000000" w:fill="FFFFFF"/>
            <w:noWrap/>
            <w:vAlign w:val="center"/>
          </w:tcPr>
          <w:p w14:paraId="6E1440D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Rate of mass transfer between intimal and sub-intimal membrane</w:t>
            </w:r>
          </w:p>
        </w:tc>
        <w:tc>
          <w:tcPr>
            <w:tcW w:w="1570" w:type="dxa"/>
            <w:tcBorders>
              <w:top w:val="nil"/>
              <w:left w:val="nil"/>
              <w:bottom w:val="nil"/>
              <w:right w:val="nil"/>
            </w:tcBorders>
            <w:shd w:val="clear" w:color="000000" w:fill="FFFFFF"/>
            <w:noWrap/>
            <w:vAlign w:val="center"/>
          </w:tcPr>
          <w:p w14:paraId="1A09218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mg/s</w:t>
            </w:r>
          </w:p>
        </w:tc>
      </w:tr>
      <w:tr w:rsidR="00850735" w:rsidRPr="00850735" w14:paraId="20DD3420" w14:textId="77777777" w:rsidTr="00C953F3">
        <w:trPr>
          <w:trHeight w:val="312"/>
          <w:jc w:val="center"/>
        </w:trPr>
        <w:tc>
          <w:tcPr>
            <w:tcW w:w="1347" w:type="dxa"/>
            <w:tcBorders>
              <w:top w:val="nil"/>
              <w:left w:val="nil"/>
              <w:bottom w:val="nil"/>
              <w:right w:val="nil"/>
            </w:tcBorders>
            <w:shd w:val="clear" w:color="000000" w:fill="FFFFFF"/>
            <w:noWrap/>
            <w:vAlign w:val="center"/>
          </w:tcPr>
          <w:p w14:paraId="7E5332E3"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D</m:t>
                    </m:r>
                  </m:e>
                  <m:sub>
                    <m:r>
                      <w:rPr>
                        <w:rFonts w:ascii="Cambria Math"/>
                        <w:color w:val="000000" w:themeColor="text1"/>
                      </w:rPr>
                      <m:t>subint</m:t>
                    </m:r>
                  </m:sub>
                </m:sSub>
              </m:oMath>
            </m:oMathPara>
          </w:p>
        </w:tc>
        <w:tc>
          <w:tcPr>
            <w:tcW w:w="6663" w:type="dxa"/>
            <w:tcBorders>
              <w:top w:val="nil"/>
              <w:left w:val="nil"/>
              <w:bottom w:val="nil"/>
              <w:right w:val="nil"/>
            </w:tcBorders>
            <w:shd w:val="clear" w:color="000000" w:fill="FFFFFF"/>
            <w:noWrap/>
            <w:vAlign w:val="center"/>
          </w:tcPr>
          <w:p w14:paraId="58D420E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Diffusivity in the subintimal membrane tissue</w:t>
            </w:r>
          </w:p>
        </w:tc>
        <w:tc>
          <w:tcPr>
            <w:tcW w:w="1570" w:type="dxa"/>
            <w:tcBorders>
              <w:top w:val="nil"/>
              <w:left w:val="nil"/>
              <w:bottom w:val="nil"/>
              <w:right w:val="nil"/>
            </w:tcBorders>
            <w:shd w:val="clear" w:color="000000" w:fill="FFFFFF"/>
            <w:noWrap/>
            <w:vAlign w:val="center"/>
          </w:tcPr>
          <w:p w14:paraId="5CFE3FA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r w:rsidRPr="00850735">
              <w:rPr>
                <w:rFonts w:eastAsia="Times New Roman" w:cs="Times New Roman"/>
                <w:color w:val="000000" w:themeColor="text1"/>
                <w:szCs w:val="24"/>
              </w:rPr>
              <w:t>/s</w:t>
            </w:r>
          </w:p>
        </w:tc>
      </w:tr>
      <w:tr w:rsidR="00850735" w:rsidRPr="00850735" w14:paraId="12C9AD82" w14:textId="77777777" w:rsidTr="00C953F3">
        <w:trPr>
          <w:trHeight w:val="312"/>
          <w:jc w:val="center"/>
        </w:trPr>
        <w:tc>
          <w:tcPr>
            <w:tcW w:w="1347" w:type="dxa"/>
            <w:tcBorders>
              <w:top w:val="nil"/>
              <w:left w:val="nil"/>
              <w:bottom w:val="nil"/>
              <w:right w:val="nil"/>
            </w:tcBorders>
            <w:shd w:val="clear" w:color="000000" w:fill="FFFFFF"/>
            <w:noWrap/>
            <w:vAlign w:val="center"/>
          </w:tcPr>
          <w:p w14:paraId="61258185"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subint</m:t>
                    </m:r>
                  </m:sub>
                </m:sSub>
              </m:oMath>
            </m:oMathPara>
          </w:p>
        </w:tc>
        <w:tc>
          <w:tcPr>
            <w:tcW w:w="6663" w:type="dxa"/>
            <w:tcBorders>
              <w:top w:val="nil"/>
              <w:left w:val="nil"/>
              <w:bottom w:val="nil"/>
              <w:right w:val="nil"/>
            </w:tcBorders>
            <w:shd w:val="clear" w:color="000000" w:fill="FFFFFF"/>
            <w:noWrap/>
            <w:vAlign w:val="center"/>
          </w:tcPr>
          <w:p w14:paraId="76E6B99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Thickness of subintimal membrane</w:t>
            </w:r>
          </w:p>
        </w:tc>
        <w:tc>
          <w:tcPr>
            <w:tcW w:w="1570" w:type="dxa"/>
            <w:tcBorders>
              <w:top w:val="nil"/>
              <w:left w:val="nil"/>
              <w:bottom w:val="nil"/>
              <w:right w:val="nil"/>
            </w:tcBorders>
            <w:shd w:val="clear" w:color="000000" w:fill="FFFFFF"/>
            <w:noWrap/>
            <w:vAlign w:val="center"/>
          </w:tcPr>
          <w:p w14:paraId="0C6B7DE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24136AB1" w14:textId="77777777" w:rsidTr="00C953F3">
        <w:trPr>
          <w:trHeight w:val="312"/>
          <w:jc w:val="center"/>
        </w:trPr>
        <w:tc>
          <w:tcPr>
            <w:tcW w:w="1347" w:type="dxa"/>
            <w:tcBorders>
              <w:top w:val="nil"/>
              <w:left w:val="nil"/>
              <w:bottom w:val="nil"/>
              <w:right w:val="nil"/>
            </w:tcBorders>
            <w:shd w:val="clear" w:color="000000" w:fill="FFFFFF"/>
            <w:noWrap/>
            <w:vAlign w:val="center"/>
          </w:tcPr>
          <w:p w14:paraId="5E121C9B"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color w:val="000000" w:themeColor="text1"/>
                  </w:rPr>
                  <m:t>S</m:t>
                </m:r>
                <m:sSub>
                  <m:sSubPr>
                    <m:ctrlPr>
                      <w:rPr>
                        <w:rFonts w:ascii="Cambria Math" w:hAnsi="Cambria Math"/>
                        <w:i/>
                        <w:color w:val="000000" w:themeColor="text1"/>
                      </w:rPr>
                    </m:ctrlPr>
                  </m:sSubPr>
                  <m:e>
                    <m:r>
                      <w:rPr>
                        <w:rFonts w:ascii="Cambria Math"/>
                        <w:color w:val="000000" w:themeColor="text1"/>
                      </w:rPr>
                      <m:t>A</m:t>
                    </m:r>
                  </m:e>
                  <m:sub>
                    <m:r>
                      <w:rPr>
                        <w:rFonts w:ascii="Cambria Math"/>
                        <w:color w:val="000000" w:themeColor="text1"/>
                      </w:rPr>
                      <m:t>subint</m:t>
                    </m:r>
                  </m:sub>
                </m:sSub>
              </m:oMath>
            </m:oMathPara>
          </w:p>
        </w:tc>
        <w:tc>
          <w:tcPr>
            <w:tcW w:w="6663" w:type="dxa"/>
            <w:tcBorders>
              <w:top w:val="nil"/>
              <w:left w:val="nil"/>
              <w:bottom w:val="nil"/>
              <w:right w:val="nil"/>
            </w:tcBorders>
            <w:shd w:val="clear" w:color="000000" w:fill="FFFFFF"/>
            <w:noWrap/>
            <w:vAlign w:val="center"/>
          </w:tcPr>
          <w:p w14:paraId="77E051F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Surface area of subintimal membrane</w:t>
            </w:r>
          </w:p>
        </w:tc>
        <w:tc>
          <w:tcPr>
            <w:tcW w:w="1570" w:type="dxa"/>
            <w:tcBorders>
              <w:top w:val="nil"/>
              <w:left w:val="nil"/>
              <w:bottom w:val="nil"/>
              <w:right w:val="nil"/>
            </w:tcBorders>
            <w:shd w:val="clear" w:color="000000" w:fill="FFFFFF"/>
            <w:noWrap/>
            <w:vAlign w:val="center"/>
          </w:tcPr>
          <w:p w14:paraId="73B5E4B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r w:rsidRPr="00850735">
              <w:rPr>
                <w:rFonts w:eastAsia="Times New Roman" w:cs="Times New Roman"/>
                <w:color w:val="000000" w:themeColor="text1"/>
                <w:szCs w:val="24"/>
                <w:vertAlign w:val="superscript"/>
              </w:rPr>
              <w:t>2</w:t>
            </w:r>
          </w:p>
        </w:tc>
      </w:tr>
      <w:tr w:rsidR="00850735" w:rsidRPr="00850735" w14:paraId="212D20EC" w14:textId="77777777" w:rsidTr="00C953F3">
        <w:trPr>
          <w:trHeight w:val="312"/>
          <w:jc w:val="center"/>
        </w:trPr>
        <w:tc>
          <w:tcPr>
            <w:tcW w:w="1347" w:type="dxa"/>
            <w:tcBorders>
              <w:top w:val="nil"/>
              <w:left w:val="nil"/>
              <w:bottom w:val="nil"/>
              <w:right w:val="nil"/>
            </w:tcBorders>
            <w:shd w:val="clear" w:color="000000" w:fill="FFFFFF"/>
            <w:noWrap/>
            <w:vAlign w:val="center"/>
          </w:tcPr>
          <w:p w14:paraId="17F0BCAE" w14:textId="77777777" w:rsidR="004003B0" w:rsidRPr="00850735" w:rsidRDefault="00850735" w:rsidP="00C953F3">
            <w:pPr>
              <w:spacing w:before="0" w:after="0" w:line="240" w:lineRule="auto"/>
              <w:jc w:val="left"/>
              <w:rPr>
                <w:rFonts w:eastAsia="Calibri"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C</m:t>
                    </m:r>
                  </m:e>
                  <m:sub>
                    <m:r>
                      <w:rPr>
                        <w:rFonts w:ascii="Cambria Math"/>
                        <w:color w:val="000000" w:themeColor="text1"/>
                      </w:rPr>
                      <m:t>u</m:t>
                    </m:r>
                  </m:sub>
                  <m:sup>
                    <m:r>
                      <w:rPr>
                        <w:rFonts w:ascii="Cambria Math"/>
                        <w:color w:val="000000" w:themeColor="text1"/>
                      </w:rPr>
                      <m:t>subint</m:t>
                    </m:r>
                  </m:sup>
                </m:sSubSup>
              </m:oMath>
            </m:oMathPara>
          </w:p>
        </w:tc>
        <w:tc>
          <w:tcPr>
            <w:tcW w:w="6663" w:type="dxa"/>
            <w:tcBorders>
              <w:top w:val="nil"/>
              <w:left w:val="nil"/>
              <w:bottom w:val="nil"/>
              <w:right w:val="nil"/>
            </w:tcBorders>
            <w:shd w:val="clear" w:color="000000" w:fill="FFFFFF"/>
            <w:noWrap/>
            <w:vAlign w:val="center"/>
          </w:tcPr>
          <w:p w14:paraId="0983116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Unbound concentration in the subintimal membrane</w:t>
            </w:r>
          </w:p>
        </w:tc>
        <w:tc>
          <w:tcPr>
            <w:tcW w:w="1570" w:type="dxa"/>
            <w:tcBorders>
              <w:top w:val="nil"/>
              <w:left w:val="nil"/>
              <w:bottom w:val="nil"/>
              <w:right w:val="nil"/>
            </w:tcBorders>
            <w:shd w:val="clear" w:color="000000" w:fill="FFFFFF"/>
            <w:noWrap/>
            <w:vAlign w:val="center"/>
          </w:tcPr>
          <w:p w14:paraId="043FDDD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61DE18CE" w14:textId="77777777" w:rsidTr="00C953F3">
        <w:trPr>
          <w:trHeight w:val="312"/>
          <w:jc w:val="center"/>
        </w:trPr>
        <w:tc>
          <w:tcPr>
            <w:tcW w:w="1347" w:type="dxa"/>
            <w:tcBorders>
              <w:top w:val="nil"/>
              <w:left w:val="nil"/>
              <w:bottom w:val="nil"/>
              <w:right w:val="nil"/>
            </w:tcBorders>
            <w:shd w:val="clear" w:color="000000" w:fill="FFFFFF"/>
            <w:noWrap/>
            <w:vAlign w:val="center"/>
          </w:tcPr>
          <w:p w14:paraId="5B54C597"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syn</m:t>
                    </m:r>
                  </m:sub>
                </m:sSub>
              </m:oMath>
            </m:oMathPara>
          </w:p>
        </w:tc>
        <w:tc>
          <w:tcPr>
            <w:tcW w:w="6663" w:type="dxa"/>
            <w:tcBorders>
              <w:top w:val="nil"/>
              <w:left w:val="nil"/>
              <w:bottom w:val="nil"/>
              <w:right w:val="nil"/>
            </w:tcBorders>
            <w:shd w:val="clear" w:color="000000" w:fill="FFFFFF"/>
            <w:noWrap/>
            <w:vAlign w:val="center"/>
          </w:tcPr>
          <w:p w14:paraId="5E2D131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Length scale of unstirred water layer in synovial fluid</w:t>
            </w:r>
          </w:p>
        </w:tc>
        <w:tc>
          <w:tcPr>
            <w:tcW w:w="1570" w:type="dxa"/>
            <w:tcBorders>
              <w:top w:val="nil"/>
              <w:left w:val="nil"/>
              <w:bottom w:val="nil"/>
              <w:right w:val="nil"/>
            </w:tcBorders>
            <w:shd w:val="clear" w:color="000000" w:fill="FFFFFF"/>
            <w:noWrap/>
            <w:vAlign w:val="center"/>
          </w:tcPr>
          <w:p w14:paraId="0243108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3AAB185B" w14:textId="77777777" w:rsidTr="00C953F3">
        <w:trPr>
          <w:trHeight w:val="312"/>
          <w:jc w:val="center"/>
        </w:trPr>
        <w:tc>
          <w:tcPr>
            <w:tcW w:w="1347" w:type="dxa"/>
            <w:tcBorders>
              <w:top w:val="nil"/>
              <w:left w:val="nil"/>
              <w:bottom w:val="nil"/>
              <w:right w:val="nil"/>
            </w:tcBorders>
            <w:shd w:val="clear" w:color="000000" w:fill="FFFFFF"/>
            <w:noWrap/>
            <w:vAlign w:val="center"/>
          </w:tcPr>
          <w:p w14:paraId="206A8A28"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k</m:t>
                    </m:r>
                  </m:e>
                  <m:sub>
                    <m:r>
                      <w:rPr>
                        <w:rFonts w:ascii="Cambria Math"/>
                        <w:color w:val="000000" w:themeColor="text1"/>
                      </w:rPr>
                      <m:t>B</m:t>
                    </m:r>
                  </m:sub>
                </m:sSub>
              </m:oMath>
            </m:oMathPara>
          </w:p>
        </w:tc>
        <w:tc>
          <w:tcPr>
            <w:tcW w:w="6663" w:type="dxa"/>
            <w:tcBorders>
              <w:top w:val="nil"/>
              <w:left w:val="nil"/>
              <w:bottom w:val="nil"/>
              <w:right w:val="nil"/>
            </w:tcBorders>
            <w:shd w:val="clear" w:color="000000" w:fill="FFFFFF"/>
            <w:noWrap/>
            <w:vAlign w:val="center"/>
          </w:tcPr>
          <w:p w14:paraId="3242D98E"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Boltzmann’s constant</w:t>
            </w:r>
          </w:p>
        </w:tc>
        <w:tc>
          <w:tcPr>
            <w:tcW w:w="1570" w:type="dxa"/>
            <w:tcBorders>
              <w:top w:val="nil"/>
              <w:left w:val="nil"/>
              <w:bottom w:val="nil"/>
              <w:right w:val="nil"/>
            </w:tcBorders>
            <w:shd w:val="clear" w:color="000000" w:fill="FFFFFF"/>
            <w:noWrap/>
            <w:vAlign w:val="center"/>
          </w:tcPr>
          <w:p w14:paraId="49A0D8D4"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J/K</w:t>
            </w:r>
          </w:p>
        </w:tc>
      </w:tr>
      <w:tr w:rsidR="00850735" w:rsidRPr="00850735" w14:paraId="31A4E7DF" w14:textId="77777777" w:rsidTr="00C953F3">
        <w:trPr>
          <w:trHeight w:val="312"/>
          <w:jc w:val="center"/>
        </w:trPr>
        <w:tc>
          <w:tcPr>
            <w:tcW w:w="1347" w:type="dxa"/>
            <w:tcBorders>
              <w:top w:val="nil"/>
              <w:left w:val="nil"/>
              <w:bottom w:val="nil"/>
              <w:right w:val="nil"/>
            </w:tcBorders>
            <w:shd w:val="clear" w:color="000000" w:fill="FFFFFF"/>
            <w:noWrap/>
            <w:vAlign w:val="center"/>
          </w:tcPr>
          <w:p w14:paraId="50D21EA5"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olor w:val="000000" w:themeColor="text1"/>
                  </w:rPr>
                  <m:t>T</m:t>
                </m:r>
              </m:oMath>
            </m:oMathPara>
          </w:p>
        </w:tc>
        <w:tc>
          <w:tcPr>
            <w:tcW w:w="6663" w:type="dxa"/>
            <w:tcBorders>
              <w:top w:val="nil"/>
              <w:left w:val="nil"/>
              <w:bottom w:val="nil"/>
              <w:right w:val="nil"/>
            </w:tcBorders>
            <w:shd w:val="clear" w:color="000000" w:fill="FFFFFF"/>
            <w:noWrap/>
            <w:vAlign w:val="center"/>
          </w:tcPr>
          <w:p w14:paraId="27EE73A3"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Temperature</w:t>
            </w:r>
          </w:p>
        </w:tc>
        <w:tc>
          <w:tcPr>
            <w:tcW w:w="1570" w:type="dxa"/>
            <w:tcBorders>
              <w:top w:val="nil"/>
              <w:left w:val="nil"/>
              <w:bottom w:val="nil"/>
              <w:right w:val="nil"/>
            </w:tcBorders>
            <w:shd w:val="clear" w:color="000000" w:fill="FFFFFF"/>
            <w:noWrap/>
            <w:vAlign w:val="center"/>
          </w:tcPr>
          <w:p w14:paraId="01D709F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K</w:t>
            </w:r>
          </w:p>
        </w:tc>
      </w:tr>
      <w:tr w:rsidR="00850735" w:rsidRPr="00850735" w14:paraId="4BC2DC8B" w14:textId="77777777" w:rsidTr="00C953F3">
        <w:trPr>
          <w:trHeight w:val="312"/>
          <w:jc w:val="center"/>
        </w:trPr>
        <w:tc>
          <w:tcPr>
            <w:tcW w:w="1347" w:type="dxa"/>
            <w:tcBorders>
              <w:top w:val="nil"/>
              <w:left w:val="nil"/>
              <w:bottom w:val="nil"/>
              <w:right w:val="nil"/>
            </w:tcBorders>
            <w:shd w:val="clear" w:color="000000" w:fill="FFFFFF"/>
            <w:noWrap/>
            <w:vAlign w:val="center"/>
          </w:tcPr>
          <w:p w14:paraId="1E602BE2"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color w:val="000000" w:themeColor="text1"/>
                  </w:rPr>
                  <m:t>η</m:t>
                </m:r>
              </m:oMath>
            </m:oMathPara>
          </w:p>
        </w:tc>
        <w:tc>
          <w:tcPr>
            <w:tcW w:w="6663" w:type="dxa"/>
            <w:tcBorders>
              <w:top w:val="nil"/>
              <w:left w:val="nil"/>
              <w:bottom w:val="nil"/>
              <w:right w:val="nil"/>
            </w:tcBorders>
            <w:shd w:val="clear" w:color="000000" w:fill="FFFFFF"/>
            <w:noWrap/>
            <w:vAlign w:val="center"/>
          </w:tcPr>
          <w:p w14:paraId="6A804DB9"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Kinematic viscosity</w:t>
            </w:r>
          </w:p>
        </w:tc>
        <w:tc>
          <w:tcPr>
            <w:tcW w:w="1570" w:type="dxa"/>
            <w:tcBorders>
              <w:top w:val="nil"/>
              <w:left w:val="nil"/>
              <w:bottom w:val="nil"/>
              <w:right w:val="nil"/>
            </w:tcBorders>
            <w:shd w:val="clear" w:color="000000" w:fill="FFFFFF"/>
            <w:noWrap/>
            <w:vAlign w:val="center"/>
          </w:tcPr>
          <w:p w14:paraId="57329D2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centistoke</w:t>
            </w:r>
          </w:p>
        </w:tc>
      </w:tr>
      <w:tr w:rsidR="00850735" w:rsidRPr="00850735" w14:paraId="6D3C02DB" w14:textId="77777777" w:rsidTr="00C953F3">
        <w:trPr>
          <w:trHeight w:val="312"/>
          <w:jc w:val="center"/>
        </w:trPr>
        <w:tc>
          <w:tcPr>
            <w:tcW w:w="1347" w:type="dxa"/>
            <w:tcBorders>
              <w:top w:val="nil"/>
              <w:left w:val="nil"/>
              <w:bottom w:val="nil"/>
              <w:right w:val="nil"/>
            </w:tcBorders>
            <w:shd w:val="clear" w:color="000000" w:fill="FFFFFF"/>
            <w:noWrap/>
            <w:vAlign w:val="center"/>
          </w:tcPr>
          <w:p w14:paraId="0D93AD5F"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color w:val="000000" w:themeColor="text1"/>
                  </w:rPr>
                  <m:t>r</m:t>
                </m:r>
              </m:oMath>
            </m:oMathPara>
          </w:p>
        </w:tc>
        <w:tc>
          <w:tcPr>
            <w:tcW w:w="6663" w:type="dxa"/>
            <w:tcBorders>
              <w:top w:val="nil"/>
              <w:left w:val="nil"/>
              <w:bottom w:val="nil"/>
              <w:right w:val="nil"/>
            </w:tcBorders>
            <w:shd w:val="clear" w:color="000000" w:fill="FFFFFF"/>
            <w:noWrap/>
            <w:vAlign w:val="center"/>
          </w:tcPr>
          <w:p w14:paraId="756EC61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Molecular radius</w:t>
            </w:r>
          </w:p>
        </w:tc>
        <w:tc>
          <w:tcPr>
            <w:tcW w:w="1570" w:type="dxa"/>
            <w:tcBorders>
              <w:top w:val="nil"/>
              <w:left w:val="nil"/>
              <w:bottom w:val="nil"/>
              <w:right w:val="nil"/>
            </w:tcBorders>
            <w:shd w:val="clear" w:color="000000" w:fill="FFFFFF"/>
            <w:noWrap/>
            <w:vAlign w:val="center"/>
          </w:tcPr>
          <w:p w14:paraId="35B148A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cm</w:t>
            </w:r>
          </w:p>
        </w:tc>
      </w:tr>
      <w:tr w:rsidR="00850735" w:rsidRPr="00850735" w14:paraId="51679E14" w14:textId="77777777" w:rsidTr="00C953F3">
        <w:trPr>
          <w:trHeight w:val="312"/>
          <w:jc w:val="center"/>
        </w:trPr>
        <w:tc>
          <w:tcPr>
            <w:tcW w:w="1347" w:type="dxa"/>
            <w:tcBorders>
              <w:top w:val="nil"/>
              <w:left w:val="nil"/>
              <w:bottom w:val="nil"/>
              <w:right w:val="nil"/>
            </w:tcBorders>
            <w:shd w:val="clear" w:color="000000" w:fill="FFFFFF"/>
            <w:noWrap/>
            <w:vAlign w:val="center"/>
          </w:tcPr>
          <w:p w14:paraId="32467881"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C</m:t>
                    </m:r>
                  </m:e>
                  <m:sub>
                    <m:r>
                      <w:rPr>
                        <w:rFonts w:ascii="Cambria Math"/>
                        <w:color w:val="000000" w:themeColor="text1"/>
                      </w:rPr>
                      <m:t>u</m:t>
                    </m:r>
                  </m:sub>
                </m:sSub>
              </m:oMath>
            </m:oMathPara>
          </w:p>
        </w:tc>
        <w:tc>
          <w:tcPr>
            <w:tcW w:w="6663" w:type="dxa"/>
            <w:tcBorders>
              <w:top w:val="nil"/>
              <w:left w:val="nil"/>
              <w:bottom w:val="nil"/>
              <w:right w:val="nil"/>
            </w:tcBorders>
            <w:shd w:val="clear" w:color="000000" w:fill="FFFFFF"/>
            <w:noWrap/>
            <w:vAlign w:val="center"/>
          </w:tcPr>
          <w:p w14:paraId="5489CAE6"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Unbound concentration</w:t>
            </w:r>
          </w:p>
        </w:tc>
        <w:tc>
          <w:tcPr>
            <w:tcW w:w="1570" w:type="dxa"/>
            <w:tcBorders>
              <w:top w:val="nil"/>
              <w:left w:val="nil"/>
              <w:bottom w:val="nil"/>
              <w:right w:val="nil"/>
            </w:tcBorders>
            <w:shd w:val="clear" w:color="000000" w:fill="FFFFFF"/>
            <w:noWrap/>
            <w:vAlign w:val="center"/>
          </w:tcPr>
          <w:p w14:paraId="4539B1D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76C7B878" w14:textId="77777777" w:rsidTr="00C953F3">
        <w:trPr>
          <w:trHeight w:val="312"/>
          <w:jc w:val="center"/>
        </w:trPr>
        <w:tc>
          <w:tcPr>
            <w:tcW w:w="1347" w:type="dxa"/>
            <w:tcBorders>
              <w:top w:val="nil"/>
              <w:left w:val="nil"/>
              <w:bottom w:val="nil"/>
              <w:right w:val="nil"/>
            </w:tcBorders>
            <w:shd w:val="clear" w:color="000000" w:fill="FFFFFF"/>
            <w:noWrap/>
            <w:vAlign w:val="center"/>
          </w:tcPr>
          <w:p w14:paraId="0F284879"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f</m:t>
                    </m:r>
                  </m:e>
                  <m:sub>
                    <m:r>
                      <w:rPr>
                        <w:rFonts w:ascii="Cambria Math"/>
                        <w:color w:val="000000" w:themeColor="text1"/>
                      </w:rPr>
                      <m:t>ut</m:t>
                    </m:r>
                  </m:sub>
                </m:sSub>
              </m:oMath>
            </m:oMathPara>
          </w:p>
        </w:tc>
        <w:tc>
          <w:tcPr>
            <w:tcW w:w="6663" w:type="dxa"/>
            <w:tcBorders>
              <w:top w:val="nil"/>
              <w:left w:val="nil"/>
              <w:bottom w:val="nil"/>
              <w:right w:val="nil"/>
            </w:tcBorders>
            <w:shd w:val="clear" w:color="000000" w:fill="FFFFFF"/>
            <w:noWrap/>
            <w:vAlign w:val="center"/>
          </w:tcPr>
          <w:p w14:paraId="1771105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Fraction unbound in tissue</w:t>
            </w:r>
          </w:p>
        </w:tc>
        <w:tc>
          <w:tcPr>
            <w:tcW w:w="1570" w:type="dxa"/>
            <w:tcBorders>
              <w:top w:val="nil"/>
              <w:left w:val="nil"/>
              <w:bottom w:val="nil"/>
              <w:right w:val="nil"/>
            </w:tcBorders>
            <w:shd w:val="clear" w:color="000000" w:fill="FFFFFF"/>
            <w:noWrap/>
            <w:vAlign w:val="center"/>
          </w:tcPr>
          <w:p w14:paraId="678BBC67"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unitless</w:t>
            </w:r>
          </w:p>
        </w:tc>
      </w:tr>
      <w:tr w:rsidR="00850735" w:rsidRPr="00850735" w14:paraId="0ADE1F03" w14:textId="77777777" w:rsidTr="00C953F3">
        <w:trPr>
          <w:trHeight w:val="312"/>
          <w:jc w:val="center"/>
        </w:trPr>
        <w:tc>
          <w:tcPr>
            <w:tcW w:w="1347" w:type="dxa"/>
            <w:tcBorders>
              <w:top w:val="nil"/>
              <w:left w:val="nil"/>
              <w:bottom w:val="nil"/>
              <w:right w:val="nil"/>
            </w:tcBorders>
            <w:shd w:val="clear" w:color="000000" w:fill="FFFFFF"/>
            <w:noWrap/>
            <w:vAlign w:val="center"/>
          </w:tcPr>
          <w:p w14:paraId="66FCD9DD"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color w:val="000000" w:themeColor="text1"/>
                      </w:rPr>
                      <m:t>C</m:t>
                    </m:r>
                  </m:e>
                  <m:sub>
                    <m:r>
                      <w:rPr>
                        <w:rFonts w:ascii="Cambria Math"/>
                        <w:color w:val="000000" w:themeColor="text1"/>
                      </w:rPr>
                      <m:t>T</m:t>
                    </m:r>
                  </m:sub>
                </m:sSub>
              </m:oMath>
            </m:oMathPara>
          </w:p>
        </w:tc>
        <w:tc>
          <w:tcPr>
            <w:tcW w:w="6663" w:type="dxa"/>
            <w:tcBorders>
              <w:top w:val="nil"/>
              <w:left w:val="nil"/>
              <w:bottom w:val="nil"/>
              <w:right w:val="nil"/>
            </w:tcBorders>
            <w:shd w:val="clear" w:color="000000" w:fill="FFFFFF"/>
            <w:noWrap/>
            <w:vAlign w:val="center"/>
          </w:tcPr>
          <w:p w14:paraId="0D3EE04F"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Total concentration in tissue</w:t>
            </w:r>
          </w:p>
        </w:tc>
        <w:tc>
          <w:tcPr>
            <w:tcW w:w="1570" w:type="dxa"/>
            <w:tcBorders>
              <w:top w:val="nil"/>
              <w:left w:val="nil"/>
              <w:bottom w:val="nil"/>
              <w:right w:val="nil"/>
            </w:tcBorders>
            <w:shd w:val="clear" w:color="000000" w:fill="FFFFFF"/>
            <w:noWrap/>
            <w:vAlign w:val="center"/>
          </w:tcPr>
          <w:p w14:paraId="402FF53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r w:rsidR="00850735" w:rsidRPr="00850735" w14:paraId="23FF37EA" w14:textId="77777777" w:rsidTr="00C953F3">
        <w:trPr>
          <w:trHeight w:val="312"/>
          <w:jc w:val="center"/>
        </w:trPr>
        <w:tc>
          <w:tcPr>
            <w:tcW w:w="1347" w:type="dxa"/>
            <w:tcBorders>
              <w:top w:val="nil"/>
              <w:left w:val="nil"/>
              <w:bottom w:val="nil"/>
              <w:right w:val="nil"/>
            </w:tcBorders>
            <w:shd w:val="clear" w:color="000000" w:fill="FFFFFF"/>
            <w:noWrap/>
            <w:vAlign w:val="center"/>
          </w:tcPr>
          <w:p w14:paraId="06587123" w14:textId="77777777" w:rsidR="004003B0" w:rsidRPr="00850735" w:rsidRDefault="004003B0" w:rsidP="00C953F3">
            <w:pPr>
              <w:spacing w:before="0" w:after="0" w:line="240" w:lineRule="auto"/>
              <w:jc w:val="left"/>
              <w:rPr>
                <w:rFonts w:eastAsia="Calibri" w:cs="Times New Roman"/>
                <w:color w:val="000000" w:themeColor="text1"/>
              </w:rPr>
            </w:pPr>
            <w:r w:rsidRPr="00850735">
              <w:rPr>
                <w:rFonts w:eastAsia="Calibri" w:cs="Times New Roman"/>
                <w:color w:val="000000" w:themeColor="text1"/>
              </w:rPr>
              <w:t>SystRate</w:t>
            </w:r>
          </w:p>
        </w:tc>
        <w:tc>
          <w:tcPr>
            <w:tcW w:w="6663" w:type="dxa"/>
            <w:tcBorders>
              <w:top w:val="nil"/>
              <w:left w:val="nil"/>
              <w:bottom w:val="nil"/>
              <w:right w:val="nil"/>
            </w:tcBorders>
            <w:shd w:val="clear" w:color="000000" w:fill="FFFFFF"/>
            <w:noWrap/>
            <w:vAlign w:val="center"/>
          </w:tcPr>
          <w:p w14:paraId="09F9044A"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Systemic absorption rate</w:t>
            </w:r>
          </w:p>
        </w:tc>
        <w:tc>
          <w:tcPr>
            <w:tcW w:w="1570" w:type="dxa"/>
            <w:tcBorders>
              <w:top w:val="nil"/>
              <w:left w:val="nil"/>
              <w:bottom w:val="nil"/>
              <w:right w:val="nil"/>
            </w:tcBorders>
            <w:shd w:val="clear" w:color="000000" w:fill="FFFFFF"/>
            <w:noWrap/>
            <w:vAlign w:val="center"/>
          </w:tcPr>
          <w:p w14:paraId="312643AE"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mg/s</w:t>
            </w:r>
          </w:p>
        </w:tc>
      </w:tr>
      <w:tr w:rsidR="00850735" w:rsidRPr="00850735" w14:paraId="4673CE89" w14:textId="77777777" w:rsidTr="00C953F3">
        <w:trPr>
          <w:trHeight w:val="312"/>
          <w:jc w:val="center"/>
        </w:trPr>
        <w:tc>
          <w:tcPr>
            <w:tcW w:w="1347" w:type="dxa"/>
            <w:tcBorders>
              <w:top w:val="nil"/>
              <w:left w:val="nil"/>
              <w:bottom w:val="nil"/>
              <w:right w:val="nil"/>
            </w:tcBorders>
            <w:shd w:val="clear" w:color="000000" w:fill="FFFFFF"/>
            <w:noWrap/>
            <w:vAlign w:val="center"/>
          </w:tcPr>
          <w:p w14:paraId="1110CD59"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olor w:val="000000" w:themeColor="text1"/>
                  </w:rPr>
                  <m:t>Q</m:t>
                </m:r>
              </m:oMath>
            </m:oMathPara>
          </w:p>
        </w:tc>
        <w:tc>
          <w:tcPr>
            <w:tcW w:w="6663" w:type="dxa"/>
            <w:tcBorders>
              <w:top w:val="nil"/>
              <w:left w:val="nil"/>
              <w:bottom w:val="nil"/>
              <w:right w:val="nil"/>
            </w:tcBorders>
            <w:shd w:val="clear" w:color="000000" w:fill="FFFFFF"/>
            <w:noWrap/>
            <w:vAlign w:val="center"/>
          </w:tcPr>
          <w:p w14:paraId="4CA291CB"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Tissue blood flowrate</w:t>
            </w:r>
          </w:p>
        </w:tc>
        <w:tc>
          <w:tcPr>
            <w:tcW w:w="1570" w:type="dxa"/>
            <w:tcBorders>
              <w:top w:val="nil"/>
              <w:left w:val="nil"/>
              <w:bottom w:val="nil"/>
              <w:right w:val="nil"/>
            </w:tcBorders>
            <w:shd w:val="clear" w:color="000000" w:fill="FFFFFF"/>
            <w:noWrap/>
            <w:vAlign w:val="center"/>
          </w:tcPr>
          <w:p w14:paraId="13BFF702"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mL/s</w:t>
            </w:r>
          </w:p>
        </w:tc>
      </w:tr>
      <w:tr w:rsidR="00850735" w:rsidRPr="00850735" w14:paraId="43BB1D5A" w14:textId="77777777" w:rsidTr="00C953F3">
        <w:trPr>
          <w:trHeight w:val="312"/>
          <w:jc w:val="center"/>
        </w:trPr>
        <w:tc>
          <w:tcPr>
            <w:tcW w:w="1347" w:type="dxa"/>
            <w:tcBorders>
              <w:top w:val="nil"/>
              <w:left w:val="nil"/>
              <w:bottom w:val="nil"/>
              <w:right w:val="nil"/>
            </w:tcBorders>
            <w:shd w:val="clear" w:color="000000" w:fill="FFFFFF"/>
            <w:noWrap/>
            <w:vAlign w:val="center"/>
          </w:tcPr>
          <w:p w14:paraId="63C72A32"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B:P</m:t>
                    </m:r>
                  </m:sub>
                </m:sSub>
              </m:oMath>
            </m:oMathPara>
          </w:p>
        </w:tc>
        <w:tc>
          <w:tcPr>
            <w:tcW w:w="6663" w:type="dxa"/>
            <w:tcBorders>
              <w:top w:val="nil"/>
              <w:left w:val="nil"/>
              <w:bottom w:val="nil"/>
              <w:right w:val="nil"/>
            </w:tcBorders>
            <w:shd w:val="clear" w:color="000000" w:fill="FFFFFF"/>
            <w:noWrap/>
            <w:vAlign w:val="center"/>
          </w:tcPr>
          <w:p w14:paraId="6AAAA47E"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Blood to plasma concentration ratio</w:t>
            </w:r>
          </w:p>
        </w:tc>
        <w:tc>
          <w:tcPr>
            <w:tcW w:w="1570" w:type="dxa"/>
            <w:tcBorders>
              <w:top w:val="nil"/>
              <w:left w:val="nil"/>
              <w:bottom w:val="nil"/>
              <w:right w:val="nil"/>
            </w:tcBorders>
            <w:shd w:val="clear" w:color="000000" w:fill="FFFFFF"/>
            <w:noWrap/>
            <w:vAlign w:val="center"/>
          </w:tcPr>
          <w:p w14:paraId="2F7557EE"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unitless</w:t>
            </w:r>
          </w:p>
        </w:tc>
      </w:tr>
      <w:tr w:rsidR="00850735" w:rsidRPr="00850735" w14:paraId="517DD7D6" w14:textId="77777777" w:rsidTr="00C953F3">
        <w:trPr>
          <w:trHeight w:val="312"/>
          <w:jc w:val="center"/>
        </w:trPr>
        <w:tc>
          <w:tcPr>
            <w:tcW w:w="1347" w:type="dxa"/>
            <w:tcBorders>
              <w:top w:val="nil"/>
              <w:left w:val="nil"/>
              <w:bottom w:val="nil"/>
              <w:right w:val="nil"/>
            </w:tcBorders>
            <w:shd w:val="clear" w:color="000000" w:fill="FFFFFF"/>
            <w:noWrap/>
            <w:vAlign w:val="center"/>
          </w:tcPr>
          <w:p w14:paraId="7C61E201" w14:textId="77777777" w:rsidR="004003B0" w:rsidRPr="00850735" w:rsidRDefault="004003B0" w:rsidP="00C953F3">
            <w:pPr>
              <w:spacing w:before="0" w:after="0" w:line="240" w:lineRule="auto"/>
              <w:jc w:val="left"/>
              <w:rPr>
                <w:rFonts w:eastAsia="Calibri" w:cs="Times New Roman"/>
                <w:color w:val="000000" w:themeColor="text1"/>
              </w:rPr>
            </w:pPr>
            <m:oMathPara>
              <m:oMath>
                <m:r>
                  <w:rPr>
                    <w:rFonts w:ascii="Cambria Math" w:hAnsi="Cambria Math"/>
                    <w:color w:val="000000" w:themeColor="text1"/>
                  </w:rPr>
                  <m:t>Fup</m:t>
                </m:r>
              </m:oMath>
            </m:oMathPara>
          </w:p>
        </w:tc>
        <w:tc>
          <w:tcPr>
            <w:tcW w:w="6663" w:type="dxa"/>
            <w:tcBorders>
              <w:top w:val="nil"/>
              <w:left w:val="nil"/>
              <w:bottom w:val="nil"/>
              <w:right w:val="nil"/>
            </w:tcBorders>
            <w:shd w:val="clear" w:color="000000" w:fill="FFFFFF"/>
            <w:noWrap/>
            <w:vAlign w:val="center"/>
          </w:tcPr>
          <w:p w14:paraId="5228382C"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Fraction unbound in plasma</w:t>
            </w:r>
          </w:p>
        </w:tc>
        <w:tc>
          <w:tcPr>
            <w:tcW w:w="1570" w:type="dxa"/>
            <w:tcBorders>
              <w:top w:val="nil"/>
              <w:left w:val="nil"/>
              <w:bottom w:val="nil"/>
              <w:right w:val="nil"/>
            </w:tcBorders>
            <w:shd w:val="clear" w:color="000000" w:fill="FFFFFF"/>
            <w:noWrap/>
            <w:vAlign w:val="center"/>
          </w:tcPr>
          <w:p w14:paraId="6BFFDAE8"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unitless</w:t>
            </w:r>
          </w:p>
        </w:tc>
      </w:tr>
      <w:tr w:rsidR="00850735" w:rsidRPr="00850735" w14:paraId="7376F87E" w14:textId="77777777" w:rsidTr="00C953F3">
        <w:trPr>
          <w:trHeight w:val="312"/>
          <w:jc w:val="center"/>
        </w:trPr>
        <w:tc>
          <w:tcPr>
            <w:tcW w:w="1347" w:type="dxa"/>
            <w:tcBorders>
              <w:top w:val="nil"/>
              <w:left w:val="nil"/>
              <w:bottom w:val="single" w:sz="4" w:space="0" w:color="auto"/>
              <w:right w:val="nil"/>
            </w:tcBorders>
            <w:shd w:val="clear" w:color="000000" w:fill="FFFFFF"/>
            <w:noWrap/>
            <w:vAlign w:val="center"/>
          </w:tcPr>
          <w:p w14:paraId="63CE19C3" w14:textId="77777777" w:rsidR="004003B0" w:rsidRPr="00850735" w:rsidRDefault="00850735" w:rsidP="00C953F3">
            <w:pPr>
              <w:spacing w:before="0" w:after="0" w:line="240" w:lineRule="auto"/>
              <w:jc w:val="left"/>
              <w:rPr>
                <w:rFonts w:eastAsia="Calibri" w:cs="Times New Roman"/>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P</m:t>
                    </m:r>
                  </m:sub>
                </m:sSub>
              </m:oMath>
            </m:oMathPara>
          </w:p>
        </w:tc>
        <w:tc>
          <w:tcPr>
            <w:tcW w:w="6663" w:type="dxa"/>
            <w:tcBorders>
              <w:top w:val="nil"/>
              <w:left w:val="nil"/>
              <w:bottom w:val="single" w:sz="4" w:space="0" w:color="auto"/>
              <w:right w:val="nil"/>
            </w:tcBorders>
            <w:shd w:val="clear" w:color="000000" w:fill="FFFFFF"/>
            <w:noWrap/>
            <w:vAlign w:val="center"/>
          </w:tcPr>
          <w:p w14:paraId="74BF32B1"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Concentration of drug in plasma</w:t>
            </w:r>
          </w:p>
        </w:tc>
        <w:tc>
          <w:tcPr>
            <w:tcW w:w="1570" w:type="dxa"/>
            <w:tcBorders>
              <w:top w:val="nil"/>
              <w:left w:val="nil"/>
              <w:bottom w:val="single" w:sz="4" w:space="0" w:color="auto"/>
              <w:right w:val="nil"/>
            </w:tcBorders>
            <w:shd w:val="clear" w:color="000000" w:fill="FFFFFF"/>
            <w:noWrap/>
            <w:vAlign w:val="center"/>
          </w:tcPr>
          <w:p w14:paraId="66089CDF"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mg/mL</w:t>
            </w:r>
          </w:p>
        </w:tc>
      </w:tr>
    </w:tbl>
    <w:p w14:paraId="3627DFAD" w14:textId="77777777" w:rsidR="004003B0" w:rsidRPr="00850735" w:rsidRDefault="004003B0" w:rsidP="004003B0">
      <w:pPr>
        <w:rPr>
          <w:color w:val="000000" w:themeColor="text1"/>
        </w:rPr>
      </w:pPr>
    </w:p>
    <w:p w14:paraId="32BCCAE3" w14:textId="77777777" w:rsidR="004003B0" w:rsidRPr="00850735" w:rsidRDefault="004003B0" w:rsidP="004003B0">
      <w:pPr>
        <w:pStyle w:val="Caption"/>
        <w:keepNext/>
        <w:rPr>
          <w:color w:val="000000" w:themeColor="text1"/>
          <w:sz w:val="24"/>
          <w:szCs w:val="24"/>
        </w:rPr>
      </w:pPr>
      <w:r w:rsidRPr="00850735">
        <w:rPr>
          <w:color w:val="000000" w:themeColor="text1"/>
          <w:sz w:val="24"/>
          <w:szCs w:val="24"/>
        </w:rPr>
        <w:t xml:space="preserve">Table </w:t>
      </w:r>
      <w:r w:rsidRPr="00850735">
        <w:rPr>
          <w:color w:val="000000" w:themeColor="text1"/>
          <w:sz w:val="24"/>
          <w:szCs w:val="24"/>
        </w:rPr>
        <w:fldChar w:fldCharType="begin"/>
      </w:r>
      <w:r w:rsidRPr="00850735">
        <w:rPr>
          <w:color w:val="000000" w:themeColor="text1"/>
          <w:sz w:val="24"/>
          <w:szCs w:val="24"/>
        </w:rPr>
        <w:instrText xml:space="preserve"> SEQ Table \* ARABIC </w:instrText>
      </w:r>
      <w:r w:rsidRPr="00850735">
        <w:rPr>
          <w:color w:val="000000" w:themeColor="text1"/>
          <w:sz w:val="24"/>
          <w:szCs w:val="24"/>
        </w:rPr>
        <w:fldChar w:fldCharType="separate"/>
      </w:r>
      <w:r w:rsidRPr="00850735">
        <w:rPr>
          <w:noProof/>
          <w:color w:val="000000" w:themeColor="text1"/>
          <w:sz w:val="24"/>
          <w:szCs w:val="24"/>
        </w:rPr>
        <w:t>6</w:t>
      </w:r>
      <w:r w:rsidRPr="00850735">
        <w:rPr>
          <w:color w:val="000000" w:themeColor="text1"/>
          <w:sz w:val="24"/>
          <w:szCs w:val="24"/>
        </w:rPr>
        <w:fldChar w:fldCharType="end"/>
      </w:r>
      <w:r w:rsidRPr="00850735">
        <w:rPr>
          <w:color w:val="000000" w:themeColor="text1"/>
          <w:sz w:val="24"/>
          <w:szCs w:val="24"/>
        </w:rPr>
        <w:t>: Synovial fluid volume, intima and subintima layer thickness parameters values used for parameter sensitivity analysis investigating the consequences of physiological changes during rheumatoid arthritis disease progression on both methotrexate local and systemic pharmacokinetic.</w:t>
      </w:r>
    </w:p>
    <w:tbl>
      <w:tblPr>
        <w:tblW w:w="8592" w:type="dxa"/>
        <w:jc w:val="center"/>
        <w:tblLook w:val="04A0" w:firstRow="1" w:lastRow="0" w:firstColumn="1" w:lastColumn="0" w:noHBand="0" w:noVBand="1"/>
      </w:tblPr>
      <w:tblGrid>
        <w:gridCol w:w="1774"/>
        <w:gridCol w:w="2300"/>
        <w:gridCol w:w="2102"/>
        <w:gridCol w:w="2416"/>
      </w:tblGrid>
      <w:tr w:rsidR="00850735" w:rsidRPr="00850735" w14:paraId="46441B73" w14:textId="77777777" w:rsidTr="00C953F3">
        <w:trPr>
          <w:trHeight w:val="684"/>
          <w:jc w:val="center"/>
        </w:trPr>
        <w:tc>
          <w:tcPr>
            <w:tcW w:w="1774" w:type="dxa"/>
            <w:tcBorders>
              <w:top w:val="nil"/>
              <w:left w:val="nil"/>
              <w:bottom w:val="single" w:sz="4" w:space="0" w:color="auto"/>
              <w:right w:val="nil"/>
            </w:tcBorders>
            <w:shd w:val="clear" w:color="000000" w:fill="FFFFFF"/>
            <w:noWrap/>
            <w:vAlign w:val="center"/>
            <w:hideMark/>
          </w:tcPr>
          <w:p w14:paraId="0FC0348B"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 </w:t>
            </w:r>
          </w:p>
        </w:tc>
        <w:tc>
          <w:tcPr>
            <w:tcW w:w="2300" w:type="dxa"/>
            <w:tcBorders>
              <w:top w:val="single" w:sz="4" w:space="0" w:color="auto"/>
              <w:left w:val="nil"/>
              <w:bottom w:val="single" w:sz="4" w:space="0" w:color="auto"/>
              <w:right w:val="nil"/>
            </w:tcBorders>
            <w:shd w:val="clear" w:color="000000" w:fill="FFFFFF"/>
            <w:vAlign w:val="center"/>
            <w:hideMark/>
          </w:tcPr>
          <w:p w14:paraId="5BAC7650"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Synovial fluid volume (mL)</w:t>
            </w:r>
          </w:p>
        </w:tc>
        <w:tc>
          <w:tcPr>
            <w:tcW w:w="2102" w:type="dxa"/>
            <w:tcBorders>
              <w:top w:val="single" w:sz="4" w:space="0" w:color="auto"/>
              <w:left w:val="nil"/>
              <w:bottom w:val="single" w:sz="4" w:space="0" w:color="auto"/>
              <w:right w:val="nil"/>
            </w:tcBorders>
            <w:shd w:val="clear" w:color="000000" w:fill="FFFFFF"/>
            <w:vAlign w:val="center"/>
            <w:hideMark/>
          </w:tcPr>
          <w:p w14:paraId="0243AF4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Intima (µm)</w:t>
            </w:r>
          </w:p>
        </w:tc>
        <w:tc>
          <w:tcPr>
            <w:tcW w:w="2416" w:type="dxa"/>
            <w:tcBorders>
              <w:top w:val="single" w:sz="4" w:space="0" w:color="auto"/>
              <w:left w:val="nil"/>
              <w:bottom w:val="single" w:sz="4" w:space="0" w:color="auto"/>
              <w:right w:val="nil"/>
            </w:tcBorders>
            <w:shd w:val="clear" w:color="000000" w:fill="FFFFFF"/>
            <w:vAlign w:val="center"/>
            <w:hideMark/>
          </w:tcPr>
          <w:p w14:paraId="79A83D4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Subintima (µm)</w:t>
            </w:r>
          </w:p>
        </w:tc>
      </w:tr>
      <w:tr w:rsidR="00850735" w:rsidRPr="00850735" w14:paraId="5CBCD8C6" w14:textId="77777777" w:rsidTr="00C953F3">
        <w:trPr>
          <w:trHeight w:val="312"/>
          <w:jc w:val="center"/>
        </w:trPr>
        <w:tc>
          <w:tcPr>
            <w:tcW w:w="1774" w:type="dxa"/>
            <w:tcBorders>
              <w:top w:val="nil"/>
              <w:left w:val="nil"/>
              <w:bottom w:val="nil"/>
              <w:right w:val="nil"/>
            </w:tcBorders>
            <w:shd w:val="clear" w:color="000000" w:fill="FFFFFF"/>
            <w:noWrap/>
            <w:vAlign w:val="center"/>
            <w:hideMark/>
          </w:tcPr>
          <w:p w14:paraId="3DDDD3FC"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healthy</w:t>
            </w:r>
          </w:p>
        </w:tc>
        <w:tc>
          <w:tcPr>
            <w:tcW w:w="2300" w:type="dxa"/>
            <w:tcBorders>
              <w:top w:val="nil"/>
              <w:left w:val="nil"/>
              <w:bottom w:val="nil"/>
              <w:right w:val="nil"/>
            </w:tcBorders>
            <w:shd w:val="clear" w:color="000000" w:fill="FFFFFF"/>
            <w:noWrap/>
            <w:vAlign w:val="center"/>
            <w:hideMark/>
          </w:tcPr>
          <w:p w14:paraId="021A2FC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2.2</w:t>
            </w:r>
          </w:p>
        </w:tc>
        <w:tc>
          <w:tcPr>
            <w:tcW w:w="2102" w:type="dxa"/>
            <w:tcBorders>
              <w:top w:val="nil"/>
              <w:left w:val="nil"/>
              <w:bottom w:val="nil"/>
              <w:right w:val="nil"/>
            </w:tcBorders>
            <w:shd w:val="clear" w:color="000000" w:fill="FFFFFF"/>
            <w:noWrap/>
            <w:vAlign w:val="center"/>
            <w:hideMark/>
          </w:tcPr>
          <w:p w14:paraId="41A7DF34"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18</w:t>
            </w:r>
          </w:p>
        </w:tc>
        <w:tc>
          <w:tcPr>
            <w:tcW w:w="2416" w:type="dxa"/>
            <w:tcBorders>
              <w:top w:val="nil"/>
              <w:left w:val="nil"/>
              <w:bottom w:val="nil"/>
              <w:right w:val="nil"/>
            </w:tcBorders>
            <w:shd w:val="clear" w:color="000000" w:fill="FFFFFF"/>
            <w:noWrap/>
            <w:vAlign w:val="center"/>
            <w:hideMark/>
          </w:tcPr>
          <w:p w14:paraId="602A95AC"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282</w:t>
            </w:r>
          </w:p>
        </w:tc>
      </w:tr>
      <w:tr w:rsidR="00850735" w:rsidRPr="00850735" w14:paraId="5485B08F" w14:textId="77777777" w:rsidTr="00C953F3">
        <w:trPr>
          <w:trHeight w:val="312"/>
          <w:jc w:val="center"/>
        </w:trPr>
        <w:tc>
          <w:tcPr>
            <w:tcW w:w="1774" w:type="dxa"/>
            <w:tcBorders>
              <w:top w:val="nil"/>
              <w:left w:val="nil"/>
              <w:bottom w:val="nil"/>
              <w:right w:val="nil"/>
            </w:tcBorders>
            <w:shd w:val="clear" w:color="000000" w:fill="FFFFFF"/>
            <w:noWrap/>
            <w:vAlign w:val="center"/>
            <w:hideMark/>
          </w:tcPr>
          <w:p w14:paraId="53D51658"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25%</w:t>
            </w:r>
          </w:p>
        </w:tc>
        <w:tc>
          <w:tcPr>
            <w:tcW w:w="2300" w:type="dxa"/>
            <w:tcBorders>
              <w:top w:val="nil"/>
              <w:left w:val="nil"/>
              <w:bottom w:val="nil"/>
              <w:right w:val="nil"/>
            </w:tcBorders>
            <w:shd w:val="clear" w:color="000000" w:fill="FFFFFF"/>
            <w:noWrap/>
            <w:vAlign w:val="center"/>
            <w:hideMark/>
          </w:tcPr>
          <w:p w14:paraId="30C715D2"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7.5</w:t>
            </w:r>
          </w:p>
        </w:tc>
        <w:tc>
          <w:tcPr>
            <w:tcW w:w="2102" w:type="dxa"/>
            <w:tcBorders>
              <w:top w:val="nil"/>
              <w:left w:val="nil"/>
              <w:bottom w:val="nil"/>
              <w:right w:val="nil"/>
            </w:tcBorders>
            <w:shd w:val="clear" w:color="000000" w:fill="FFFFFF"/>
            <w:noWrap/>
            <w:vAlign w:val="center"/>
            <w:hideMark/>
          </w:tcPr>
          <w:p w14:paraId="609CE9AF"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40.5</w:t>
            </w:r>
          </w:p>
        </w:tc>
        <w:tc>
          <w:tcPr>
            <w:tcW w:w="2416" w:type="dxa"/>
            <w:tcBorders>
              <w:top w:val="nil"/>
              <w:left w:val="nil"/>
              <w:bottom w:val="nil"/>
              <w:right w:val="nil"/>
            </w:tcBorders>
            <w:shd w:val="clear" w:color="000000" w:fill="FFFFFF"/>
            <w:noWrap/>
            <w:vAlign w:val="center"/>
            <w:hideMark/>
          </w:tcPr>
          <w:p w14:paraId="7EBDDAF4"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282*</w:t>
            </w:r>
          </w:p>
        </w:tc>
      </w:tr>
      <w:tr w:rsidR="00850735" w:rsidRPr="00850735" w14:paraId="2443E91E" w14:textId="77777777" w:rsidTr="00C953F3">
        <w:trPr>
          <w:trHeight w:val="312"/>
          <w:jc w:val="center"/>
        </w:trPr>
        <w:tc>
          <w:tcPr>
            <w:tcW w:w="1774" w:type="dxa"/>
            <w:tcBorders>
              <w:top w:val="nil"/>
              <w:left w:val="nil"/>
              <w:bottom w:val="nil"/>
              <w:right w:val="nil"/>
            </w:tcBorders>
            <w:shd w:val="clear" w:color="000000" w:fill="FFFFFF"/>
            <w:noWrap/>
            <w:vAlign w:val="center"/>
            <w:hideMark/>
          </w:tcPr>
          <w:p w14:paraId="27D349C6"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50%</w:t>
            </w:r>
          </w:p>
        </w:tc>
        <w:tc>
          <w:tcPr>
            <w:tcW w:w="2300" w:type="dxa"/>
            <w:tcBorders>
              <w:top w:val="nil"/>
              <w:left w:val="nil"/>
              <w:bottom w:val="nil"/>
              <w:right w:val="nil"/>
            </w:tcBorders>
            <w:shd w:val="clear" w:color="000000" w:fill="FFFFFF"/>
            <w:noWrap/>
            <w:vAlign w:val="center"/>
            <w:hideMark/>
          </w:tcPr>
          <w:p w14:paraId="6FC1F304"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15</w:t>
            </w:r>
          </w:p>
        </w:tc>
        <w:tc>
          <w:tcPr>
            <w:tcW w:w="2102" w:type="dxa"/>
            <w:tcBorders>
              <w:top w:val="nil"/>
              <w:left w:val="nil"/>
              <w:bottom w:val="nil"/>
              <w:right w:val="nil"/>
            </w:tcBorders>
            <w:shd w:val="clear" w:color="000000" w:fill="FFFFFF"/>
            <w:noWrap/>
            <w:vAlign w:val="center"/>
            <w:hideMark/>
          </w:tcPr>
          <w:p w14:paraId="7E94C23B"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81</w:t>
            </w:r>
          </w:p>
        </w:tc>
        <w:tc>
          <w:tcPr>
            <w:tcW w:w="2416" w:type="dxa"/>
            <w:tcBorders>
              <w:top w:val="nil"/>
              <w:left w:val="nil"/>
              <w:bottom w:val="nil"/>
              <w:right w:val="nil"/>
            </w:tcBorders>
            <w:shd w:val="clear" w:color="000000" w:fill="FFFFFF"/>
            <w:noWrap/>
            <w:vAlign w:val="center"/>
            <w:hideMark/>
          </w:tcPr>
          <w:p w14:paraId="2BEC534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352.5</w:t>
            </w:r>
          </w:p>
        </w:tc>
      </w:tr>
      <w:tr w:rsidR="00850735" w:rsidRPr="00850735" w14:paraId="221EF749" w14:textId="77777777" w:rsidTr="00C953F3">
        <w:trPr>
          <w:trHeight w:val="312"/>
          <w:jc w:val="center"/>
        </w:trPr>
        <w:tc>
          <w:tcPr>
            <w:tcW w:w="1774" w:type="dxa"/>
            <w:tcBorders>
              <w:top w:val="nil"/>
              <w:left w:val="nil"/>
              <w:bottom w:val="nil"/>
              <w:right w:val="nil"/>
            </w:tcBorders>
            <w:shd w:val="clear" w:color="000000" w:fill="FFFFFF"/>
            <w:noWrap/>
            <w:vAlign w:val="center"/>
            <w:hideMark/>
          </w:tcPr>
          <w:p w14:paraId="5C52F651"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75%</w:t>
            </w:r>
          </w:p>
        </w:tc>
        <w:tc>
          <w:tcPr>
            <w:tcW w:w="2300" w:type="dxa"/>
            <w:tcBorders>
              <w:top w:val="nil"/>
              <w:left w:val="nil"/>
              <w:bottom w:val="nil"/>
              <w:right w:val="nil"/>
            </w:tcBorders>
            <w:shd w:val="clear" w:color="000000" w:fill="FFFFFF"/>
            <w:noWrap/>
            <w:vAlign w:val="center"/>
            <w:hideMark/>
          </w:tcPr>
          <w:p w14:paraId="75C07A22"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22.5</w:t>
            </w:r>
          </w:p>
        </w:tc>
        <w:tc>
          <w:tcPr>
            <w:tcW w:w="2102" w:type="dxa"/>
            <w:tcBorders>
              <w:top w:val="nil"/>
              <w:left w:val="nil"/>
              <w:bottom w:val="nil"/>
              <w:right w:val="nil"/>
            </w:tcBorders>
            <w:shd w:val="clear" w:color="000000" w:fill="FFFFFF"/>
            <w:noWrap/>
            <w:vAlign w:val="center"/>
            <w:hideMark/>
          </w:tcPr>
          <w:p w14:paraId="741A5C17"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121.5</w:t>
            </w:r>
          </w:p>
        </w:tc>
        <w:tc>
          <w:tcPr>
            <w:tcW w:w="2416" w:type="dxa"/>
            <w:tcBorders>
              <w:top w:val="nil"/>
              <w:left w:val="nil"/>
              <w:bottom w:val="nil"/>
              <w:right w:val="nil"/>
            </w:tcBorders>
            <w:shd w:val="clear" w:color="000000" w:fill="FFFFFF"/>
            <w:noWrap/>
            <w:vAlign w:val="center"/>
            <w:hideMark/>
          </w:tcPr>
          <w:p w14:paraId="324BD45E"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528.75</w:t>
            </w:r>
          </w:p>
        </w:tc>
      </w:tr>
      <w:tr w:rsidR="00850735" w:rsidRPr="00850735" w14:paraId="33BB221D" w14:textId="77777777" w:rsidTr="00C953F3">
        <w:trPr>
          <w:trHeight w:val="312"/>
          <w:jc w:val="center"/>
        </w:trPr>
        <w:tc>
          <w:tcPr>
            <w:tcW w:w="1774" w:type="dxa"/>
            <w:tcBorders>
              <w:top w:val="nil"/>
              <w:left w:val="nil"/>
              <w:bottom w:val="single" w:sz="4" w:space="0" w:color="auto"/>
              <w:right w:val="nil"/>
            </w:tcBorders>
            <w:shd w:val="clear" w:color="000000" w:fill="FFFFFF"/>
            <w:noWrap/>
            <w:vAlign w:val="center"/>
            <w:hideMark/>
          </w:tcPr>
          <w:p w14:paraId="19017CE5"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100%</w:t>
            </w:r>
          </w:p>
        </w:tc>
        <w:tc>
          <w:tcPr>
            <w:tcW w:w="2300" w:type="dxa"/>
            <w:tcBorders>
              <w:top w:val="nil"/>
              <w:left w:val="nil"/>
              <w:bottom w:val="single" w:sz="4" w:space="0" w:color="auto"/>
              <w:right w:val="nil"/>
            </w:tcBorders>
            <w:shd w:val="clear" w:color="000000" w:fill="FFFFFF"/>
            <w:noWrap/>
            <w:vAlign w:val="center"/>
            <w:hideMark/>
          </w:tcPr>
          <w:p w14:paraId="69211AB5"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30</w:t>
            </w:r>
          </w:p>
        </w:tc>
        <w:tc>
          <w:tcPr>
            <w:tcW w:w="2102" w:type="dxa"/>
            <w:tcBorders>
              <w:top w:val="nil"/>
              <w:left w:val="nil"/>
              <w:bottom w:val="single" w:sz="4" w:space="0" w:color="auto"/>
              <w:right w:val="nil"/>
            </w:tcBorders>
            <w:shd w:val="clear" w:color="000000" w:fill="FFFFFF"/>
            <w:noWrap/>
            <w:vAlign w:val="center"/>
            <w:hideMark/>
          </w:tcPr>
          <w:p w14:paraId="360A7077"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162</w:t>
            </w:r>
          </w:p>
        </w:tc>
        <w:tc>
          <w:tcPr>
            <w:tcW w:w="2416" w:type="dxa"/>
            <w:tcBorders>
              <w:top w:val="nil"/>
              <w:left w:val="nil"/>
              <w:bottom w:val="single" w:sz="4" w:space="0" w:color="auto"/>
              <w:right w:val="nil"/>
            </w:tcBorders>
            <w:shd w:val="clear" w:color="000000" w:fill="FFFFFF"/>
            <w:noWrap/>
            <w:vAlign w:val="center"/>
            <w:hideMark/>
          </w:tcPr>
          <w:p w14:paraId="49894F7C"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705</w:t>
            </w:r>
          </w:p>
        </w:tc>
      </w:tr>
      <w:tr w:rsidR="00850735" w:rsidRPr="00850735" w14:paraId="1DF6FCC7" w14:textId="77777777" w:rsidTr="00C953F3">
        <w:trPr>
          <w:trHeight w:val="312"/>
          <w:jc w:val="center"/>
        </w:trPr>
        <w:tc>
          <w:tcPr>
            <w:tcW w:w="8592" w:type="dxa"/>
            <w:gridSpan w:val="4"/>
            <w:tcBorders>
              <w:top w:val="single" w:sz="4" w:space="0" w:color="auto"/>
              <w:left w:val="nil"/>
              <w:bottom w:val="nil"/>
              <w:right w:val="nil"/>
            </w:tcBorders>
            <w:shd w:val="clear" w:color="000000" w:fill="FFFFFF"/>
            <w:noWrap/>
            <w:vAlign w:val="center"/>
            <w:hideMark/>
          </w:tcPr>
          <w:p w14:paraId="2D1872C0" w14:textId="77777777" w:rsidR="004003B0" w:rsidRPr="00850735" w:rsidRDefault="004003B0" w:rsidP="00C953F3">
            <w:pPr>
              <w:spacing w:before="0" w:after="0" w:line="240" w:lineRule="auto"/>
              <w:jc w:val="left"/>
              <w:rPr>
                <w:rFonts w:eastAsia="Times New Roman" w:cs="Times New Roman"/>
                <w:color w:val="000000" w:themeColor="text1"/>
                <w:szCs w:val="24"/>
              </w:rPr>
            </w:pPr>
            <w:r w:rsidRPr="00850735">
              <w:rPr>
                <w:rFonts w:eastAsia="Times New Roman" w:cs="Times New Roman"/>
                <w:color w:val="000000" w:themeColor="text1"/>
                <w:szCs w:val="24"/>
              </w:rPr>
              <w:t>*minimum value of 282. Initial stages of rheumatoid arthritis only affect the intima layer.</w:t>
            </w:r>
          </w:p>
        </w:tc>
      </w:tr>
    </w:tbl>
    <w:p w14:paraId="274C2DA5" w14:textId="77777777" w:rsidR="004003B0" w:rsidRPr="00850735" w:rsidRDefault="004003B0" w:rsidP="004003B0">
      <w:pPr>
        <w:rPr>
          <w:color w:val="000000" w:themeColor="text1"/>
        </w:rPr>
      </w:pPr>
    </w:p>
    <w:p w14:paraId="307FD421" w14:textId="77777777" w:rsidR="004003B0" w:rsidRPr="00850735" w:rsidRDefault="004003B0" w:rsidP="004003B0">
      <w:pPr>
        <w:pStyle w:val="Caption"/>
        <w:keepNext/>
        <w:rPr>
          <w:color w:val="000000" w:themeColor="text1"/>
          <w:sz w:val="24"/>
          <w:szCs w:val="24"/>
        </w:rPr>
      </w:pPr>
      <w:r w:rsidRPr="00850735">
        <w:rPr>
          <w:color w:val="000000" w:themeColor="text1"/>
          <w:sz w:val="24"/>
          <w:szCs w:val="24"/>
        </w:rPr>
        <w:t xml:space="preserve">Table </w:t>
      </w:r>
      <w:r w:rsidRPr="00850735">
        <w:rPr>
          <w:color w:val="000000" w:themeColor="text1"/>
          <w:sz w:val="24"/>
          <w:szCs w:val="24"/>
        </w:rPr>
        <w:fldChar w:fldCharType="begin"/>
      </w:r>
      <w:r w:rsidRPr="00850735">
        <w:rPr>
          <w:color w:val="000000" w:themeColor="text1"/>
          <w:sz w:val="24"/>
          <w:szCs w:val="24"/>
        </w:rPr>
        <w:instrText xml:space="preserve"> SEQ Table \* ARABIC </w:instrText>
      </w:r>
      <w:r w:rsidRPr="00850735">
        <w:rPr>
          <w:color w:val="000000" w:themeColor="text1"/>
          <w:sz w:val="24"/>
          <w:szCs w:val="24"/>
        </w:rPr>
        <w:fldChar w:fldCharType="separate"/>
      </w:r>
      <w:r w:rsidRPr="00850735">
        <w:rPr>
          <w:noProof/>
          <w:color w:val="000000" w:themeColor="text1"/>
          <w:sz w:val="24"/>
          <w:szCs w:val="24"/>
        </w:rPr>
        <w:t>7</w:t>
      </w:r>
      <w:r w:rsidRPr="00850735">
        <w:rPr>
          <w:color w:val="000000" w:themeColor="text1"/>
          <w:sz w:val="24"/>
          <w:szCs w:val="24"/>
        </w:rPr>
        <w:fldChar w:fldCharType="end"/>
      </w:r>
      <w:r w:rsidRPr="00850735">
        <w:rPr>
          <w:color w:val="000000" w:themeColor="text1"/>
          <w:sz w:val="24"/>
          <w:szCs w:val="24"/>
        </w:rPr>
        <w:t>: Synovial fluid volume, intima and subintima layer thickness parameters values used for parameter sensitivity analysis investigating the impact of knee joint physiological changes on methotrexate local and systemic exposure.</w:t>
      </w:r>
    </w:p>
    <w:tbl>
      <w:tblPr>
        <w:tblW w:w="6980" w:type="dxa"/>
        <w:jc w:val="center"/>
        <w:tblLook w:val="04A0" w:firstRow="1" w:lastRow="0" w:firstColumn="1" w:lastColumn="0" w:noHBand="0" w:noVBand="1"/>
      </w:tblPr>
      <w:tblGrid>
        <w:gridCol w:w="1800"/>
        <w:gridCol w:w="1630"/>
        <w:gridCol w:w="1774"/>
        <w:gridCol w:w="1776"/>
      </w:tblGrid>
      <w:tr w:rsidR="00850735" w:rsidRPr="00850735" w14:paraId="62310DF1" w14:textId="77777777" w:rsidTr="00C953F3">
        <w:trPr>
          <w:trHeight w:val="684"/>
          <w:jc w:val="center"/>
        </w:trPr>
        <w:tc>
          <w:tcPr>
            <w:tcW w:w="1800" w:type="dxa"/>
            <w:tcBorders>
              <w:top w:val="nil"/>
              <w:left w:val="nil"/>
              <w:bottom w:val="single" w:sz="4" w:space="0" w:color="auto"/>
              <w:right w:val="nil"/>
            </w:tcBorders>
            <w:shd w:val="clear" w:color="000000" w:fill="FFFFFF"/>
            <w:noWrap/>
            <w:vAlign w:val="center"/>
            <w:hideMark/>
          </w:tcPr>
          <w:p w14:paraId="32F9D0E1"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 </w:t>
            </w:r>
          </w:p>
        </w:tc>
        <w:tc>
          <w:tcPr>
            <w:tcW w:w="1630" w:type="dxa"/>
            <w:tcBorders>
              <w:top w:val="single" w:sz="4" w:space="0" w:color="auto"/>
              <w:left w:val="nil"/>
              <w:bottom w:val="single" w:sz="4" w:space="0" w:color="auto"/>
              <w:right w:val="nil"/>
            </w:tcBorders>
            <w:shd w:val="clear" w:color="000000" w:fill="FFFFFF"/>
            <w:vAlign w:val="center"/>
            <w:hideMark/>
          </w:tcPr>
          <w:p w14:paraId="34CF07E1"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Synovial fluid volume (mL)</w:t>
            </w:r>
          </w:p>
        </w:tc>
        <w:tc>
          <w:tcPr>
            <w:tcW w:w="1774" w:type="dxa"/>
            <w:tcBorders>
              <w:top w:val="single" w:sz="4" w:space="0" w:color="auto"/>
              <w:left w:val="nil"/>
              <w:bottom w:val="single" w:sz="4" w:space="0" w:color="auto"/>
              <w:right w:val="nil"/>
            </w:tcBorders>
            <w:shd w:val="clear" w:color="000000" w:fill="FFFFFF"/>
            <w:vAlign w:val="center"/>
            <w:hideMark/>
          </w:tcPr>
          <w:p w14:paraId="056E08CD"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Intima (µm)</w:t>
            </w:r>
          </w:p>
        </w:tc>
        <w:tc>
          <w:tcPr>
            <w:tcW w:w="1776" w:type="dxa"/>
            <w:tcBorders>
              <w:top w:val="single" w:sz="4" w:space="0" w:color="auto"/>
              <w:left w:val="nil"/>
              <w:bottom w:val="single" w:sz="4" w:space="0" w:color="auto"/>
              <w:right w:val="nil"/>
            </w:tcBorders>
            <w:shd w:val="clear" w:color="000000" w:fill="FFFFFF"/>
            <w:vAlign w:val="center"/>
            <w:hideMark/>
          </w:tcPr>
          <w:p w14:paraId="69544D94"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Subintima (µm)</w:t>
            </w:r>
          </w:p>
        </w:tc>
      </w:tr>
      <w:tr w:rsidR="00850735" w:rsidRPr="00850735" w14:paraId="5C9FDDD9" w14:textId="77777777" w:rsidTr="00C953F3">
        <w:trPr>
          <w:trHeight w:val="312"/>
          <w:jc w:val="center"/>
        </w:trPr>
        <w:tc>
          <w:tcPr>
            <w:tcW w:w="1800" w:type="dxa"/>
            <w:tcBorders>
              <w:top w:val="nil"/>
              <w:left w:val="nil"/>
              <w:bottom w:val="nil"/>
              <w:right w:val="nil"/>
            </w:tcBorders>
            <w:shd w:val="clear" w:color="000000" w:fill="FFFFFF"/>
            <w:noWrap/>
            <w:vAlign w:val="center"/>
            <w:hideMark/>
          </w:tcPr>
          <w:p w14:paraId="0EF0B4F7"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healthy</w:t>
            </w:r>
          </w:p>
        </w:tc>
        <w:tc>
          <w:tcPr>
            <w:tcW w:w="1630" w:type="dxa"/>
            <w:tcBorders>
              <w:top w:val="nil"/>
              <w:left w:val="nil"/>
              <w:bottom w:val="nil"/>
              <w:right w:val="nil"/>
            </w:tcBorders>
            <w:shd w:val="clear" w:color="000000" w:fill="FFFFFF"/>
            <w:noWrap/>
            <w:vAlign w:val="center"/>
            <w:hideMark/>
          </w:tcPr>
          <w:p w14:paraId="435B161C"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2.2</w:t>
            </w:r>
          </w:p>
        </w:tc>
        <w:tc>
          <w:tcPr>
            <w:tcW w:w="1774" w:type="dxa"/>
            <w:tcBorders>
              <w:top w:val="nil"/>
              <w:left w:val="nil"/>
              <w:bottom w:val="nil"/>
              <w:right w:val="nil"/>
            </w:tcBorders>
            <w:shd w:val="clear" w:color="000000" w:fill="FFFFFF"/>
            <w:noWrap/>
            <w:vAlign w:val="center"/>
            <w:hideMark/>
          </w:tcPr>
          <w:p w14:paraId="186C1AB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18</w:t>
            </w:r>
          </w:p>
        </w:tc>
        <w:tc>
          <w:tcPr>
            <w:tcW w:w="1776" w:type="dxa"/>
            <w:tcBorders>
              <w:top w:val="nil"/>
              <w:left w:val="nil"/>
              <w:bottom w:val="nil"/>
              <w:right w:val="nil"/>
            </w:tcBorders>
            <w:shd w:val="clear" w:color="000000" w:fill="FFFFFF"/>
            <w:noWrap/>
            <w:vAlign w:val="center"/>
            <w:hideMark/>
          </w:tcPr>
          <w:p w14:paraId="0649E9ED"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282</w:t>
            </w:r>
          </w:p>
        </w:tc>
      </w:tr>
      <w:tr w:rsidR="00850735" w:rsidRPr="00850735" w14:paraId="6D98626F" w14:textId="77777777" w:rsidTr="00C953F3">
        <w:trPr>
          <w:trHeight w:val="312"/>
          <w:jc w:val="center"/>
        </w:trPr>
        <w:tc>
          <w:tcPr>
            <w:tcW w:w="1800" w:type="dxa"/>
            <w:tcBorders>
              <w:top w:val="nil"/>
              <w:left w:val="nil"/>
              <w:bottom w:val="nil"/>
              <w:right w:val="nil"/>
            </w:tcBorders>
            <w:shd w:val="clear" w:color="000000" w:fill="FFFFFF"/>
            <w:noWrap/>
            <w:vAlign w:val="center"/>
            <w:hideMark/>
          </w:tcPr>
          <w:p w14:paraId="7C0EA2DF"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test 1</w:t>
            </w:r>
          </w:p>
        </w:tc>
        <w:tc>
          <w:tcPr>
            <w:tcW w:w="1630" w:type="dxa"/>
            <w:tcBorders>
              <w:top w:val="nil"/>
              <w:left w:val="nil"/>
              <w:bottom w:val="nil"/>
              <w:right w:val="nil"/>
            </w:tcBorders>
            <w:shd w:val="clear" w:color="000000" w:fill="FFFFFF"/>
            <w:noWrap/>
            <w:vAlign w:val="center"/>
            <w:hideMark/>
          </w:tcPr>
          <w:p w14:paraId="588B4B6F"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4.4</w:t>
            </w:r>
          </w:p>
        </w:tc>
        <w:tc>
          <w:tcPr>
            <w:tcW w:w="1774" w:type="dxa"/>
            <w:tcBorders>
              <w:top w:val="nil"/>
              <w:left w:val="nil"/>
              <w:bottom w:val="nil"/>
              <w:right w:val="nil"/>
            </w:tcBorders>
            <w:shd w:val="clear" w:color="000000" w:fill="FFFFFF"/>
            <w:noWrap/>
            <w:vAlign w:val="center"/>
            <w:hideMark/>
          </w:tcPr>
          <w:p w14:paraId="72D9B611"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40</w:t>
            </w:r>
          </w:p>
        </w:tc>
        <w:tc>
          <w:tcPr>
            <w:tcW w:w="1776" w:type="dxa"/>
            <w:tcBorders>
              <w:top w:val="nil"/>
              <w:left w:val="nil"/>
              <w:bottom w:val="nil"/>
              <w:right w:val="nil"/>
            </w:tcBorders>
            <w:shd w:val="clear" w:color="000000" w:fill="FFFFFF"/>
            <w:noWrap/>
            <w:vAlign w:val="center"/>
            <w:hideMark/>
          </w:tcPr>
          <w:p w14:paraId="252A94BA"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350</w:t>
            </w:r>
          </w:p>
        </w:tc>
      </w:tr>
      <w:tr w:rsidR="00850735" w:rsidRPr="00850735" w14:paraId="6CC9CC4D" w14:textId="77777777" w:rsidTr="00C953F3">
        <w:trPr>
          <w:trHeight w:val="312"/>
          <w:jc w:val="center"/>
        </w:trPr>
        <w:tc>
          <w:tcPr>
            <w:tcW w:w="1800" w:type="dxa"/>
            <w:tcBorders>
              <w:top w:val="nil"/>
              <w:left w:val="nil"/>
              <w:bottom w:val="nil"/>
              <w:right w:val="nil"/>
            </w:tcBorders>
            <w:shd w:val="clear" w:color="000000" w:fill="FFFFFF"/>
            <w:noWrap/>
            <w:vAlign w:val="center"/>
            <w:hideMark/>
          </w:tcPr>
          <w:p w14:paraId="0A052561"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test 2</w:t>
            </w:r>
          </w:p>
        </w:tc>
        <w:tc>
          <w:tcPr>
            <w:tcW w:w="1630" w:type="dxa"/>
            <w:tcBorders>
              <w:top w:val="nil"/>
              <w:left w:val="nil"/>
              <w:bottom w:val="nil"/>
              <w:right w:val="nil"/>
            </w:tcBorders>
            <w:shd w:val="clear" w:color="000000" w:fill="FFFFFF"/>
            <w:noWrap/>
            <w:vAlign w:val="center"/>
            <w:hideMark/>
          </w:tcPr>
          <w:p w14:paraId="0277A0D5"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8.8</w:t>
            </w:r>
          </w:p>
        </w:tc>
        <w:tc>
          <w:tcPr>
            <w:tcW w:w="1774" w:type="dxa"/>
            <w:tcBorders>
              <w:top w:val="nil"/>
              <w:left w:val="nil"/>
              <w:bottom w:val="nil"/>
              <w:right w:val="nil"/>
            </w:tcBorders>
            <w:shd w:val="clear" w:color="000000" w:fill="FFFFFF"/>
            <w:noWrap/>
            <w:vAlign w:val="center"/>
            <w:hideMark/>
          </w:tcPr>
          <w:p w14:paraId="4261AD66"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60</w:t>
            </w:r>
          </w:p>
        </w:tc>
        <w:tc>
          <w:tcPr>
            <w:tcW w:w="1776" w:type="dxa"/>
            <w:tcBorders>
              <w:top w:val="nil"/>
              <w:left w:val="nil"/>
              <w:bottom w:val="nil"/>
              <w:right w:val="nil"/>
            </w:tcBorders>
            <w:shd w:val="clear" w:color="000000" w:fill="FFFFFF"/>
            <w:noWrap/>
            <w:vAlign w:val="center"/>
            <w:hideMark/>
          </w:tcPr>
          <w:p w14:paraId="3845E75E"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450</w:t>
            </w:r>
          </w:p>
        </w:tc>
      </w:tr>
      <w:tr w:rsidR="00850735" w:rsidRPr="00850735" w14:paraId="7E50E40B" w14:textId="77777777" w:rsidTr="00C953F3">
        <w:trPr>
          <w:trHeight w:val="312"/>
          <w:jc w:val="center"/>
        </w:trPr>
        <w:tc>
          <w:tcPr>
            <w:tcW w:w="1800" w:type="dxa"/>
            <w:tcBorders>
              <w:top w:val="nil"/>
              <w:left w:val="nil"/>
              <w:bottom w:val="nil"/>
              <w:right w:val="nil"/>
            </w:tcBorders>
            <w:shd w:val="clear" w:color="000000" w:fill="FFFFFF"/>
            <w:noWrap/>
            <w:vAlign w:val="center"/>
            <w:hideMark/>
          </w:tcPr>
          <w:p w14:paraId="14AF86EF"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test 3</w:t>
            </w:r>
          </w:p>
        </w:tc>
        <w:tc>
          <w:tcPr>
            <w:tcW w:w="1630" w:type="dxa"/>
            <w:tcBorders>
              <w:top w:val="nil"/>
              <w:left w:val="nil"/>
              <w:bottom w:val="nil"/>
              <w:right w:val="nil"/>
            </w:tcBorders>
            <w:shd w:val="clear" w:color="000000" w:fill="FFFFFF"/>
            <w:noWrap/>
            <w:vAlign w:val="center"/>
            <w:hideMark/>
          </w:tcPr>
          <w:p w14:paraId="2CD8341A"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15</w:t>
            </w:r>
          </w:p>
        </w:tc>
        <w:tc>
          <w:tcPr>
            <w:tcW w:w="1774" w:type="dxa"/>
            <w:tcBorders>
              <w:top w:val="nil"/>
              <w:left w:val="nil"/>
              <w:bottom w:val="nil"/>
              <w:right w:val="nil"/>
            </w:tcBorders>
            <w:shd w:val="clear" w:color="000000" w:fill="FFFFFF"/>
            <w:noWrap/>
            <w:vAlign w:val="center"/>
            <w:hideMark/>
          </w:tcPr>
          <w:p w14:paraId="7D53828A"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90</w:t>
            </w:r>
          </w:p>
        </w:tc>
        <w:tc>
          <w:tcPr>
            <w:tcW w:w="1776" w:type="dxa"/>
            <w:tcBorders>
              <w:top w:val="nil"/>
              <w:left w:val="nil"/>
              <w:bottom w:val="nil"/>
              <w:right w:val="nil"/>
            </w:tcBorders>
            <w:shd w:val="clear" w:color="000000" w:fill="FFFFFF"/>
            <w:noWrap/>
            <w:vAlign w:val="center"/>
            <w:hideMark/>
          </w:tcPr>
          <w:p w14:paraId="07C3D1B6"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600</w:t>
            </w:r>
          </w:p>
        </w:tc>
      </w:tr>
      <w:tr w:rsidR="00850735" w:rsidRPr="00850735" w14:paraId="6F7C1412" w14:textId="77777777" w:rsidTr="00C953F3">
        <w:trPr>
          <w:trHeight w:val="312"/>
          <w:jc w:val="center"/>
        </w:trPr>
        <w:tc>
          <w:tcPr>
            <w:tcW w:w="1800" w:type="dxa"/>
            <w:tcBorders>
              <w:top w:val="nil"/>
              <w:left w:val="nil"/>
              <w:bottom w:val="nil"/>
              <w:right w:val="nil"/>
            </w:tcBorders>
            <w:shd w:val="clear" w:color="000000" w:fill="FFFFFF"/>
            <w:noWrap/>
            <w:vAlign w:val="center"/>
            <w:hideMark/>
          </w:tcPr>
          <w:p w14:paraId="00496B4B"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RA parameters</w:t>
            </w:r>
          </w:p>
        </w:tc>
        <w:tc>
          <w:tcPr>
            <w:tcW w:w="1630" w:type="dxa"/>
            <w:tcBorders>
              <w:top w:val="nil"/>
              <w:left w:val="nil"/>
              <w:bottom w:val="nil"/>
              <w:right w:val="nil"/>
            </w:tcBorders>
            <w:shd w:val="clear" w:color="000000" w:fill="FFFFFF"/>
            <w:noWrap/>
            <w:vAlign w:val="center"/>
            <w:hideMark/>
          </w:tcPr>
          <w:p w14:paraId="1BA5C1F0"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30</w:t>
            </w:r>
          </w:p>
        </w:tc>
        <w:tc>
          <w:tcPr>
            <w:tcW w:w="1774" w:type="dxa"/>
            <w:tcBorders>
              <w:top w:val="nil"/>
              <w:left w:val="nil"/>
              <w:bottom w:val="nil"/>
              <w:right w:val="nil"/>
            </w:tcBorders>
            <w:shd w:val="clear" w:color="000000" w:fill="FFFFFF"/>
            <w:noWrap/>
            <w:vAlign w:val="center"/>
            <w:hideMark/>
          </w:tcPr>
          <w:p w14:paraId="410DD5AD"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162</w:t>
            </w:r>
          </w:p>
        </w:tc>
        <w:tc>
          <w:tcPr>
            <w:tcW w:w="1776" w:type="dxa"/>
            <w:tcBorders>
              <w:top w:val="nil"/>
              <w:left w:val="nil"/>
              <w:bottom w:val="nil"/>
              <w:right w:val="nil"/>
            </w:tcBorders>
            <w:shd w:val="clear" w:color="000000" w:fill="FFFFFF"/>
            <w:noWrap/>
            <w:vAlign w:val="center"/>
            <w:hideMark/>
          </w:tcPr>
          <w:p w14:paraId="4ACB2CA2"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705</w:t>
            </w:r>
          </w:p>
        </w:tc>
      </w:tr>
      <w:tr w:rsidR="00850735" w:rsidRPr="00850735" w14:paraId="26FEC2E8" w14:textId="77777777" w:rsidTr="00C953F3">
        <w:trPr>
          <w:trHeight w:val="312"/>
          <w:jc w:val="center"/>
        </w:trPr>
        <w:tc>
          <w:tcPr>
            <w:tcW w:w="1800" w:type="dxa"/>
            <w:tcBorders>
              <w:top w:val="nil"/>
              <w:left w:val="nil"/>
              <w:bottom w:val="single" w:sz="4" w:space="0" w:color="auto"/>
              <w:right w:val="nil"/>
            </w:tcBorders>
            <w:shd w:val="clear" w:color="000000" w:fill="FFFFFF"/>
            <w:noWrap/>
            <w:vAlign w:val="center"/>
            <w:hideMark/>
          </w:tcPr>
          <w:p w14:paraId="061AF2D9" w14:textId="77777777" w:rsidR="004003B0" w:rsidRPr="00850735" w:rsidRDefault="004003B0" w:rsidP="00C953F3">
            <w:pPr>
              <w:spacing w:before="0" w:after="0" w:line="240" w:lineRule="auto"/>
              <w:jc w:val="right"/>
              <w:rPr>
                <w:rFonts w:eastAsia="Times New Roman" w:cs="Times New Roman"/>
                <w:i/>
                <w:iCs/>
                <w:color w:val="000000" w:themeColor="text1"/>
                <w:szCs w:val="24"/>
              </w:rPr>
            </w:pPr>
            <w:r w:rsidRPr="00850735">
              <w:rPr>
                <w:rFonts w:eastAsia="Times New Roman" w:cs="Times New Roman"/>
                <w:i/>
                <w:iCs/>
                <w:color w:val="000000" w:themeColor="text1"/>
                <w:szCs w:val="24"/>
              </w:rPr>
              <w:t>test 4</w:t>
            </w:r>
          </w:p>
        </w:tc>
        <w:tc>
          <w:tcPr>
            <w:tcW w:w="1630" w:type="dxa"/>
            <w:tcBorders>
              <w:top w:val="nil"/>
              <w:left w:val="nil"/>
              <w:bottom w:val="single" w:sz="4" w:space="0" w:color="auto"/>
              <w:right w:val="nil"/>
            </w:tcBorders>
            <w:shd w:val="clear" w:color="000000" w:fill="FFFFFF"/>
            <w:noWrap/>
            <w:vAlign w:val="center"/>
            <w:hideMark/>
          </w:tcPr>
          <w:p w14:paraId="52E32F7F"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60</w:t>
            </w:r>
          </w:p>
        </w:tc>
        <w:tc>
          <w:tcPr>
            <w:tcW w:w="1774" w:type="dxa"/>
            <w:tcBorders>
              <w:top w:val="nil"/>
              <w:left w:val="nil"/>
              <w:bottom w:val="single" w:sz="4" w:space="0" w:color="auto"/>
              <w:right w:val="nil"/>
            </w:tcBorders>
            <w:shd w:val="clear" w:color="000000" w:fill="FFFFFF"/>
            <w:noWrap/>
            <w:vAlign w:val="center"/>
            <w:hideMark/>
          </w:tcPr>
          <w:p w14:paraId="70A1EB9B"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300</w:t>
            </w:r>
          </w:p>
        </w:tc>
        <w:tc>
          <w:tcPr>
            <w:tcW w:w="1776" w:type="dxa"/>
            <w:tcBorders>
              <w:top w:val="nil"/>
              <w:left w:val="nil"/>
              <w:bottom w:val="single" w:sz="4" w:space="0" w:color="auto"/>
              <w:right w:val="nil"/>
            </w:tcBorders>
            <w:shd w:val="clear" w:color="000000" w:fill="FFFFFF"/>
            <w:noWrap/>
            <w:vAlign w:val="center"/>
            <w:hideMark/>
          </w:tcPr>
          <w:p w14:paraId="0ED89CA9" w14:textId="77777777" w:rsidR="004003B0" w:rsidRPr="00850735" w:rsidRDefault="004003B0" w:rsidP="00C953F3">
            <w:pPr>
              <w:spacing w:before="0" w:after="0" w:line="240" w:lineRule="auto"/>
              <w:jc w:val="center"/>
              <w:rPr>
                <w:rFonts w:eastAsia="Times New Roman" w:cs="Times New Roman"/>
                <w:color w:val="000000" w:themeColor="text1"/>
                <w:szCs w:val="24"/>
              </w:rPr>
            </w:pPr>
            <w:r w:rsidRPr="00850735">
              <w:rPr>
                <w:rFonts w:eastAsia="Times New Roman" w:cs="Times New Roman"/>
                <w:color w:val="000000" w:themeColor="text1"/>
                <w:szCs w:val="24"/>
              </w:rPr>
              <w:t>1200</w:t>
            </w:r>
          </w:p>
        </w:tc>
      </w:tr>
    </w:tbl>
    <w:p w14:paraId="16880B03" w14:textId="77777777" w:rsidR="004003B0" w:rsidRPr="00850735" w:rsidRDefault="004003B0" w:rsidP="004003B0">
      <w:pPr>
        <w:spacing w:before="0" w:after="160"/>
        <w:jc w:val="left"/>
        <w:rPr>
          <w:b/>
          <w:bCs/>
          <w:color w:val="000000" w:themeColor="text1"/>
        </w:rPr>
      </w:pPr>
    </w:p>
    <w:bookmarkEnd w:id="0"/>
    <w:p w14:paraId="0F30AA96" w14:textId="77777777" w:rsidR="004003B0" w:rsidRPr="00850735" w:rsidRDefault="004003B0">
      <w:pPr>
        <w:rPr>
          <w:color w:val="000000" w:themeColor="text1"/>
        </w:rPr>
      </w:pPr>
    </w:p>
    <w:sectPr w:rsidR="004003B0" w:rsidRPr="00850735" w:rsidSect="0085073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52411" w14:textId="77777777" w:rsidR="00000000" w:rsidRDefault="00850735">
      <w:pPr>
        <w:spacing w:before="0" w:after="0" w:line="240" w:lineRule="auto"/>
      </w:pPr>
      <w:r>
        <w:separator/>
      </w:r>
    </w:p>
  </w:endnote>
  <w:endnote w:type="continuationSeparator" w:id="0">
    <w:p w14:paraId="3705FE7E" w14:textId="77777777" w:rsidR="00000000" w:rsidRDefault="0085073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wbcvwAdvTT1a8fcafc">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556619"/>
      <w:docPartObj>
        <w:docPartGallery w:val="Page Numbers (Bottom of Page)"/>
        <w:docPartUnique/>
      </w:docPartObj>
    </w:sdtPr>
    <w:sdtEndPr>
      <w:rPr>
        <w:noProof/>
      </w:rPr>
    </w:sdtEndPr>
    <w:sdtContent>
      <w:p w14:paraId="7C1B2590" w14:textId="77777777" w:rsidR="00141379" w:rsidRDefault="00850735">
        <w:pPr>
          <w:pStyle w:val="Footer"/>
          <w:jc w:val="right"/>
        </w:pPr>
      </w:p>
      <w:p w14:paraId="387CFD59" w14:textId="77777777" w:rsidR="00141379" w:rsidRDefault="004003B0">
        <w:pPr>
          <w:pStyle w:val="Footer"/>
          <w:jc w:val="right"/>
        </w:pPr>
        <w:r>
          <w:fldChar w:fldCharType="begin"/>
        </w:r>
        <w:r>
          <w:instrText xml:space="preserve"> PAGE   \* MERGEFORMAT </w:instrText>
        </w:r>
        <w:r>
          <w:fldChar w:fldCharType="separate"/>
        </w:r>
        <w:r w:rsidR="00850735">
          <w:rPr>
            <w:noProof/>
          </w:rPr>
          <w:t>1</w:t>
        </w:r>
        <w:r>
          <w:rPr>
            <w:noProof/>
          </w:rPr>
          <w:fldChar w:fldCharType="end"/>
        </w:r>
      </w:p>
    </w:sdtContent>
  </w:sdt>
  <w:p w14:paraId="2E1018DF" w14:textId="77777777" w:rsidR="00141379" w:rsidRDefault="008507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B9D96" w14:textId="77777777" w:rsidR="00000000" w:rsidRDefault="00850735">
      <w:pPr>
        <w:spacing w:before="0" w:after="0" w:line="240" w:lineRule="auto"/>
      </w:pPr>
      <w:r>
        <w:separator/>
      </w:r>
    </w:p>
  </w:footnote>
  <w:footnote w:type="continuationSeparator" w:id="0">
    <w:p w14:paraId="5E95425A" w14:textId="77777777" w:rsidR="00000000" w:rsidRDefault="00850735">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3B0"/>
    <w:rsid w:val="004003B0"/>
    <w:rsid w:val="0085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6934"/>
  <w15:chartTrackingRefBased/>
  <w15:docId w15:val="{3164FC49-E196-4AB7-AD4B-19A614793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3B0"/>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003B0"/>
    <w:pPr>
      <w:spacing w:after="200" w:line="240" w:lineRule="auto"/>
    </w:pPr>
    <w:rPr>
      <w:i/>
      <w:iCs/>
      <w:color w:val="44546A" w:themeColor="text2"/>
      <w:sz w:val="18"/>
      <w:szCs w:val="18"/>
    </w:rPr>
  </w:style>
  <w:style w:type="paragraph" w:customStyle="1" w:styleId="StyleTitlePage20pt">
    <w:name w:val="Style TitlePage + 20 pt"/>
    <w:basedOn w:val="Normal"/>
    <w:qFormat/>
    <w:rsid w:val="004003B0"/>
    <w:pPr>
      <w:suppressAutoHyphens/>
      <w:spacing w:after="0" w:line="240" w:lineRule="auto"/>
      <w:jc w:val="center"/>
    </w:pPr>
    <w:rPr>
      <w:rFonts w:eastAsia="Times New Roman" w:cs="Times New Roman"/>
      <w:b/>
      <w:sz w:val="40"/>
      <w:szCs w:val="20"/>
    </w:rPr>
  </w:style>
  <w:style w:type="character" w:styleId="Hyperlink">
    <w:name w:val="Hyperlink"/>
    <w:basedOn w:val="DefaultParagraphFont"/>
    <w:uiPriority w:val="99"/>
    <w:unhideWhenUsed/>
    <w:rsid w:val="004003B0"/>
    <w:rPr>
      <w:color w:val="0563C1" w:themeColor="hyperlink"/>
      <w:u w:val="single"/>
    </w:rPr>
  </w:style>
  <w:style w:type="paragraph" w:styleId="Footer">
    <w:name w:val="footer"/>
    <w:basedOn w:val="Normal"/>
    <w:link w:val="FooterChar"/>
    <w:uiPriority w:val="99"/>
    <w:unhideWhenUsed/>
    <w:rsid w:val="00400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3B0"/>
    <w:rPr>
      <w:rFonts w:ascii="Times New Roman" w:hAnsi="Times New Roman"/>
      <w:sz w:val="24"/>
    </w:rPr>
  </w:style>
  <w:style w:type="character" w:styleId="LineNumber">
    <w:name w:val="line number"/>
    <w:basedOn w:val="DefaultParagraphFont"/>
    <w:uiPriority w:val="99"/>
    <w:semiHidden/>
    <w:unhideWhenUsed/>
    <w:rsid w:val="00400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xime@simulations-plus.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Le Merdy</dc:creator>
  <cp:keywords/>
  <dc:description/>
  <cp:lastModifiedBy>Sridhar J.</cp:lastModifiedBy>
  <cp:revision>2</cp:revision>
  <dcterms:created xsi:type="dcterms:W3CDTF">2021-09-14T02:18:00Z</dcterms:created>
  <dcterms:modified xsi:type="dcterms:W3CDTF">2021-09-14T02:18:00Z</dcterms:modified>
</cp:coreProperties>
</file>