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1F09" w14:textId="77777777" w:rsidR="00251495" w:rsidRDefault="00251495" w:rsidP="00251495">
      <w:pPr>
        <w:spacing w:after="5" w:line="254" w:lineRule="auto"/>
        <w:jc w:val="both"/>
        <w:rPr>
          <w:rFonts w:cstheme="minorHAnsi"/>
          <w:b/>
          <w:sz w:val="28"/>
          <w:szCs w:val="28"/>
        </w:rPr>
      </w:pPr>
      <w:r w:rsidRPr="00267395">
        <w:rPr>
          <w:rFonts w:cstheme="minorHAnsi"/>
          <w:b/>
          <w:sz w:val="28"/>
          <w:szCs w:val="28"/>
          <w:highlight w:val="yellow"/>
        </w:rPr>
        <w:t>Supplemental Information S1</w:t>
      </w:r>
    </w:p>
    <w:p w14:paraId="6B6878CE" w14:textId="77777777" w:rsidR="00251495" w:rsidRDefault="00251495" w:rsidP="00251495">
      <w:pPr>
        <w:spacing w:after="5" w:line="254" w:lineRule="auto"/>
        <w:jc w:val="both"/>
        <w:rPr>
          <w:rFonts w:cstheme="minorHAnsi"/>
          <w:b/>
          <w:sz w:val="28"/>
          <w:szCs w:val="28"/>
        </w:rPr>
      </w:pPr>
    </w:p>
    <w:p w14:paraId="21EF5D31" w14:textId="16594D51" w:rsidR="00251495" w:rsidRPr="000015CF" w:rsidRDefault="00251495" w:rsidP="00251495">
      <w:pPr>
        <w:spacing w:after="5" w:line="254" w:lineRule="auto"/>
        <w:jc w:val="both"/>
        <w:rPr>
          <w:rFonts w:cstheme="minorHAnsi"/>
          <w:b/>
          <w:sz w:val="28"/>
          <w:szCs w:val="28"/>
        </w:rPr>
      </w:pPr>
      <w:r w:rsidRPr="00564BB8">
        <w:rPr>
          <w:rFonts w:eastAsiaTheme="minorEastAsia"/>
        </w:rPr>
        <w:t>1000 hypothetical individuals</w:t>
      </w:r>
      <w:r>
        <w:rPr>
          <w:rFonts w:eastAsiaTheme="minorEastAsia"/>
        </w:rPr>
        <w:t xml:space="preserve"> were simulated for each treatment group based on the </w:t>
      </w:r>
      <w:r w:rsidRPr="00564BB8">
        <w:rPr>
          <w:rFonts w:eastAsiaTheme="minorEastAsia"/>
        </w:rPr>
        <w:t>tumor model (</w:t>
      </w:r>
      <w:proofErr w:type="spellStart"/>
      <w:r w:rsidRPr="00564BB8">
        <w:rPr>
          <w:rFonts w:eastAsiaTheme="minorEastAsia"/>
        </w:rPr>
        <w:t>Eq</w:t>
      </w:r>
      <w:r>
        <w:rPr>
          <w:rFonts w:eastAsiaTheme="minorEastAsia"/>
        </w:rPr>
        <w:t>s</w:t>
      </w:r>
      <w:proofErr w:type="spellEnd"/>
      <w:r>
        <w:rPr>
          <w:rFonts w:eastAsiaTheme="minorEastAsia"/>
        </w:rPr>
        <w:t>.</w:t>
      </w:r>
      <w:r w:rsidRPr="00564BB8">
        <w:rPr>
          <w:rFonts w:eastAsiaTheme="minorEastAsia"/>
        </w:rPr>
        <w:t xml:space="preserve"> </w:t>
      </w:r>
      <w:r>
        <w:rPr>
          <w:rFonts w:eastAsiaTheme="minorEastAsia"/>
        </w:rPr>
        <w:t>1 and 2</w:t>
      </w:r>
      <w:r w:rsidRPr="00564BB8">
        <w:rPr>
          <w:rFonts w:eastAsiaTheme="minorEastAsia"/>
        </w:rPr>
        <w:t xml:space="preserve">) and the </w:t>
      </w:r>
      <w:r>
        <w:rPr>
          <w:rFonts w:eastAsiaTheme="minorEastAsia"/>
        </w:rPr>
        <w:t>parameter estimates from Tables I and II</w:t>
      </w:r>
      <w:r w:rsidRPr="00564BB8">
        <w:rPr>
          <w:rFonts w:eastAsiaTheme="minorEastAsia"/>
        </w:rPr>
        <w:t>. The resulting visual predict</w:t>
      </w:r>
      <w:r>
        <w:rPr>
          <w:rFonts w:eastAsiaTheme="minorEastAsia"/>
        </w:rPr>
        <w:t>ive checks comparing simulated 10</w:t>
      </w:r>
      <w:r w:rsidRPr="00564BB8">
        <w:rPr>
          <w:rFonts w:eastAsiaTheme="minorEastAsia"/>
          <w:vertAlign w:val="superscript"/>
        </w:rPr>
        <w:t>th</w:t>
      </w:r>
      <w:r w:rsidRPr="00564BB8">
        <w:rPr>
          <w:rFonts w:eastAsiaTheme="minorEastAsia"/>
        </w:rPr>
        <w:t>, 50</w:t>
      </w:r>
      <w:r w:rsidRPr="00564BB8">
        <w:rPr>
          <w:rFonts w:eastAsiaTheme="minorEastAsia"/>
          <w:vertAlign w:val="superscript"/>
        </w:rPr>
        <w:t>th</w:t>
      </w:r>
      <w:r>
        <w:rPr>
          <w:rFonts w:eastAsiaTheme="minorEastAsia"/>
        </w:rPr>
        <w:t>, and 90</w:t>
      </w:r>
      <w:r w:rsidRPr="00564BB8">
        <w:rPr>
          <w:rFonts w:eastAsiaTheme="minorEastAsia"/>
          <w:vertAlign w:val="superscript"/>
        </w:rPr>
        <w:t>th</w:t>
      </w:r>
      <w:r w:rsidRPr="00564BB8">
        <w:rPr>
          <w:rFonts w:eastAsiaTheme="minorEastAsia"/>
        </w:rPr>
        <w:t xml:space="preserve"> percentiles with observed tumor volumes are shown in Fig </w:t>
      </w:r>
      <w:r w:rsidR="000D6638">
        <w:rPr>
          <w:rFonts w:eastAsiaTheme="minorEastAsia"/>
        </w:rPr>
        <w:t>10</w:t>
      </w:r>
      <w:r w:rsidRPr="00564BB8">
        <w:rPr>
          <w:rFonts w:eastAsiaTheme="minorEastAsia"/>
        </w:rPr>
        <w:t xml:space="preserve">. </w:t>
      </w:r>
      <w:r>
        <w:rPr>
          <w:rFonts w:eastAsiaTheme="minorEastAsia"/>
        </w:rPr>
        <w:t>Model predictions are in relatively good agreement with data, with the exception of two outlier individuals, shown in orange and purple, in the third and sixth VPCs, respectively.</w:t>
      </w:r>
    </w:p>
    <w:p w14:paraId="76D6D912" w14:textId="77777777" w:rsidR="00251495" w:rsidRDefault="00251495" w:rsidP="00251495">
      <w:pPr>
        <w:spacing w:after="5" w:line="254" w:lineRule="auto"/>
        <w:jc w:val="both"/>
        <w:rPr>
          <w:rFonts w:cstheme="minorHAnsi"/>
          <w:b/>
          <w:sz w:val="28"/>
          <w:szCs w:val="28"/>
        </w:rPr>
      </w:pPr>
    </w:p>
    <w:p w14:paraId="2B527131" w14:textId="77777777" w:rsidR="00251495" w:rsidRDefault="00251495" w:rsidP="00251495">
      <w:pPr>
        <w:spacing w:after="5" w:line="254" w:lineRule="auto"/>
        <w:jc w:val="both"/>
        <w:rPr>
          <w:rFonts w:cstheme="minorHAnsi"/>
          <w:b/>
          <w:sz w:val="28"/>
          <w:szCs w:val="28"/>
        </w:rPr>
      </w:pPr>
    </w:p>
    <w:p w14:paraId="14CD1CC6" w14:textId="77777777" w:rsidR="00251495" w:rsidRDefault="00251495" w:rsidP="00251495">
      <w:pPr>
        <w:spacing w:after="5" w:line="254" w:lineRule="auto"/>
        <w:jc w:val="both"/>
        <w:rPr>
          <w:rFonts w:cstheme="minorHAnsi"/>
          <w:b/>
          <w:noProof/>
          <w:sz w:val="28"/>
          <w:szCs w:val="28"/>
        </w:rPr>
      </w:pPr>
    </w:p>
    <w:p w14:paraId="1BD5A5B5" w14:textId="77777777" w:rsidR="00251495" w:rsidRDefault="00251495" w:rsidP="00251495">
      <w:pPr>
        <w:spacing w:after="5" w:line="254" w:lineRule="auto"/>
        <w:jc w:val="both"/>
        <w:rPr>
          <w:i/>
        </w:rPr>
      </w:pPr>
      <w:r>
        <w:rPr>
          <w:rFonts w:cstheme="minorHAnsi"/>
          <w:b/>
          <w:noProof/>
          <w:sz w:val="28"/>
          <w:szCs w:val="28"/>
        </w:rPr>
        <w:drawing>
          <wp:inline distT="0" distB="0" distL="0" distR="0" wp14:anchorId="029C2BCE" wp14:editId="3C49411F">
            <wp:extent cx="5972810" cy="4990465"/>
            <wp:effectExtent l="0" t="0" r="8890" b="63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4fig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99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2D90F" w14:textId="77777777" w:rsidR="00251495" w:rsidRDefault="00251495" w:rsidP="00251495">
      <w:pPr>
        <w:spacing w:after="5" w:line="254" w:lineRule="auto"/>
        <w:jc w:val="both"/>
        <w:rPr>
          <w:i/>
        </w:rPr>
      </w:pPr>
    </w:p>
    <w:p w14:paraId="158DF928" w14:textId="59F3A818" w:rsidR="00251495" w:rsidRPr="00FC6991" w:rsidRDefault="00251495" w:rsidP="00251495">
      <w:pPr>
        <w:spacing w:after="5" w:line="254" w:lineRule="auto"/>
        <w:jc w:val="both"/>
        <w:rPr>
          <w:i/>
        </w:rPr>
      </w:pPr>
      <w:r>
        <w:rPr>
          <w:i/>
        </w:rPr>
        <w:t>Fig</w:t>
      </w:r>
      <w:r w:rsidR="000D6638">
        <w:rPr>
          <w:i/>
        </w:rPr>
        <w:t>ure</w:t>
      </w:r>
      <w:r>
        <w:rPr>
          <w:i/>
        </w:rPr>
        <w:t xml:space="preserve"> </w:t>
      </w:r>
      <w:r w:rsidR="000D6638">
        <w:rPr>
          <w:i/>
        </w:rPr>
        <w:t>10</w:t>
      </w:r>
      <w:r>
        <w:rPr>
          <w:i/>
        </w:rPr>
        <w:t xml:space="preserve">: Visual predictive check for the tumor model in </w:t>
      </w:r>
      <w:proofErr w:type="spellStart"/>
      <w:r>
        <w:rPr>
          <w:i/>
        </w:rPr>
        <w:t>Eqs</w:t>
      </w:r>
      <w:proofErr w:type="spellEnd"/>
      <w:r>
        <w:rPr>
          <w:i/>
        </w:rPr>
        <w:t>. 1 and 2 using the parameter estimates from Tables I and II. Solid lines represent the simulated 10</w:t>
      </w:r>
      <w:r w:rsidRPr="001524F9">
        <w:rPr>
          <w:i/>
          <w:vertAlign w:val="superscript"/>
        </w:rPr>
        <w:t>th</w:t>
      </w:r>
      <w:r>
        <w:rPr>
          <w:i/>
        </w:rPr>
        <w:t>, 50</w:t>
      </w:r>
      <w:r w:rsidRPr="001524F9">
        <w:rPr>
          <w:i/>
          <w:vertAlign w:val="superscript"/>
        </w:rPr>
        <w:t>th</w:t>
      </w:r>
      <w:r>
        <w:rPr>
          <w:i/>
        </w:rPr>
        <w:t xml:space="preserve"> and 90</w:t>
      </w:r>
      <w:r w:rsidRPr="001524F9">
        <w:rPr>
          <w:i/>
          <w:vertAlign w:val="superscript"/>
        </w:rPr>
        <w:t>th</w:t>
      </w:r>
      <w:r>
        <w:rPr>
          <w:i/>
        </w:rPr>
        <w:t xml:space="preserve"> percentiles. Colored dots represent observations. VPCs correspond to treatment groups in the following order from top left to bottom right: vehicle, radiation, radiation +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  <w:i/>
        </w:rPr>
        <w:t xml:space="preserve"> (100 mg/kg), radiation +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/>
          <w:i/>
        </w:rPr>
        <w:t xml:space="preserve"> (25 mg/kg), radiation +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>
        <w:rPr>
          <w:rFonts w:eastAsiaTheme="minorEastAsia"/>
          <w:i/>
        </w:rPr>
        <w:t xml:space="preserve"> (100 mg/kg), and radiation +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>
        <w:rPr>
          <w:rFonts w:eastAsiaTheme="minorEastAsia"/>
          <w:i/>
        </w:rPr>
        <w:t xml:space="preserve"> (20 mg/kg).</w:t>
      </w:r>
    </w:p>
    <w:p w14:paraId="7B07071E" w14:textId="77777777" w:rsidR="000B7AC3" w:rsidRDefault="000B7AC3"/>
    <w:sectPr w:rsidR="000B7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95"/>
    <w:rsid w:val="000B7AC3"/>
    <w:rsid w:val="000D6638"/>
    <w:rsid w:val="0025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31E1FD"/>
  <w15:chartTrackingRefBased/>
  <w15:docId w15:val="{F4CC75CC-3B83-4449-8CA1-542DC0A2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95"/>
    <w:pPr>
      <w:spacing w:after="12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Cardilin</dc:creator>
  <cp:keywords/>
  <dc:description/>
  <cp:lastModifiedBy>Tim Cardilin</cp:lastModifiedBy>
  <cp:revision>2</cp:revision>
  <dcterms:created xsi:type="dcterms:W3CDTF">2021-08-31T10:51:00Z</dcterms:created>
  <dcterms:modified xsi:type="dcterms:W3CDTF">2021-08-31T11:04:00Z</dcterms:modified>
</cp:coreProperties>
</file>