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A2A5B" w14:textId="77777777" w:rsidR="004A0558" w:rsidRDefault="00000000">
      <w:pPr>
        <w:pStyle w:val="Heading1"/>
        <w:rPr>
          <w:sz w:val="32"/>
          <w:szCs w:val="32"/>
        </w:rPr>
      </w:pPr>
      <w:bookmarkStart w:id="0" w:name="_1uyu45xnpnfc" w:colFirst="0" w:colLast="0"/>
      <w:bookmarkEnd w:id="0"/>
      <w:r>
        <w:rPr>
          <w:b/>
          <w:sz w:val="32"/>
          <w:szCs w:val="32"/>
        </w:rPr>
        <w:t>Supplemental Figures</w:t>
      </w:r>
      <w:r>
        <w:rPr>
          <w:sz w:val="32"/>
          <w:szCs w:val="32"/>
        </w:rPr>
        <w:t xml:space="preserve"> for “Towards a platform quantitative systems pharmacology (QSP) model for preclinical to clinical translation of antibody-drug conjugated (ADCs)”</w:t>
      </w:r>
    </w:p>
    <w:p w14:paraId="3C17AC2B" w14:textId="77777777" w:rsidR="004A0558" w:rsidRDefault="00000000">
      <w:pPr>
        <w:jc w:val="both"/>
      </w:pPr>
      <w:r>
        <w:t>Journal of Pharmacokinetics/Pharmacodynamics</w:t>
      </w:r>
    </w:p>
    <w:p w14:paraId="7334AF8E" w14:textId="77777777" w:rsidR="004A0558" w:rsidRDefault="004A0558">
      <w:pPr>
        <w:jc w:val="both"/>
      </w:pPr>
    </w:p>
    <w:p w14:paraId="473FD4CB" w14:textId="77777777" w:rsidR="004A0558" w:rsidRDefault="00000000">
      <w:pPr>
        <w:jc w:val="both"/>
      </w:pPr>
      <w:r>
        <w:t xml:space="preserve">Bruna Scheuher, Khem Raj </w:t>
      </w:r>
      <w:proofErr w:type="spellStart"/>
      <w:r>
        <w:t>Ghusinga</w:t>
      </w:r>
      <w:proofErr w:type="spellEnd"/>
      <w:r>
        <w:t xml:space="preserve">, Kimiko McGirr, </w:t>
      </w:r>
      <w:proofErr w:type="spellStart"/>
      <w:r>
        <w:t>Maksymilian</w:t>
      </w:r>
      <w:proofErr w:type="spellEnd"/>
      <w:r>
        <w:t xml:space="preserve"> Nowak, Sheetal Panday, Joshua Apgar, </w:t>
      </w:r>
      <w:proofErr w:type="spellStart"/>
      <w:r>
        <w:t>Kalyanasundaram</w:t>
      </w:r>
      <w:proofErr w:type="spellEnd"/>
      <w:r>
        <w:t xml:space="preserve"> </w:t>
      </w:r>
      <w:proofErr w:type="gramStart"/>
      <w:r>
        <w:t>Subramanian</w:t>
      </w:r>
      <w:proofErr w:type="gramEnd"/>
      <w:r>
        <w:t xml:space="preserve"> and Alison Betts</w:t>
      </w:r>
    </w:p>
    <w:p w14:paraId="76D35379" w14:textId="77777777" w:rsidR="004A0558" w:rsidRDefault="004A0558">
      <w:pPr>
        <w:jc w:val="both"/>
      </w:pPr>
    </w:p>
    <w:p w14:paraId="24364018" w14:textId="50DAF075" w:rsidR="004A0558" w:rsidRDefault="00000000">
      <w:pPr>
        <w:rPr>
          <w:b/>
        </w:rPr>
      </w:pPr>
      <w:r>
        <w:t xml:space="preserve">Corresponding author: Alison Betts, Applied </w:t>
      </w:r>
      <w:proofErr w:type="spellStart"/>
      <w:r>
        <w:t>BioMath</w:t>
      </w:r>
      <w:proofErr w:type="spellEnd"/>
      <w:r>
        <w:t>, 561 Virginia Road, Concord MA 01742</w:t>
      </w:r>
      <w:r>
        <w:br/>
        <w:t xml:space="preserve">Email: </w:t>
      </w:r>
      <w:hyperlink r:id="rId5" w:history="1">
        <w:r w:rsidR="008B3F15" w:rsidRPr="00293120">
          <w:rPr>
            <w:rStyle w:val="Hyperlink"/>
          </w:rPr>
          <w:t>alisonbetts72@gmail.com</w:t>
        </w:r>
      </w:hyperlink>
    </w:p>
    <w:p w14:paraId="5045AB5D" w14:textId="77777777" w:rsidR="004A0558" w:rsidRDefault="004A0558">
      <w:pPr>
        <w:rPr>
          <w:b/>
        </w:rPr>
      </w:pPr>
    </w:p>
    <w:p w14:paraId="1BCBF60A" w14:textId="77777777" w:rsidR="004A0558" w:rsidRDefault="00000000">
      <w:r>
        <w:rPr>
          <w:b/>
        </w:rPr>
        <w:t>SUPPLEMENTARY FIGURE LEGENDS</w:t>
      </w:r>
    </w:p>
    <w:p w14:paraId="7AAA9CA5" w14:textId="77777777" w:rsidR="004A0558" w:rsidRDefault="004A0558">
      <w:pPr>
        <w:rPr>
          <w:b/>
        </w:rPr>
      </w:pPr>
    </w:p>
    <w:p w14:paraId="7E485CED" w14:textId="77777777" w:rsidR="004A0558" w:rsidRDefault="00000000">
      <w:pPr>
        <w:rPr>
          <w:b/>
        </w:rPr>
      </w:pPr>
      <w:r>
        <w:rPr>
          <w:b/>
        </w:rPr>
        <w:t xml:space="preserve">Figure S1A: Schematic representation of the </w:t>
      </w:r>
      <w:r>
        <w:rPr>
          <w:b/>
          <w:i/>
        </w:rPr>
        <w:t>in vitro</w:t>
      </w:r>
      <w:r>
        <w:rPr>
          <w:b/>
        </w:rPr>
        <w:t xml:space="preserve"> model.</w:t>
      </w:r>
    </w:p>
    <w:p w14:paraId="3921DB05" w14:textId="77777777" w:rsidR="004A0558" w:rsidRDefault="004A0558">
      <w:pPr>
        <w:rPr>
          <w:b/>
        </w:rPr>
      </w:pPr>
    </w:p>
    <w:p w14:paraId="62DC3072" w14:textId="0B605AD2" w:rsidR="004A0558" w:rsidRDefault="00DB5C71">
      <w:pPr>
        <w:rPr>
          <w:b/>
        </w:rPr>
      </w:pPr>
      <w:r>
        <w:rPr>
          <w:color w:val="000000"/>
          <w:bdr w:val="none" w:sz="0" w:space="0" w:color="auto" w:frame="1"/>
        </w:rPr>
        <w:fldChar w:fldCharType="begin"/>
      </w:r>
      <w:r>
        <w:rPr>
          <w:color w:val="000000"/>
          <w:bdr w:val="none" w:sz="0" w:space="0" w:color="auto" w:frame="1"/>
        </w:rPr>
        <w:instrText xml:space="preserve"> INCLUDEPICTURE "https://lh3.googleusercontent.com/qqwsm2YyJ73BqEJ4eS9qlPAvRoA4ml7SvddTVgI5QuEEqakSaFkXckvc1K6OqmbwChkMSAQaq1DOw3kkU6kuDQK_pD6c5BsXKNghDclkoMO2yYqfJM4j-1aRPBsKY3lFZnmRo_cB0bsgsRO2NLXlLZs" \* MERGEFORMATINET </w:instrText>
      </w:r>
      <w:r>
        <w:rPr>
          <w:color w:val="000000"/>
          <w:bdr w:val="none" w:sz="0" w:space="0" w:color="auto" w:frame="1"/>
        </w:rPr>
        <w:fldChar w:fldCharType="separate"/>
      </w:r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403B9757" wp14:editId="230ED725">
            <wp:extent cx="4686300" cy="3454400"/>
            <wp:effectExtent l="0" t="0" r="0" b="0"/>
            <wp:docPr id="168949768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bdr w:val="none" w:sz="0" w:space="0" w:color="auto" w:frame="1"/>
        </w:rPr>
        <w:fldChar w:fldCharType="end"/>
      </w:r>
    </w:p>
    <w:p w14:paraId="343B7941" w14:textId="77777777" w:rsidR="004A0558" w:rsidRDefault="004A0558">
      <w:pPr>
        <w:rPr>
          <w:b/>
        </w:rPr>
      </w:pPr>
    </w:p>
    <w:p w14:paraId="68A78568" w14:textId="77777777" w:rsidR="004A0558" w:rsidRDefault="00000000">
      <w:pPr>
        <w:rPr>
          <w:b/>
        </w:rPr>
      </w:pPr>
      <w:r>
        <w:br w:type="page"/>
      </w:r>
    </w:p>
    <w:p w14:paraId="7DB5DBF7" w14:textId="7E3E441A" w:rsidR="004A0558" w:rsidRDefault="00000000">
      <w:r>
        <w:rPr>
          <w:b/>
        </w:rPr>
        <w:lastRenderedPageBreak/>
        <w:t>Figure S1B: Observed (</w:t>
      </w:r>
      <w:r>
        <w:rPr>
          <w:b/>
          <w:i/>
        </w:rPr>
        <w:t>symbols</w:t>
      </w:r>
      <w:r>
        <w:rPr>
          <w:b/>
        </w:rPr>
        <w:t>) and in vitro model calibrated or predicted (</w:t>
      </w:r>
      <w:r>
        <w:rPr>
          <w:b/>
          <w:i/>
        </w:rPr>
        <w:t>lines</w:t>
      </w:r>
      <w:r>
        <w:rPr>
          <w:b/>
        </w:rPr>
        <w:t xml:space="preserve">) trastuzumab internalization data. </w:t>
      </w:r>
      <w:r w:rsidR="0093379E" w:rsidRPr="0093379E">
        <w:rPr>
          <w:b/>
        </w:rPr>
        <w:t xml:space="preserve">(A) </w:t>
      </w:r>
      <w:r w:rsidR="0093379E" w:rsidRPr="0093379E">
        <w:rPr>
          <w:bCs/>
        </w:rPr>
        <w:t xml:space="preserve">Model calibration: 125I- trastuzumab was incubated (gray shaded area) with SK-BR-3 breast cancer cells and cell surface, dissociated, </w:t>
      </w:r>
      <w:proofErr w:type="gramStart"/>
      <w:r w:rsidR="0093379E" w:rsidRPr="0093379E">
        <w:rPr>
          <w:bCs/>
        </w:rPr>
        <w:t>internalized</w:t>
      </w:r>
      <w:proofErr w:type="gramEnd"/>
      <w:r w:rsidR="0093379E" w:rsidRPr="0093379E">
        <w:rPr>
          <w:bCs/>
        </w:rPr>
        <w:t xml:space="preserve"> and catabolized radioactivity was measured [1]</w:t>
      </w:r>
      <w:r w:rsidR="0093379E">
        <w:rPr>
          <w:bCs/>
        </w:rPr>
        <w:t>.</w:t>
      </w:r>
      <w:r w:rsidR="0093379E" w:rsidRPr="0093379E">
        <w:rPr>
          <w:bCs/>
        </w:rPr>
        <w:t xml:space="preserve"> </w:t>
      </w:r>
      <w:r w:rsidR="0093379E" w:rsidRPr="0093379E">
        <w:rPr>
          <w:b/>
        </w:rPr>
        <w:t>(B)</w:t>
      </w:r>
      <w:r w:rsidR="0093379E" w:rsidRPr="0093379E">
        <w:rPr>
          <w:bCs/>
        </w:rPr>
        <w:t xml:space="preserve"> Model validation: Trastuzumab was incubated with BT-474 cancer cells and internalized trastuzumab was measured [2]</w:t>
      </w:r>
      <w:r w:rsidR="0093379E">
        <w:rPr>
          <w:bCs/>
        </w:rPr>
        <w:t>.</w:t>
      </w:r>
    </w:p>
    <w:p w14:paraId="44C4963B" w14:textId="77777777" w:rsidR="004A0558" w:rsidRDefault="004A0558"/>
    <w:p w14:paraId="44C426E1" w14:textId="77777777" w:rsidR="004A0558" w:rsidRDefault="00000000">
      <w:pPr>
        <w:ind w:left="1440" w:firstLine="720"/>
        <w:rPr>
          <w:b/>
        </w:rPr>
      </w:pPr>
      <w:r>
        <w:rPr>
          <w:b/>
        </w:rPr>
        <w:t>(A)</w:t>
      </w:r>
    </w:p>
    <w:p w14:paraId="34147096" w14:textId="77777777" w:rsidR="004A0558" w:rsidRDefault="004A0558"/>
    <w:p w14:paraId="0F300515" w14:textId="77777777" w:rsidR="004A0558" w:rsidRDefault="00000000">
      <w:pPr>
        <w:jc w:val="center"/>
      </w:pPr>
      <w:r>
        <w:rPr>
          <w:b/>
        </w:rPr>
        <w:t>(B)</w:t>
      </w:r>
      <w:r>
        <w:rPr>
          <w:noProof/>
        </w:rPr>
        <w:drawing>
          <wp:inline distT="0" distB="0" distL="0" distR="0" wp14:anchorId="5447BEDE" wp14:editId="5F723844">
            <wp:extent cx="3003479" cy="2239344"/>
            <wp:effectExtent l="0" t="0" r="0" b="0"/>
            <wp:docPr id="7" name="image7.png" descr="Chart, line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Chart, line chart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3479" cy="22393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3FC142" w14:textId="39F0A136" w:rsidR="004A0558" w:rsidRDefault="00DB5C71">
      <w:pPr>
        <w:jc w:val="center"/>
      </w:pPr>
      <w:r>
        <w:rPr>
          <w:color w:val="000000"/>
          <w:bdr w:val="none" w:sz="0" w:space="0" w:color="auto" w:frame="1"/>
        </w:rPr>
        <w:fldChar w:fldCharType="begin"/>
      </w:r>
      <w:r>
        <w:rPr>
          <w:color w:val="000000"/>
          <w:bdr w:val="none" w:sz="0" w:space="0" w:color="auto" w:frame="1"/>
        </w:rPr>
        <w:instrText xml:space="preserve"> INCLUDEPICTURE "https://lh4.googleusercontent.com/S12pLTky6whoHKbXJ7Fx_1HDAl6tkHa8YawuD0QStf17FDhr2OdNiFTGvHeB2JK3dBBQj9rmnZqx0x3gZEw_SimuaVumtm72RfNZMumqQIOOJr_risojqXirXwV6pmlYJ5Mh7_panYHajcJvSzKypZc" \* MERGEFORMATINET </w:instrText>
      </w:r>
      <w:r>
        <w:rPr>
          <w:color w:val="000000"/>
          <w:bdr w:val="none" w:sz="0" w:space="0" w:color="auto" w:frame="1"/>
        </w:rPr>
        <w:fldChar w:fldCharType="separate"/>
      </w:r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40345A21" wp14:editId="7445EF0C">
            <wp:extent cx="3848100" cy="2870200"/>
            <wp:effectExtent l="0" t="0" r="0" b="0"/>
            <wp:docPr id="791182500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bdr w:val="none" w:sz="0" w:space="0" w:color="auto" w:frame="1"/>
        </w:rPr>
        <w:fldChar w:fldCharType="end"/>
      </w:r>
    </w:p>
    <w:p w14:paraId="68E5D784" w14:textId="77777777" w:rsidR="004A0558" w:rsidRDefault="00000000">
      <w:r>
        <w:t xml:space="preserve"> </w:t>
      </w:r>
    </w:p>
    <w:p w14:paraId="5489DB49" w14:textId="77777777" w:rsidR="004A0558" w:rsidRDefault="00000000">
      <w:pPr>
        <w:rPr>
          <w:b/>
        </w:rPr>
      </w:pPr>
      <w:r>
        <w:br w:type="page"/>
      </w:r>
    </w:p>
    <w:p w14:paraId="47AE74C8" w14:textId="77777777" w:rsidR="004A0558" w:rsidRDefault="00000000">
      <w:pPr>
        <w:rPr>
          <w:b/>
        </w:rPr>
      </w:pPr>
      <w:r>
        <w:rPr>
          <w:b/>
        </w:rPr>
        <w:lastRenderedPageBreak/>
        <w:t>Figure S2: Observed vs. predicted for in vitro and in vivo calibrations.</w:t>
      </w:r>
    </w:p>
    <w:p w14:paraId="0AC300C4" w14:textId="667F83F4" w:rsidR="004A0558" w:rsidRDefault="00000000">
      <w:pPr>
        <w:numPr>
          <w:ilvl w:val="0"/>
          <w:numId w:val="1"/>
        </w:numPr>
        <w:rPr>
          <w:b/>
        </w:rPr>
      </w:pPr>
      <w:r>
        <w:rPr>
          <w:b/>
        </w:rPr>
        <w:t xml:space="preserve">                                                                             </w:t>
      </w:r>
      <w:r w:rsidR="00DB5C71">
        <w:rPr>
          <w:b/>
          <w:bCs/>
          <w:color w:val="000000"/>
          <w:bdr w:val="none" w:sz="0" w:space="0" w:color="auto" w:frame="1"/>
        </w:rPr>
        <w:fldChar w:fldCharType="begin"/>
      </w:r>
      <w:r w:rsidR="00DB5C71">
        <w:rPr>
          <w:b/>
          <w:bCs/>
          <w:color w:val="000000"/>
          <w:bdr w:val="none" w:sz="0" w:space="0" w:color="auto" w:frame="1"/>
        </w:rPr>
        <w:instrText xml:space="preserve"> INCLUDEPICTURE "https://lh3.googleusercontent.com/fZA0ydCY_DitBsfequno7LwuAFyWj0Eka6lPyarUYWc4LXsCsv7QFK5Cj_gNbh-UmpkRZmdhiORoev8Yvcnl9ovplpB5h4x8UUvn5f6xz0zs3K_WRKBxQjbn6nAd-PE06YNuhbJZjkN2YFrl9WZkMdU" \* MERGEFORMATINET </w:instrText>
      </w:r>
      <w:r w:rsidR="00DB5C71">
        <w:rPr>
          <w:b/>
          <w:bCs/>
          <w:color w:val="000000"/>
          <w:bdr w:val="none" w:sz="0" w:space="0" w:color="auto" w:frame="1"/>
        </w:rPr>
        <w:fldChar w:fldCharType="separate"/>
      </w:r>
      <w:r w:rsidR="00DB5C71">
        <w:rPr>
          <w:b/>
          <w:bCs/>
          <w:noProof/>
          <w:color w:val="000000"/>
          <w:bdr w:val="none" w:sz="0" w:space="0" w:color="auto" w:frame="1"/>
        </w:rPr>
        <w:drawing>
          <wp:inline distT="0" distB="0" distL="0" distR="0" wp14:anchorId="0598B8EB" wp14:editId="6DBF7F32">
            <wp:extent cx="4699000" cy="3200400"/>
            <wp:effectExtent l="0" t="0" r="0" b="0"/>
            <wp:docPr id="368339235" name="Picture 3" descr="Chart, line 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339235" name="Picture 3" descr="Chart, line 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5C71">
        <w:rPr>
          <w:b/>
          <w:bCs/>
          <w:color w:val="000000"/>
          <w:bdr w:val="none" w:sz="0" w:space="0" w:color="auto" w:frame="1"/>
        </w:rPr>
        <w:fldChar w:fldCharType="end"/>
      </w:r>
    </w:p>
    <w:p w14:paraId="76010617" w14:textId="77777777" w:rsidR="004A0558" w:rsidRDefault="004A0558">
      <w:pPr>
        <w:numPr>
          <w:ilvl w:val="0"/>
          <w:numId w:val="1"/>
        </w:numPr>
        <w:rPr>
          <w:b/>
        </w:rPr>
      </w:pPr>
    </w:p>
    <w:p w14:paraId="2053849D" w14:textId="77777777" w:rsidR="004A0558" w:rsidRDefault="004A0558">
      <w:pPr>
        <w:rPr>
          <w:b/>
        </w:rPr>
      </w:pPr>
    </w:p>
    <w:p w14:paraId="3F133003" w14:textId="77777777" w:rsidR="004A0558" w:rsidRDefault="004A0558">
      <w:pPr>
        <w:rPr>
          <w:b/>
        </w:rPr>
      </w:pPr>
    </w:p>
    <w:p w14:paraId="5E25A6AC" w14:textId="77777777" w:rsidR="004A0558" w:rsidRDefault="00000000">
      <w:pPr>
        <w:rPr>
          <w:b/>
        </w:rPr>
      </w:pPr>
      <w:r>
        <w:rPr>
          <w:b/>
        </w:rPr>
        <w:t>Figure S3: Schematic representation of the mouse model.</w:t>
      </w:r>
    </w:p>
    <w:p w14:paraId="65780E8A" w14:textId="77777777" w:rsidR="004A0558" w:rsidRDefault="004A0558">
      <w:pPr>
        <w:rPr>
          <w:b/>
        </w:rPr>
      </w:pPr>
    </w:p>
    <w:p w14:paraId="604D7269" w14:textId="0974F68A" w:rsidR="004A0558" w:rsidRDefault="00000000">
      <w:pPr>
        <w:rPr>
          <w:b/>
        </w:rPr>
      </w:pPr>
      <w:r>
        <w:rPr>
          <w:noProof/>
        </w:rPr>
        <w:drawing>
          <wp:inline distT="0" distB="0" distL="0" distR="0" wp14:anchorId="403E8807" wp14:editId="39F5513B">
            <wp:extent cx="5943600" cy="3485515"/>
            <wp:effectExtent l="0" t="0" r="0" b="0"/>
            <wp:docPr id="6" name="image6.png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Diagram&#10;&#10;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5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2B0621" w14:textId="0FCC8ED2" w:rsidR="004A0558" w:rsidRDefault="00000000">
      <w:r>
        <w:rPr>
          <w:b/>
        </w:rPr>
        <w:lastRenderedPageBreak/>
        <w:t>Figure S4: Observed (</w:t>
      </w:r>
      <w:r>
        <w:rPr>
          <w:b/>
          <w:i/>
        </w:rPr>
        <w:t>symbols</w:t>
      </w:r>
      <w:r>
        <w:rPr>
          <w:b/>
        </w:rPr>
        <w:t>) and model calibrated (</w:t>
      </w:r>
      <w:r>
        <w:rPr>
          <w:b/>
          <w:i/>
        </w:rPr>
        <w:t>lines</w:t>
      </w:r>
      <w:r>
        <w:rPr>
          <w:b/>
        </w:rPr>
        <w:t xml:space="preserve">) plasma PK profiles for ADC and total </w:t>
      </w:r>
      <w:r w:rsidRPr="0093379E">
        <w:rPr>
          <w:b/>
        </w:rPr>
        <w:t xml:space="preserve">antibody following single dose IV administration of </w:t>
      </w:r>
      <w:r w:rsidR="0093379E" w:rsidRPr="0093379E">
        <w:rPr>
          <w:b/>
          <w:bCs/>
          <w:color w:val="000000"/>
        </w:rPr>
        <w:t xml:space="preserve">(A) T-DM1 </w:t>
      </w:r>
      <w:hyperlink r:id="rId11" w:history="1">
        <w:r w:rsidR="0093379E" w:rsidRPr="0093379E">
          <w:rPr>
            <w:rStyle w:val="Hyperlink"/>
            <w:color w:val="000000"/>
            <w:u w:val="none"/>
          </w:rPr>
          <w:t>[3]</w:t>
        </w:r>
      </w:hyperlink>
      <w:r w:rsidR="0093379E" w:rsidRPr="0093379E">
        <w:rPr>
          <w:b/>
          <w:bCs/>
          <w:color w:val="000000"/>
        </w:rPr>
        <w:t xml:space="preserve"> and (B) T-</w:t>
      </w:r>
      <w:proofErr w:type="spellStart"/>
      <w:r w:rsidR="0093379E" w:rsidRPr="0093379E">
        <w:rPr>
          <w:b/>
          <w:bCs/>
          <w:color w:val="000000"/>
        </w:rPr>
        <w:t>DXd</w:t>
      </w:r>
      <w:proofErr w:type="spellEnd"/>
      <w:r w:rsidR="0093379E" w:rsidRPr="0093379E">
        <w:rPr>
          <w:b/>
          <w:bCs/>
          <w:color w:val="000000"/>
        </w:rPr>
        <w:t xml:space="preserve"> </w:t>
      </w:r>
      <w:hyperlink r:id="rId12" w:history="1">
        <w:r w:rsidR="0093379E" w:rsidRPr="0093379E">
          <w:rPr>
            <w:rStyle w:val="Hyperlink"/>
            <w:color w:val="000000"/>
            <w:u w:val="none"/>
          </w:rPr>
          <w:t>[4]</w:t>
        </w:r>
      </w:hyperlink>
      <w:r w:rsidR="0093379E" w:rsidRPr="0093379E">
        <w:rPr>
          <w:b/>
          <w:bCs/>
          <w:color w:val="000000"/>
        </w:rPr>
        <w:t xml:space="preserve"> at 3 mg/kg to non-tumor bearing mice. </w:t>
      </w:r>
      <w:r w:rsidR="0093379E" w:rsidRPr="0093379E">
        <w:rPr>
          <w:color w:val="000000"/>
        </w:rPr>
        <w:t>The model was used to fit the data for both ADCs simultaneously, and only deconjugation rate was allowed to vary between ADCs.</w:t>
      </w:r>
      <w:r w:rsidR="0093379E" w:rsidRPr="0093379E">
        <w:rPr>
          <w:color w:val="000000"/>
        </w:rPr>
        <w:br/>
      </w:r>
      <w:r w:rsidR="0093379E" w:rsidRPr="0093379E">
        <w:rPr>
          <w:b/>
          <w:bCs/>
          <w:color w:val="000000"/>
        </w:rPr>
        <w:t xml:space="preserve">Observed (symbols) and model predicted (lines) plasma PK profiles following IV administration of (C) a </w:t>
      </w:r>
      <w:proofErr w:type="spellStart"/>
      <w:r w:rsidR="0093379E" w:rsidRPr="0093379E">
        <w:rPr>
          <w:b/>
          <w:bCs/>
          <w:color w:val="000000"/>
        </w:rPr>
        <w:t>maytansine</w:t>
      </w:r>
      <w:proofErr w:type="spellEnd"/>
      <w:r w:rsidR="0093379E" w:rsidRPr="0093379E">
        <w:rPr>
          <w:b/>
          <w:bCs/>
          <w:color w:val="000000"/>
        </w:rPr>
        <w:t xml:space="preserve"> with structural similarity to DM1 at 0.1mg/kg </w:t>
      </w:r>
      <w:hyperlink r:id="rId13" w:history="1">
        <w:r w:rsidR="0093379E" w:rsidRPr="0093379E">
          <w:rPr>
            <w:rStyle w:val="Hyperlink"/>
            <w:color w:val="000000"/>
            <w:u w:val="none"/>
          </w:rPr>
          <w:t>[5]</w:t>
        </w:r>
      </w:hyperlink>
      <w:r w:rsidR="0093379E" w:rsidRPr="0093379E">
        <w:rPr>
          <w:b/>
          <w:bCs/>
          <w:color w:val="000000"/>
        </w:rPr>
        <w:t xml:space="preserve"> and</w:t>
      </w:r>
      <w:r w:rsidR="0093379E">
        <w:rPr>
          <w:b/>
          <w:bCs/>
          <w:color w:val="000000"/>
        </w:rPr>
        <w:t xml:space="preserve"> (D) </w:t>
      </w:r>
      <w:proofErr w:type="spellStart"/>
      <w:r w:rsidR="0093379E">
        <w:rPr>
          <w:b/>
          <w:bCs/>
          <w:color w:val="000000"/>
        </w:rPr>
        <w:t>DXd</w:t>
      </w:r>
      <w:proofErr w:type="spellEnd"/>
      <w:r w:rsidR="0093379E">
        <w:rPr>
          <w:b/>
          <w:bCs/>
          <w:color w:val="000000"/>
        </w:rPr>
        <w:t xml:space="preserve"> at 1 mg/kg to non-tumor bearing mice </w:t>
      </w:r>
      <w:hyperlink r:id="rId14" w:history="1">
        <w:r w:rsidR="0093379E">
          <w:rPr>
            <w:rStyle w:val="Hyperlink"/>
            <w:color w:val="000000"/>
          </w:rPr>
          <w:t>[4]</w:t>
        </w:r>
      </w:hyperlink>
      <w:r w:rsidR="0093379E">
        <w:rPr>
          <w:b/>
          <w:bCs/>
          <w:color w:val="000000"/>
        </w:rPr>
        <w:t xml:space="preserve">. </w:t>
      </w:r>
      <w:r w:rsidR="0093379E">
        <w:rPr>
          <w:color w:val="000000"/>
        </w:rPr>
        <w:t>The model was used to fit the data for both payloads simultaneously, and only half-life was allowed to vary for each payload.</w:t>
      </w:r>
    </w:p>
    <w:p w14:paraId="0B96ED9E" w14:textId="77777777" w:rsidR="004A0558" w:rsidRDefault="004A0558"/>
    <w:p w14:paraId="382680C5" w14:textId="77777777" w:rsidR="004A0558" w:rsidRDefault="004A0558"/>
    <w:p w14:paraId="3826CC26" w14:textId="7FE79126" w:rsidR="004A0558" w:rsidRDefault="00DB5C71">
      <w:r>
        <w:rPr>
          <w:color w:val="000000"/>
          <w:bdr w:val="none" w:sz="0" w:space="0" w:color="auto" w:frame="1"/>
        </w:rPr>
        <w:fldChar w:fldCharType="begin"/>
      </w:r>
      <w:r>
        <w:rPr>
          <w:color w:val="000000"/>
          <w:bdr w:val="none" w:sz="0" w:space="0" w:color="auto" w:frame="1"/>
        </w:rPr>
        <w:instrText xml:space="preserve"> INCLUDEPICTURE "https://lh6.googleusercontent.com/ptha-_b1h9XDpWPdSbjjvJZzanwuHFcXYSFEGs1GtqkOwh9SydoRKu1iAE8i2tCXD2hjEQWTo41muvuCZfxHj3lbW1elFmd_Y0YcL6vUrgtoCtYq6GazMV-SYKzib4R-rt1J_t6GFbXE0lyAiTLU3dU" \* MERGEFORMATINET </w:instrText>
      </w:r>
      <w:r>
        <w:rPr>
          <w:color w:val="000000"/>
          <w:bdr w:val="none" w:sz="0" w:space="0" w:color="auto" w:frame="1"/>
        </w:rPr>
        <w:fldChar w:fldCharType="separate"/>
      </w:r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54942A2B" wp14:editId="69A87D9B">
            <wp:extent cx="5943600" cy="5924550"/>
            <wp:effectExtent l="0" t="0" r="0" b="6350"/>
            <wp:docPr id="1182302846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bdr w:val="none" w:sz="0" w:space="0" w:color="auto" w:frame="1"/>
        </w:rPr>
        <w:fldChar w:fldCharType="end"/>
      </w:r>
    </w:p>
    <w:p w14:paraId="4372ABB1" w14:textId="77777777" w:rsidR="004A0558" w:rsidRDefault="00000000">
      <w:pPr>
        <w:rPr>
          <w:b/>
        </w:rPr>
      </w:pPr>
      <w:r>
        <w:br w:type="page"/>
      </w:r>
    </w:p>
    <w:p w14:paraId="21316FA2" w14:textId="77777777" w:rsidR="004A0558" w:rsidRDefault="00000000">
      <w:r>
        <w:rPr>
          <w:b/>
        </w:rPr>
        <w:lastRenderedPageBreak/>
        <w:t>Figure S5: Observed (</w:t>
      </w:r>
      <w:r>
        <w:rPr>
          <w:b/>
          <w:i/>
        </w:rPr>
        <w:t>symbols</w:t>
      </w:r>
      <w:r>
        <w:rPr>
          <w:b/>
        </w:rPr>
        <w:t>) and in vivo PK/PD model calibrated (</w:t>
      </w:r>
      <w:r>
        <w:rPr>
          <w:b/>
          <w:i/>
        </w:rPr>
        <w:t>lines</w:t>
      </w:r>
      <w:r>
        <w:rPr>
          <w:b/>
        </w:rPr>
        <w:t xml:space="preserve">) tumor growth inhibition by T-DM1 in KPL4 and BT474 xenograft mouse studies. </w:t>
      </w:r>
    </w:p>
    <w:p w14:paraId="00945486" w14:textId="77777777" w:rsidR="004A0558" w:rsidRDefault="004A0558"/>
    <w:p w14:paraId="557B54C5" w14:textId="0B4D4AFB" w:rsidR="004A0558" w:rsidRDefault="00DB5C71">
      <w:r>
        <w:rPr>
          <w:color w:val="000000"/>
          <w:bdr w:val="none" w:sz="0" w:space="0" w:color="auto" w:frame="1"/>
        </w:rPr>
        <w:fldChar w:fldCharType="begin"/>
      </w:r>
      <w:r>
        <w:rPr>
          <w:color w:val="000000"/>
          <w:bdr w:val="none" w:sz="0" w:space="0" w:color="auto" w:frame="1"/>
        </w:rPr>
        <w:instrText xml:space="preserve"> INCLUDEPICTURE "https://lh4.googleusercontent.com/6T1yFPVReWOEnU6kqdNR5cE5LHiyffnQ-NlMLEviyd_Up1QyoPFr1_RKkzEGdOPWXETQ4lfe_Yefs4bmrwf51G1bMGfQBaD4Hhutxu6cz4kQMjvH7PolLQ-alWZFLREDnM0yNc91IJj354Y9UI7_Seg" \* MERGEFORMATINET </w:instrText>
      </w:r>
      <w:r>
        <w:rPr>
          <w:color w:val="000000"/>
          <w:bdr w:val="none" w:sz="0" w:space="0" w:color="auto" w:frame="1"/>
        </w:rPr>
        <w:fldChar w:fldCharType="separate"/>
      </w:r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78D2F838" wp14:editId="26BCB678">
            <wp:extent cx="5943600" cy="2819400"/>
            <wp:effectExtent l="0" t="0" r="0" b="0"/>
            <wp:docPr id="423233898" name="Picture 5" descr="Chart, line 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art, line 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bdr w:val="none" w:sz="0" w:space="0" w:color="auto" w:frame="1"/>
        </w:rPr>
        <w:fldChar w:fldCharType="end"/>
      </w:r>
    </w:p>
    <w:p w14:paraId="776FFD54" w14:textId="77777777" w:rsidR="004A0558" w:rsidRDefault="004A0558">
      <w:pPr>
        <w:rPr>
          <w:b/>
        </w:rPr>
      </w:pPr>
    </w:p>
    <w:p w14:paraId="1E567D2C" w14:textId="37D5142E" w:rsidR="004A0558" w:rsidRDefault="00000000">
      <w:pPr>
        <w:rPr>
          <w:color w:val="000000"/>
          <w:bdr w:val="none" w:sz="0" w:space="0" w:color="auto" w:frame="1"/>
        </w:rPr>
      </w:pPr>
      <w:r>
        <w:rPr>
          <w:b/>
        </w:rPr>
        <w:t>Figure S6:</w:t>
      </w:r>
      <w:r>
        <w:t xml:space="preserve"> </w:t>
      </w:r>
      <w:r>
        <w:rPr>
          <w:b/>
        </w:rPr>
        <w:t>Global sensitivity analysis of Human T-DM1 model parameters.</w:t>
      </w:r>
      <w:r>
        <w:t xml:space="preserve"> Latin hypercube partial rank correlation coefficient (LHS- PRCC) was performed to understand which parameters impacted tumor growth volume (summarized by AUC of tumor volume). Parameters shown had a Bonferroni-adjusted p-value &gt; 0.05 and are ordered from greatest to least sensitive based on their PRCC value. Drug parameters (e.g., DAR) were sampled from a linear uniform distribution (red), while most system parameters (e.g., biological parameters) were sampled from a log normal distribution (blue). </w:t>
      </w:r>
      <w:r w:rsidR="00DB5C71">
        <w:rPr>
          <w:color w:val="000000"/>
          <w:bdr w:val="none" w:sz="0" w:space="0" w:color="auto" w:frame="1"/>
        </w:rPr>
        <w:fldChar w:fldCharType="begin"/>
      </w:r>
      <w:r w:rsidR="00DB5C71">
        <w:rPr>
          <w:color w:val="000000"/>
          <w:bdr w:val="none" w:sz="0" w:space="0" w:color="auto" w:frame="1"/>
        </w:rPr>
        <w:instrText xml:space="preserve"> INCLUDEPICTURE "https://lh3.googleusercontent.com/Aem7g2v2b831Sy2-fuG_l4ZSmmYD7tCb_R9frzzZgyYVX40YWtL28hwvi9JhJJu-u1eqcZsBXQAGrH_5M51n0MJTyZJj_XQ7wrTFuYr7g-T-IvY5JKM0kljp-Bwty9xYKmn9Ec9cTMzCKsBxD1EjL_0" \* MERGEFORMATINET </w:instrText>
      </w:r>
      <w:r w:rsidR="00DB5C71">
        <w:rPr>
          <w:color w:val="000000"/>
          <w:bdr w:val="none" w:sz="0" w:space="0" w:color="auto" w:frame="1"/>
        </w:rPr>
        <w:fldChar w:fldCharType="separate"/>
      </w:r>
      <w:r w:rsidR="00DB5C71">
        <w:rPr>
          <w:noProof/>
          <w:color w:val="000000"/>
          <w:bdr w:val="none" w:sz="0" w:space="0" w:color="auto" w:frame="1"/>
        </w:rPr>
        <w:drawing>
          <wp:inline distT="0" distB="0" distL="0" distR="0" wp14:anchorId="5FC78315" wp14:editId="089784FA">
            <wp:extent cx="5943600" cy="2762250"/>
            <wp:effectExtent l="0" t="0" r="0" b="0"/>
            <wp:docPr id="2056386872" name="Picture 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5C71">
        <w:rPr>
          <w:color w:val="000000"/>
          <w:bdr w:val="none" w:sz="0" w:space="0" w:color="auto" w:frame="1"/>
        </w:rPr>
        <w:fldChar w:fldCharType="end"/>
      </w:r>
    </w:p>
    <w:p w14:paraId="3C84E52E" w14:textId="77777777" w:rsidR="000C7F93" w:rsidRDefault="000C7F93">
      <w:pPr>
        <w:rPr>
          <w:color w:val="000000"/>
          <w:bdr w:val="none" w:sz="0" w:space="0" w:color="auto" w:frame="1"/>
        </w:rPr>
      </w:pPr>
    </w:p>
    <w:p w14:paraId="596402FE" w14:textId="77777777" w:rsidR="000C7F93" w:rsidRDefault="000C7F93">
      <w:pPr>
        <w:rPr>
          <w:b/>
        </w:rPr>
      </w:pPr>
    </w:p>
    <w:p w14:paraId="770CCBFC" w14:textId="77777777" w:rsidR="004A0558" w:rsidRPr="0093379E" w:rsidRDefault="004A0558">
      <w:pPr>
        <w:widowControl w:val="0"/>
        <w:rPr>
          <w:bCs/>
        </w:rPr>
      </w:pPr>
    </w:p>
    <w:p w14:paraId="54DC09FD" w14:textId="77777777" w:rsidR="0093379E" w:rsidRPr="0093379E" w:rsidRDefault="0093379E" w:rsidP="0093379E">
      <w:pPr>
        <w:widowControl w:val="0"/>
        <w:ind w:left="720" w:hanging="720"/>
        <w:rPr>
          <w:bCs/>
        </w:rPr>
      </w:pPr>
      <w:r w:rsidRPr="0093379E">
        <w:rPr>
          <w:bCs/>
        </w:rPr>
        <w:lastRenderedPageBreak/>
        <w:t xml:space="preserve">1. </w:t>
      </w:r>
      <w:r w:rsidRPr="0093379E">
        <w:rPr>
          <w:bCs/>
        </w:rPr>
        <w:tab/>
        <w:t xml:space="preserve">Austin CD, De </w:t>
      </w:r>
      <w:proofErr w:type="spellStart"/>
      <w:r w:rsidRPr="0093379E">
        <w:rPr>
          <w:bCs/>
        </w:rPr>
        <w:t>Mazière</w:t>
      </w:r>
      <w:proofErr w:type="spellEnd"/>
      <w:r w:rsidRPr="0093379E">
        <w:rPr>
          <w:bCs/>
        </w:rPr>
        <w:t xml:space="preserve"> AM, </w:t>
      </w:r>
      <w:proofErr w:type="spellStart"/>
      <w:r w:rsidRPr="0093379E">
        <w:rPr>
          <w:bCs/>
        </w:rPr>
        <w:t>Pisacane</w:t>
      </w:r>
      <w:proofErr w:type="spellEnd"/>
      <w:r w:rsidRPr="0093379E">
        <w:rPr>
          <w:bCs/>
        </w:rPr>
        <w:t xml:space="preserve"> PI, et al (2004) Endocytosis and sorting of ErbB2 and the site of action of cancer therapeutics trastuzumab and geldanamycin. Mol Biol Cell 15:5268–5282</w:t>
      </w:r>
    </w:p>
    <w:p w14:paraId="1877FF9C" w14:textId="77777777" w:rsidR="0093379E" w:rsidRPr="0093379E" w:rsidRDefault="0093379E" w:rsidP="0093379E">
      <w:pPr>
        <w:widowControl w:val="0"/>
        <w:ind w:left="720" w:hanging="720"/>
        <w:rPr>
          <w:bCs/>
        </w:rPr>
      </w:pPr>
      <w:r w:rsidRPr="0093379E">
        <w:rPr>
          <w:bCs/>
        </w:rPr>
        <w:t xml:space="preserve">2. </w:t>
      </w:r>
      <w:r w:rsidRPr="0093379E">
        <w:rPr>
          <w:bCs/>
        </w:rPr>
        <w:tab/>
        <w:t xml:space="preserve">Li JY, Perry SR, Muniz-Medina V, et al (2016) A </w:t>
      </w:r>
      <w:proofErr w:type="spellStart"/>
      <w:r w:rsidRPr="0093379E">
        <w:rPr>
          <w:bCs/>
        </w:rPr>
        <w:t>Biparatopic</w:t>
      </w:r>
      <w:proofErr w:type="spellEnd"/>
      <w:r w:rsidRPr="0093379E">
        <w:rPr>
          <w:bCs/>
        </w:rPr>
        <w:t xml:space="preserve"> HER2-Targeting Antibody-Drug Conjugate Induces Tumor Regression in Primary Models Refractory to or Ineligible for HER2-Targeted Therapy. Cancer Cell 29:117–129</w:t>
      </w:r>
    </w:p>
    <w:p w14:paraId="4E95CF33" w14:textId="77777777" w:rsidR="0093379E" w:rsidRPr="0093379E" w:rsidRDefault="0093379E" w:rsidP="0093379E">
      <w:pPr>
        <w:widowControl w:val="0"/>
        <w:ind w:left="720" w:hanging="720"/>
        <w:rPr>
          <w:bCs/>
        </w:rPr>
      </w:pPr>
      <w:r w:rsidRPr="0093379E">
        <w:rPr>
          <w:bCs/>
        </w:rPr>
        <w:t xml:space="preserve">3. </w:t>
      </w:r>
      <w:r w:rsidRPr="0093379E">
        <w:rPr>
          <w:bCs/>
        </w:rPr>
        <w:tab/>
        <w:t xml:space="preserve">Erickson HK, Lewis Phillips GD, </w:t>
      </w:r>
      <w:proofErr w:type="spellStart"/>
      <w:r w:rsidRPr="0093379E">
        <w:rPr>
          <w:bCs/>
        </w:rPr>
        <w:t>Leipold</w:t>
      </w:r>
      <w:proofErr w:type="spellEnd"/>
      <w:r w:rsidRPr="0093379E">
        <w:rPr>
          <w:bCs/>
        </w:rPr>
        <w:t xml:space="preserve"> DD, et al (2012) The Effect of Different Linkers on Target Cell Catabolism and Pharmacokinetics/Pharmacodynamics of Trastuzumab </w:t>
      </w:r>
      <w:proofErr w:type="spellStart"/>
      <w:r w:rsidRPr="0093379E">
        <w:rPr>
          <w:bCs/>
        </w:rPr>
        <w:t>Maytansinoid</w:t>
      </w:r>
      <w:proofErr w:type="spellEnd"/>
      <w:r w:rsidRPr="0093379E">
        <w:rPr>
          <w:bCs/>
        </w:rPr>
        <w:t xml:space="preserve"> Conjugates. Mol Cancer </w:t>
      </w:r>
      <w:proofErr w:type="spellStart"/>
      <w:r w:rsidRPr="0093379E">
        <w:rPr>
          <w:bCs/>
        </w:rPr>
        <w:t>Ther</w:t>
      </w:r>
      <w:proofErr w:type="spellEnd"/>
      <w:r w:rsidRPr="0093379E">
        <w:rPr>
          <w:bCs/>
        </w:rPr>
        <w:t xml:space="preserve"> 11:1133–1142</w:t>
      </w:r>
    </w:p>
    <w:p w14:paraId="643AB4F6" w14:textId="77777777" w:rsidR="0093379E" w:rsidRPr="0093379E" w:rsidRDefault="0093379E" w:rsidP="0093379E">
      <w:pPr>
        <w:widowControl w:val="0"/>
        <w:ind w:left="720" w:hanging="720"/>
        <w:rPr>
          <w:bCs/>
        </w:rPr>
      </w:pPr>
      <w:r w:rsidRPr="0093379E">
        <w:rPr>
          <w:bCs/>
        </w:rPr>
        <w:t xml:space="preserve">4. </w:t>
      </w:r>
      <w:r w:rsidRPr="0093379E">
        <w:rPr>
          <w:bCs/>
        </w:rPr>
        <w:tab/>
        <w:t xml:space="preserve">Okamoto H, </w:t>
      </w:r>
      <w:proofErr w:type="spellStart"/>
      <w:r w:rsidRPr="0093379E">
        <w:rPr>
          <w:bCs/>
        </w:rPr>
        <w:t>Oitate</w:t>
      </w:r>
      <w:proofErr w:type="spellEnd"/>
      <w:r w:rsidRPr="0093379E">
        <w:rPr>
          <w:bCs/>
        </w:rPr>
        <w:t xml:space="preserve"> M, </w:t>
      </w:r>
      <w:proofErr w:type="spellStart"/>
      <w:r w:rsidRPr="0093379E">
        <w:rPr>
          <w:bCs/>
        </w:rPr>
        <w:t>Hagihara</w:t>
      </w:r>
      <w:proofErr w:type="spellEnd"/>
      <w:r w:rsidRPr="0093379E">
        <w:rPr>
          <w:bCs/>
        </w:rPr>
        <w:t xml:space="preserve"> K, et al (2020) Pharmacokinetics of trastuzumab </w:t>
      </w:r>
      <w:proofErr w:type="spellStart"/>
      <w:r w:rsidRPr="0093379E">
        <w:rPr>
          <w:bCs/>
        </w:rPr>
        <w:t>deruxtecan</w:t>
      </w:r>
      <w:proofErr w:type="spellEnd"/>
      <w:r w:rsidRPr="0093379E">
        <w:rPr>
          <w:bCs/>
        </w:rPr>
        <w:t xml:space="preserve"> (T-</w:t>
      </w:r>
      <w:proofErr w:type="spellStart"/>
      <w:r w:rsidRPr="0093379E">
        <w:rPr>
          <w:bCs/>
        </w:rPr>
        <w:t>DXd</w:t>
      </w:r>
      <w:proofErr w:type="spellEnd"/>
      <w:r w:rsidRPr="0093379E">
        <w:rPr>
          <w:bCs/>
        </w:rPr>
        <w:t xml:space="preserve">), a novel anti-HER2 antibody-drug conjugate, in HER2-positive </w:t>
      </w:r>
      <w:proofErr w:type="spellStart"/>
      <w:r w:rsidRPr="0093379E">
        <w:rPr>
          <w:bCs/>
        </w:rPr>
        <w:t>tumour</w:t>
      </w:r>
      <w:proofErr w:type="spellEnd"/>
      <w:r w:rsidRPr="0093379E">
        <w:rPr>
          <w:bCs/>
        </w:rPr>
        <w:t xml:space="preserve">-bearing mice. </w:t>
      </w:r>
      <w:proofErr w:type="spellStart"/>
      <w:r w:rsidRPr="0093379E">
        <w:rPr>
          <w:bCs/>
        </w:rPr>
        <w:t>Xenobiotica</w:t>
      </w:r>
      <w:proofErr w:type="spellEnd"/>
      <w:r w:rsidRPr="0093379E">
        <w:rPr>
          <w:bCs/>
        </w:rPr>
        <w:t xml:space="preserve"> 1–9</w:t>
      </w:r>
    </w:p>
    <w:p w14:paraId="40FA7BEE" w14:textId="3B3D2E9D" w:rsidR="004A0558" w:rsidRPr="0093379E" w:rsidRDefault="0093379E" w:rsidP="0093379E">
      <w:pPr>
        <w:widowControl w:val="0"/>
        <w:ind w:left="720" w:hanging="720"/>
        <w:rPr>
          <w:bCs/>
        </w:rPr>
      </w:pPr>
      <w:r w:rsidRPr="0093379E">
        <w:rPr>
          <w:bCs/>
        </w:rPr>
        <w:t xml:space="preserve">5. </w:t>
      </w:r>
      <w:r w:rsidRPr="0093379E">
        <w:rPr>
          <w:bCs/>
        </w:rPr>
        <w:tab/>
      </w:r>
      <w:proofErr w:type="spellStart"/>
      <w:r w:rsidRPr="0093379E">
        <w:rPr>
          <w:bCs/>
        </w:rPr>
        <w:t>Xie</w:t>
      </w:r>
      <w:proofErr w:type="spellEnd"/>
      <w:r w:rsidRPr="0093379E">
        <w:rPr>
          <w:bCs/>
        </w:rPr>
        <w:t xml:space="preserve"> H, Audette C, </w:t>
      </w:r>
      <w:proofErr w:type="spellStart"/>
      <w:r w:rsidRPr="0093379E">
        <w:rPr>
          <w:bCs/>
        </w:rPr>
        <w:t>Hoffee</w:t>
      </w:r>
      <w:proofErr w:type="spellEnd"/>
      <w:r w:rsidRPr="0093379E">
        <w:rPr>
          <w:bCs/>
        </w:rPr>
        <w:t xml:space="preserve"> M, et al (2004) Pharmacokinetics and biodistribution of the antitumor immunoconjugate, cantuzumab </w:t>
      </w:r>
      <w:proofErr w:type="spellStart"/>
      <w:r w:rsidRPr="0093379E">
        <w:rPr>
          <w:bCs/>
        </w:rPr>
        <w:t>mertansine</w:t>
      </w:r>
      <w:proofErr w:type="spellEnd"/>
      <w:r w:rsidRPr="0093379E">
        <w:rPr>
          <w:bCs/>
        </w:rPr>
        <w:t xml:space="preserve"> (huC242-DM1), and its two components in mice. J </w:t>
      </w:r>
      <w:proofErr w:type="spellStart"/>
      <w:r w:rsidRPr="0093379E">
        <w:rPr>
          <w:bCs/>
        </w:rPr>
        <w:t>Pharmacol</w:t>
      </w:r>
      <w:proofErr w:type="spellEnd"/>
      <w:r w:rsidRPr="0093379E">
        <w:rPr>
          <w:bCs/>
        </w:rPr>
        <w:t xml:space="preserve"> Exp </w:t>
      </w:r>
      <w:proofErr w:type="spellStart"/>
      <w:r w:rsidRPr="0093379E">
        <w:rPr>
          <w:bCs/>
        </w:rPr>
        <w:t>Ther</w:t>
      </w:r>
      <w:proofErr w:type="spellEnd"/>
      <w:r w:rsidRPr="0093379E">
        <w:rPr>
          <w:bCs/>
        </w:rPr>
        <w:t xml:space="preserve"> 308:1073–1082</w:t>
      </w:r>
    </w:p>
    <w:p w14:paraId="64713D30" w14:textId="77777777" w:rsidR="004A0558" w:rsidRDefault="004A0558">
      <w:pPr>
        <w:rPr>
          <w:b/>
        </w:rPr>
      </w:pPr>
    </w:p>
    <w:sectPr w:rsidR="004A055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039C3"/>
    <w:multiLevelType w:val="multilevel"/>
    <w:tmpl w:val="58BC8C02"/>
    <w:lvl w:ilvl="0">
      <w:start w:val="1"/>
      <w:numFmt w:val="upp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52677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558"/>
    <w:rsid w:val="000C7F93"/>
    <w:rsid w:val="004A0558"/>
    <w:rsid w:val="005834B0"/>
    <w:rsid w:val="008B3F15"/>
    <w:rsid w:val="0093379E"/>
    <w:rsid w:val="00C14B5C"/>
    <w:rsid w:val="00DB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5D5B0"/>
  <w15:docId w15:val="{225EE358-4BF9-AA4B-82F9-74F15EB0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3379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3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paperpile.com/c/2FlyGJ/TpPY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paperpile.com/c/2FlyGJ/KgMwM" TargetMode="Externa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paperpile.com/c/2FlyGJ/gOb1N" TargetMode="External"/><Relationship Id="rId5" Type="http://schemas.openxmlformats.org/officeDocument/2006/relationships/hyperlink" Target="mailto:alisonbetts72@gmail.com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paperpile.com/c/2FlyGJ/KgMw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797</Words>
  <Characters>4546</Characters>
  <Application>Microsoft Office Word</Application>
  <DocSecurity>0</DocSecurity>
  <Lines>37</Lines>
  <Paragraphs>10</Paragraphs>
  <ScaleCrop>false</ScaleCrop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Betts, Alison</dc:creator>
  <cp:lastModifiedBy>Betts, Alison</cp:lastModifiedBy>
  <cp:revision>5</cp:revision>
  <dcterms:created xsi:type="dcterms:W3CDTF">2023-08-04T11:43:00Z</dcterms:created>
  <dcterms:modified xsi:type="dcterms:W3CDTF">2023-08-04T13:45:00Z</dcterms:modified>
</cp:coreProperties>
</file>