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A8B36" w14:textId="1921018F" w:rsidR="002B0957" w:rsidRDefault="002B0957" w:rsidP="002B0957">
      <w:r>
        <w:rPr>
          <w:b/>
          <w:noProof/>
        </w:rPr>
        <w:drawing>
          <wp:inline distT="0" distB="0" distL="0" distR="0" wp14:anchorId="6EEB5900" wp14:editId="55C252A7">
            <wp:extent cx="5943600" cy="3522345"/>
            <wp:effectExtent l="0" t="0" r="0" b="0"/>
            <wp:docPr id="10665087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08769" name="Picture 106650876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Supplementary Figure 1:</w:t>
      </w:r>
      <w:r>
        <w:t xml:space="preserve"> True versus estimated target attainment based on sampling times. Simulated concentration-time points were collected at the specified times following each dose, with dense sampling indicating samples every 30 minutes starting at t = 3.25 h (post-infusion only) or t = 0.25 h (full interval) and ending at t = 23.25 h after each dose. </w:t>
      </w:r>
      <w:r>
        <w:t xml:space="preserve">Shaded grey regions indicate </w:t>
      </w:r>
      <w:r>
        <w:t>the target AUC (90 mg</w:t>
      </w:r>
      <w:r>
        <w:sym w:font="Symbol" w:char="F0D7"/>
      </w:r>
      <w:r>
        <w:t xml:space="preserve">h/L) </w:t>
      </w:r>
      <w:r>
        <w:sym w:font="Symbol" w:char="F0B1"/>
      </w:r>
      <w:r>
        <w:t xml:space="preserve"> 15%.</w:t>
      </w:r>
    </w:p>
    <w:p w14:paraId="011CD346" w14:textId="495CC47B" w:rsidR="00E00297" w:rsidRDefault="00E00297"/>
    <w:sectPr w:rsidR="00E00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32"/>
    <w:rsid w:val="001001F8"/>
    <w:rsid w:val="0028246D"/>
    <w:rsid w:val="002B0957"/>
    <w:rsid w:val="00CB6A32"/>
    <w:rsid w:val="00E0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3F52E0"/>
  <w15:chartTrackingRefBased/>
  <w15:docId w15:val="{AA18AA5C-456C-5C49-A370-66D03240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A32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Hughes</dc:creator>
  <cp:keywords/>
  <dc:description/>
  <cp:lastModifiedBy>Jasmine Hughes</cp:lastModifiedBy>
  <cp:revision>2</cp:revision>
  <dcterms:created xsi:type="dcterms:W3CDTF">2023-12-20T16:38:00Z</dcterms:created>
  <dcterms:modified xsi:type="dcterms:W3CDTF">2024-02-28T00:41:00Z</dcterms:modified>
</cp:coreProperties>
</file>