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1470" w14:textId="77777777" w:rsidR="006659FC" w:rsidRPr="006659FC" w:rsidRDefault="006659FC" w:rsidP="006659FC">
      <w:pPr>
        <w:rPr>
          <w:rFonts w:ascii="Calibri" w:hAnsi="Calibri" w:cs="Calibri"/>
        </w:rPr>
      </w:pPr>
      <w:r w:rsidRPr="006659FC">
        <w:rPr>
          <w:rFonts w:ascii="Calibri" w:hAnsi="Calibri" w:cs="Calibri"/>
        </w:rPr>
        <w:br w:type="page"/>
      </w:r>
    </w:p>
    <w:p w14:paraId="623F0E73" w14:textId="77777777" w:rsidR="006659FC" w:rsidRPr="006659FC" w:rsidRDefault="006659FC" w:rsidP="006659FC">
      <w:pPr>
        <w:rPr>
          <w:rFonts w:ascii="Calibri" w:hAnsi="Calibri" w:cs="Calibri"/>
        </w:rPr>
      </w:pPr>
    </w:p>
    <w:p w14:paraId="281A2D0B" w14:textId="77777777" w:rsidR="006659FC" w:rsidRPr="006659FC" w:rsidRDefault="006659FC" w:rsidP="006659FC">
      <w:pPr>
        <w:rPr>
          <w:rFonts w:ascii="Calibri" w:hAnsi="Calibri" w:cs="Calibri"/>
        </w:rPr>
      </w:pPr>
    </w:p>
    <w:p w14:paraId="0F3EBB9E" w14:textId="77777777" w:rsidR="006659FC" w:rsidRPr="006659FC" w:rsidRDefault="006659FC" w:rsidP="006659FC">
      <w:pPr>
        <w:rPr>
          <w:rFonts w:ascii="Calibri" w:hAnsi="Calibri" w:cs="Calibri"/>
        </w:rPr>
      </w:pPr>
      <w:r w:rsidRPr="006659FC">
        <w:rPr>
          <w:rFonts w:ascii="Calibri" w:hAnsi="Calibri" w:cs="Calibri"/>
        </w:rPr>
        <w:br w:type="page"/>
      </w:r>
    </w:p>
    <w:p w14:paraId="74B04DD9" w14:textId="200819C8" w:rsidR="006659FC" w:rsidRPr="006659FC" w:rsidRDefault="006659FC" w:rsidP="006659FC">
      <w:pPr>
        <w:rPr>
          <w:rFonts w:ascii="Calibri" w:hAnsi="Calibri" w:cs="Calibri"/>
          <w:b/>
          <w:bCs/>
        </w:rPr>
      </w:pPr>
      <w:r w:rsidRPr="006659FC">
        <w:rPr>
          <w:rFonts w:ascii="Calibri" w:hAnsi="Calibri" w:cs="Calibri"/>
          <w:b/>
          <w:bCs/>
        </w:rPr>
        <w:lastRenderedPageBreak/>
        <w:t xml:space="preserve">SUPPLEMENTAL MATERIAL </w:t>
      </w:r>
    </w:p>
    <w:p w14:paraId="2378EDA5" w14:textId="77777777" w:rsidR="006659FC" w:rsidRPr="006659FC" w:rsidRDefault="006659FC" w:rsidP="006659FC">
      <w:pPr>
        <w:rPr>
          <w:rFonts w:ascii="Calibri" w:hAnsi="Calibri" w:cs="Calibri"/>
        </w:rPr>
      </w:pPr>
    </w:p>
    <w:p w14:paraId="75EE78C6" w14:textId="03987371" w:rsidR="006659FC" w:rsidRPr="006659FC" w:rsidRDefault="006659FC" w:rsidP="006659FC">
      <w:pPr>
        <w:pStyle w:val="Caption"/>
        <w:keepNext/>
        <w:tabs>
          <w:tab w:val="clear" w:pos="1134"/>
        </w:tabs>
        <w:ind w:left="0" w:firstLine="0"/>
        <w:rPr>
          <w:rFonts w:cs="Calibri"/>
          <w:b w:val="0"/>
          <w:color w:val="000000" w:themeColor="text1"/>
        </w:rPr>
      </w:pPr>
      <w:bookmarkStart w:id="0" w:name="_Ref124401976"/>
      <w:bookmarkStart w:id="1" w:name="_Toc127439616"/>
      <w:r w:rsidRPr="006659FC">
        <w:rPr>
          <w:rFonts w:cs="Calibri"/>
        </w:rPr>
        <w:t>Table</w:t>
      </w:r>
      <w:bookmarkEnd w:id="0"/>
      <w:r w:rsidRPr="006659FC">
        <w:rPr>
          <w:rFonts w:cs="Calibri"/>
        </w:rPr>
        <w:t xml:space="preserve"> 7. </w:t>
      </w:r>
      <w:r w:rsidRPr="006659FC">
        <w:rPr>
          <w:rFonts w:cs="Calibri"/>
          <w:b w:val="0"/>
          <w:color w:val="000000" w:themeColor="text1"/>
        </w:rPr>
        <w:t>NONMEM parameter estimates for the PK for evaluation of ADA as a covariate on clearance</w:t>
      </w:r>
      <w:bookmarkEnd w:id="1"/>
      <w:r>
        <w:rPr>
          <w:rFonts w:cs="Calibri"/>
          <w:b w:val="0"/>
          <w:color w:val="000000" w:themeColor="text1"/>
        </w:rPr>
        <w:t>.</w:t>
      </w:r>
    </w:p>
    <w:p w14:paraId="7E3A8DBC" w14:textId="77777777" w:rsidR="006659FC" w:rsidRPr="006659FC" w:rsidRDefault="006659FC" w:rsidP="006659FC">
      <w:pPr>
        <w:pStyle w:val="BodyText"/>
        <w:rPr>
          <w:rFonts w:ascii="Calibri" w:hAnsi="Calibri" w:cs="Calibri"/>
          <w:lang w:val="en-US" w:eastAsia="ja-JP"/>
        </w:rPr>
      </w:pPr>
    </w:p>
    <w:tbl>
      <w:tblPr>
        <w:tblStyle w:val="TableClassic1"/>
        <w:tblW w:w="5000" w:type="pct"/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3973"/>
        <w:gridCol w:w="1580"/>
        <w:gridCol w:w="1725"/>
        <w:gridCol w:w="2119"/>
        <w:gridCol w:w="1521"/>
        <w:gridCol w:w="1521"/>
        <w:gridCol w:w="1519"/>
      </w:tblGrid>
      <w:tr w:rsidR="006659FC" w:rsidRPr="006659FC" w14:paraId="1B235F65" w14:textId="77777777" w:rsidTr="00665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589C355F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bookmarkStart w:id="2" w:name="PK_comparison_noIOV"/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Parameter name</w:t>
            </w:r>
          </w:p>
        </w:tc>
        <w:tc>
          <w:tcPr>
            <w:tcW w:w="566" w:type="pct"/>
          </w:tcPr>
          <w:p w14:paraId="7BB857A6" w14:textId="77777777" w:rsidR="006659FC" w:rsidRPr="006659FC" w:rsidRDefault="006659FC" w:rsidP="006659F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18" w:type="pct"/>
          </w:tcPr>
          <w:p w14:paraId="6A0768D9" w14:textId="77777777" w:rsidR="006659FC" w:rsidRPr="006659FC" w:rsidRDefault="006659FC" w:rsidP="006659F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759" w:type="pct"/>
          </w:tcPr>
          <w:p w14:paraId="394E3C40" w14:textId="77777777" w:rsidR="006659FC" w:rsidRPr="006659FC" w:rsidRDefault="006659FC" w:rsidP="006659F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45" w:type="pct"/>
          </w:tcPr>
          <w:p w14:paraId="096A40EA" w14:textId="77777777" w:rsidR="006659FC" w:rsidRPr="006659FC" w:rsidRDefault="006659FC" w:rsidP="006659F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45" w:type="pct"/>
          </w:tcPr>
          <w:p w14:paraId="4C49066E" w14:textId="77777777" w:rsidR="006659FC" w:rsidRPr="006659FC" w:rsidRDefault="006659FC" w:rsidP="006659F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44" w:type="pct"/>
          </w:tcPr>
          <w:p w14:paraId="2888975C" w14:textId="77777777" w:rsidR="006659FC" w:rsidRPr="006659FC" w:rsidRDefault="006659FC" w:rsidP="006659F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</w:p>
        </w:tc>
      </w:tr>
      <w:tr w:rsidR="006659FC" w:rsidRPr="006659FC" w14:paraId="41FB300F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370F574B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ADA model</w:t>
            </w:r>
          </w:p>
        </w:tc>
        <w:tc>
          <w:tcPr>
            <w:tcW w:w="566" w:type="pct"/>
          </w:tcPr>
          <w:p w14:paraId="6294BB86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Base Model</w:t>
            </w:r>
          </w:p>
        </w:tc>
        <w:tc>
          <w:tcPr>
            <w:tcW w:w="618" w:type="pct"/>
          </w:tcPr>
          <w:p w14:paraId="7EEAF75E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Separate TVCL</w:t>
            </w:r>
          </w:p>
        </w:tc>
        <w:tc>
          <w:tcPr>
            <w:tcW w:w="759" w:type="pct"/>
          </w:tcPr>
          <w:p w14:paraId="1720BC60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Separate TVCL and IIV</w:t>
            </w:r>
          </w:p>
        </w:tc>
        <w:tc>
          <w:tcPr>
            <w:tcW w:w="545" w:type="pct"/>
          </w:tcPr>
          <w:p w14:paraId="5DE75FA7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ADAEVER</w:t>
            </w:r>
          </w:p>
        </w:tc>
        <w:tc>
          <w:tcPr>
            <w:tcW w:w="545" w:type="pct"/>
          </w:tcPr>
          <w:p w14:paraId="104D6D07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ADAONCE</w:t>
            </w:r>
          </w:p>
        </w:tc>
        <w:tc>
          <w:tcPr>
            <w:tcW w:w="544" w:type="pct"/>
          </w:tcPr>
          <w:p w14:paraId="055C537A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ADALOCF</w:t>
            </w:r>
          </w:p>
        </w:tc>
      </w:tr>
      <w:tr w:rsidR="006659FC" w:rsidRPr="006659FC" w14:paraId="65C512D3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5C6F86E4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OFV</w:t>
            </w:r>
          </w:p>
        </w:tc>
        <w:tc>
          <w:tcPr>
            <w:tcW w:w="566" w:type="pct"/>
          </w:tcPr>
          <w:p w14:paraId="3D96B1B2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88029.470</w:t>
            </w:r>
          </w:p>
        </w:tc>
        <w:tc>
          <w:tcPr>
            <w:tcW w:w="618" w:type="pct"/>
          </w:tcPr>
          <w:p w14:paraId="592BBD79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87974.866</w:t>
            </w:r>
          </w:p>
        </w:tc>
        <w:tc>
          <w:tcPr>
            <w:tcW w:w="759" w:type="pct"/>
          </w:tcPr>
          <w:p w14:paraId="7E10B38E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87969.646</w:t>
            </w:r>
          </w:p>
        </w:tc>
        <w:tc>
          <w:tcPr>
            <w:tcW w:w="545" w:type="pct"/>
          </w:tcPr>
          <w:p w14:paraId="61C53E4D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87974.414</w:t>
            </w:r>
          </w:p>
        </w:tc>
        <w:tc>
          <w:tcPr>
            <w:tcW w:w="545" w:type="pct"/>
          </w:tcPr>
          <w:p w14:paraId="66F40994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87978.484</w:t>
            </w:r>
          </w:p>
        </w:tc>
        <w:tc>
          <w:tcPr>
            <w:tcW w:w="544" w:type="pct"/>
          </w:tcPr>
          <w:p w14:paraId="3B206B67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87980.705</w:t>
            </w:r>
          </w:p>
        </w:tc>
      </w:tr>
      <w:tr w:rsidR="006659FC" w:rsidRPr="006659FC" w14:paraId="0CFE7497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547022A2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ΔOFV</w:t>
            </w:r>
          </w:p>
        </w:tc>
        <w:tc>
          <w:tcPr>
            <w:tcW w:w="566" w:type="pct"/>
          </w:tcPr>
          <w:p w14:paraId="6CED95F6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</w:t>
            </w:r>
          </w:p>
        </w:tc>
        <w:tc>
          <w:tcPr>
            <w:tcW w:w="618" w:type="pct"/>
          </w:tcPr>
          <w:p w14:paraId="719EFAE5" w14:textId="5C2B6540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>
              <w:rPr>
                <w:rFonts w:cs="Calibri"/>
                <w:color w:val="000000" w:themeColor="text1"/>
                <w:szCs w:val="22"/>
                <w:lang w:eastAsia="en-US"/>
              </w:rPr>
              <w:t>−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54.604</w:t>
            </w:r>
          </w:p>
        </w:tc>
        <w:tc>
          <w:tcPr>
            <w:tcW w:w="759" w:type="pct"/>
          </w:tcPr>
          <w:p w14:paraId="7B0C1F32" w14:textId="25356945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>
              <w:rPr>
                <w:rFonts w:cs="Calibri"/>
                <w:color w:val="000000" w:themeColor="text1"/>
                <w:szCs w:val="22"/>
                <w:lang w:eastAsia="en-US"/>
              </w:rPr>
              <w:t>−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59.824</w:t>
            </w:r>
          </w:p>
        </w:tc>
        <w:tc>
          <w:tcPr>
            <w:tcW w:w="545" w:type="pct"/>
          </w:tcPr>
          <w:p w14:paraId="1B15B2AF" w14:textId="5E461AFA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>
              <w:rPr>
                <w:rFonts w:cs="Calibri"/>
                <w:color w:val="000000" w:themeColor="text1"/>
                <w:szCs w:val="22"/>
                <w:lang w:eastAsia="en-US"/>
              </w:rPr>
              <w:t>−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55.056</w:t>
            </w:r>
          </w:p>
        </w:tc>
        <w:tc>
          <w:tcPr>
            <w:tcW w:w="545" w:type="pct"/>
          </w:tcPr>
          <w:p w14:paraId="2A749E3F" w14:textId="375CA903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>
              <w:rPr>
                <w:rFonts w:cs="Calibri"/>
                <w:color w:val="000000" w:themeColor="text1"/>
                <w:szCs w:val="22"/>
                <w:lang w:eastAsia="en-US"/>
              </w:rPr>
              <w:t>−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50.986</w:t>
            </w:r>
          </w:p>
        </w:tc>
        <w:tc>
          <w:tcPr>
            <w:tcW w:w="544" w:type="pct"/>
          </w:tcPr>
          <w:p w14:paraId="56E792FA" w14:textId="426FF565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>
              <w:rPr>
                <w:rFonts w:cs="Calibri"/>
                <w:color w:val="000000" w:themeColor="text1"/>
                <w:szCs w:val="22"/>
                <w:lang w:eastAsia="en-US"/>
              </w:rPr>
              <w:t>−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48.765</w:t>
            </w:r>
          </w:p>
        </w:tc>
      </w:tr>
      <w:tr w:rsidR="006659FC" w:rsidRPr="006659FC" w14:paraId="1FCFF6C3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18CB6A53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Clearance, L/h</w:t>
            </w:r>
          </w:p>
        </w:tc>
        <w:tc>
          <w:tcPr>
            <w:tcW w:w="566" w:type="pct"/>
          </w:tcPr>
          <w:p w14:paraId="4EBA9EBC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0.0285</w:t>
            </w:r>
          </w:p>
        </w:tc>
        <w:tc>
          <w:tcPr>
            <w:tcW w:w="618" w:type="pct"/>
          </w:tcPr>
          <w:p w14:paraId="68686F0E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0.0335</w:t>
            </w:r>
          </w:p>
        </w:tc>
        <w:tc>
          <w:tcPr>
            <w:tcW w:w="759" w:type="pct"/>
          </w:tcPr>
          <w:p w14:paraId="09796759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0.0334</w:t>
            </w:r>
          </w:p>
        </w:tc>
        <w:tc>
          <w:tcPr>
            <w:tcW w:w="545" w:type="pct"/>
          </w:tcPr>
          <w:p w14:paraId="117E6D18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0.0279</w:t>
            </w:r>
          </w:p>
        </w:tc>
        <w:tc>
          <w:tcPr>
            <w:tcW w:w="545" w:type="pct"/>
          </w:tcPr>
          <w:p w14:paraId="3A2BE831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0.0283</w:t>
            </w:r>
          </w:p>
        </w:tc>
        <w:tc>
          <w:tcPr>
            <w:tcW w:w="544" w:type="pct"/>
          </w:tcPr>
          <w:p w14:paraId="41777BAA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0.0285</w:t>
            </w:r>
          </w:p>
        </w:tc>
      </w:tr>
      <w:tr w:rsidR="006659FC" w:rsidRPr="006659FC" w14:paraId="56E8B617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083A4DB1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Central volume, L</w:t>
            </w:r>
          </w:p>
        </w:tc>
        <w:tc>
          <w:tcPr>
            <w:tcW w:w="566" w:type="pct"/>
          </w:tcPr>
          <w:p w14:paraId="3FC33147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3.52</w:t>
            </w:r>
          </w:p>
        </w:tc>
        <w:tc>
          <w:tcPr>
            <w:tcW w:w="618" w:type="pct"/>
          </w:tcPr>
          <w:p w14:paraId="3E46508D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3.52</w:t>
            </w:r>
          </w:p>
        </w:tc>
        <w:tc>
          <w:tcPr>
            <w:tcW w:w="759" w:type="pct"/>
          </w:tcPr>
          <w:p w14:paraId="2A8D104F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3.52</w:t>
            </w:r>
          </w:p>
        </w:tc>
        <w:tc>
          <w:tcPr>
            <w:tcW w:w="545" w:type="pct"/>
          </w:tcPr>
          <w:p w14:paraId="00B76D70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3.52</w:t>
            </w:r>
          </w:p>
        </w:tc>
        <w:tc>
          <w:tcPr>
            <w:tcW w:w="545" w:type="pct"/>
          </w:tcPr>
          <w:p w14:paraId="17EE00C9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3.52</w:t>
            </w:r>
          </w:p>
        </w:tc>
        <w:tc>
          <w:tcPr>
            <w:tcW w:w="544" w:type="pct"/>
          </w:tcPr>
          <w:p w14:paraId="20A0E11C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3.51</w:t>
            </w:r>
          </w:p>
        </w:tc>
      </w:tr>
      <w:tr w:rsidR="006659FC" w:rsidRPr="006659FC" w14:paraId="79EBAF47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389E7A6B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Peripheral volume, L</w:t>
            </w:r>
          </w:p>
        </w:tc>
        <w:tc>
          <w:tcPr>
            <w:tcW w:w="566" w:type="pct"/>
          </w:tcPr>
          <w:p w14:paraId="32CB25CD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0.582</w:t>
            </w:r>
          </w:p>
        </w:tc>
        <w:tc>
          <w:tcPr>
            <w:tcW w:w="618" w:type="pct"/>
          </w:tcPr>
          <w:p w14:paraId="3675F587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0.587</w:t>
            </w:r>
          </w:p>
        </w:tc>
        <w:tc>
          <w:tcPr>
            <w:tcW w:w="759" w:type="pct"/>
          </w:tcPr>
          <w:p w14:paraId="6658FD87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0.57</w:t>
            </w:r>
          </w:p>
        </w:tc>
        <w:tc>
          <w:tcPr>
            <w:tcW w:w="545" w:type="pct"/>
          </w:tcPr>
          <w:p w14:paraId="7F031ACD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0.592</w:t>
            </w:r>
          </w:p>
        </w:tc>
        <w:tc>
          <w:tcPr>
            <w:tcW w:w="545" w:type="pct"/>
          </w:tcPr>
          <w:p w14:paraId="352826DB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0.595</w:t>
            </w:r>
          </w:p>
        </w:tc>
        <w:tc>
          <w:tcPr>
            <w:tcW w:w="544" w:type="pct"/>
          </w:tcPr>
          <w:p w14:paraId="6067671D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0.618</w:t>
            </w:r>
          </w:p>
        </w:tc>
      </w:tr>
      <w:tr w:rsidR="006659FC" w:rsidRPr="006659FC" w14:paraId="54BDDB6A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61B03EA3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Intercompartmental clearance, L/h</w:t>
            </w:r>
          </w:p>
        </w:tc>
        <w:tc>
          <w:tcPr>
            <w:tcW w:w="566" w:type="pct"/>
          </w:tcPr>
          <w:p w14:paraId="415FD931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0.0128</w:t>
            </w:r>
          </w:p>
        </w:tc>
        <w:tc>
          <w:tcPr>
            <w:tcW w:w="618" w:type="pct"/>
          </w:tcPr>
          <w:p w14:paraId="151C0ECF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0.012</w:t>
            </w:r>
          </w:p>
        </w:tc>
        <w:tc>
          <w:tcPr>
            <w:tcW w:w="759" w:type="pct"/>
          </w:tcPr>
          <w:p w14:paraId="7070E527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0.0117</w:t>
            </w:r>
          </w:p>
        </w:tc>
        <w:tc>
          <w:tcPr>
            <w:tcW w:w="545" w:type="pct"/>
          </w:tcPr>
          <w:p w14:paraId="3613EDB9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0.0127</w:t>
            </w:r>
          </w:p>
        </w:tc>
        <w:tc>
          <w:tcPr>
            <w:tcW w:w="545" w:type="pct"/>
          </w:tcPr>
          <w:p w14:paraId="3593A30E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0.0123</w:t>
            </w:r>
          </w:p>
        </w:tc>
        <w:tc>
          <w:tcPr>
            <w:tcW w:w="544" w:type="pct"/>
          </w:tcPr>
          <w:p w14:paraId="7BE3298C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0.0145</w:t>
            </w:r>
          </w:p>
        </w:tc>
      </w:tr>
      <w:tr w:rsidR="006659FC" w:rsidRPr="006659FC" w14:paraId="28A233F2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12975F95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I</w:t>
            </w:r>
            <w:r w:rsidRPr="006659FC">
              <w:rPr>
                <w:rFonts w:cs="Calibri"/>
                <w:color w:val="000000" w:themeColor="text1"/>
                <w:szCs w:val="22"/>
                <w:vertAlign w:val="subscript"/>
                <w:lang w:eastAsia="en-US"/>
              </w:rPr>
              <w:t>max</w:t>
            </w:r>
          </w:p>
        </w:tc>
        <w:tc>
          <w:tcPr>
            <w:tcW w:w="566" w:type="pct"/>
          </w:tcPr>
          <w:p w14:paraId="543A8416" w14:textId="52A5B4BC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>
              <w:rPr>
                <w:rFonts w:cs="Calibri"/>
                <w:color w:val="000000" w:themeColor="text1"/>
                <w:szCs w:val="22"/>
                <w:lang w:eastAsia="en-US"/>
              </w:rPr>
              <w:t>−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0.015</w:t>
            </w:r>
          </w:p>
        </w:tc>
        <w:tc>
          <w:tcPr>
            <w:tcW w:w="618" w:type="pct"/>
          </w:tcPr>
          <w:p w14:paraId="63EA193B" w14:textId="77E16B58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>
              <w:rPr>
                <w:rFonts w:cs="Calibri"/>
                <w:color w:val="000000" w:themeColor="text1"/>
                <w:szCs w:val="22"/>
                <w:lang w:eastAsia="en-US"/>
              </w:rPr>
              <w:t>−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0.0175</w:t>
            </w:r>
          </w:p>
        </w:tc>
        <w:tc>
          <w:tcPr>
            <w:tcW w:w="759" w:type="pct"/>
          </w:tcPr>
          <w:p w14:paraId="26D6D316" w14:textId="34BBFEE0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>
              <w:rPr>
                <w:rFonts w:cs="Calibri"/>
                <w:color w:val="000000" w:themeColor="text1"/>
                <w:szCs w:val="22"/>
                <w:lang w:eastAsia="en-US"/>
              </w:rPr>
              <w:t>−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0.0193</w:t>
            </w:r>
          </w:p>
        </w:tc>
        <w:tc>
          <w:tcPr>
            <w:tcW w:w="545" w:type="pct"/>
          </w:tcPr>
          <w:p w14:paraId="1A6CC6FD" w14:textId="103F9BD3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>
              <w:rPr>
                <w:rFonts w:cs="Calibri"/>
                <w:color w:val="000000" w:themeColor="text1"/>
                <w:szCs w:val="22"/>
                <w:lang w:eastAsia="en-US"/>
              </w:rPr>
              <w:t>−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0.0157</w:t>
            </w:r>
          </w:p>
        </w:tc>
        <w:tc>
          <w:tcPr>
            <w:tcW w:w="545" w:type="pct"/>
          </w:tcPr>
          <w:p w14:paraId="5A1AA323" w14:textId="6A0228CE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>
              <w:rPr>
                <w:rFonts w:cs="Calibri"/>
                <w:color w:val="000000" w:themeColor="text1"/>
                <w:szCs w:val="22"/>
                <w:lang w:eastAsia="en-US"/>
              </w:rPr>
              <w:t>−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0.0164</w:t>
            </w:r>
          </w:p>
        </w:tc>
        <w:tc>
          <w:tcPr>
            <w:tcW w:w="544" w:type="pct"/>
          </w:tcPr>
          <w:p w14:paraId="4AF15DA4" w14:textId="26ED4C58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>
              <w:rPr>
                <w:rFonts w:cs="Calibri"/>
                <w:color w:val="000000" w:themeColor="text1"/>
                <w:szCs w:val="22"/>
                <w:lang w:eastAsia="en-US"/>
              </w:rPr>
              <w:t>−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0.0144</w:t>
            </w:r>
          </w:p>
        </w:tc>
      </w:tr>
      <w:tr w:rsidR="006659FC" w:rsidRPr="006659FC" w14:paraId="1CD65DA2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71AF9CCF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T</w:t>
            </w:r>
            <w:r w:rsidRPr="006659FC">
              <w:rPr>
                <w:rFonts w:cs="Calibri"/>
                <w:color w:val="000000" w:themeColor="text1"/>
                <w:szCs w:val="22"/>
                <w:vertAlign w:val="subscript"/>
                <w:lang w:eastAsia="en-US"/>
              </w:rPr>
              <w:t>50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 xml:space="preserve">, days </w:t>
            </w:r>
          </w:p>
        </w:tc>
        <w:tc>
          <w:tcPr>
            <w:tcW w:w="566" w:type="pct"/>
          </w:tcPr>
          <w:p w14:paraId="791F9F7E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51.9</w:t>
            </w:r>
          </w:p>
        </w:tc>
        <w:tc>
          <w:tcPr>
            <w:tcW w:w="618" w:type="pct"/>
          </w:tcPr>
          <w:p w14:paraId="4D368D00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53.3</w:t>
            </w:r>
          </w:p>
        </w:tc>
        <w:tc>
          <w:tcPr>
            <w:tcW w:w="759" w:type="pct"/>
          </w:tcPr>
          <w:p w14:paraId="40CC05F4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52.1</w:t>
            </w:r>
          </w:p>
        </w:tc>
        <w:tc>
          <w:tcPr>
            <w:tcW w:w="545" w:type="pct"/>
          </w:tcPr>
          <w:p w14:paraId="6E0D2A05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52.9</w:t>
            </w:r>
          </w:p>
        </w:tc>
        <w:tc>
          <w:tcPr>
            <w:tcW w:w="545" w:type="pct"/>
          </w:tcPr>
          <w:p w14:paraId="0A11ED7E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55.3</w:t>
            </w:r>
          </w:p>
        </w:tc>
        <w:tc>
          <w:tcPr>
            <w:tcW w:w="544" w:type="pct"/>
          </w:tcPr>
          <w:p w14:paraId="6CD0AEFF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52.3</w:t>
            </w:r>
          </w:p>
        </w:tc>
      </w:tr>
      <w:tr w:rsidR="006659FC" w:rsidRPr="006659FC" w14:paraId="0ACF66C2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66D2C007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γ</w:t>
            </w:r>
          </w:p>
        </w:tc>
        <w:tc>
          <w:tcPr>
            <w:tcW w:w="566" w:type="pct"/>
          </w:tcPr>
          <w:p w14:paraId="3E1DC4E1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2.59</w:t>
            </w:r>
          </w:p>
        </w:tc>
        <w:tc>
          <w:tcPr>
            <w:tcW w:w="618" w:type="pct"/>
          </w:tcPr>
          <w:p w14:paraId="1716BAA4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2.66</w:t>
            </w:r>
          </w:p>
        </w:tc>
        <w:tc>
          <w:tcPr>
            <w:tcW w:w="759" w:type="pct"/>
          </w:tcPr>
          <w:p w14:paraId="5E02E351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2.53</w:t>
            </w:r>
          </w:p>
        </w:tc>
        <w:tc>
          <w:tcPr>
            <w:tcW w:w="545" w:type="pct"/>
          </w:tcPr>
          <w:p w14:paraId="2FD78E0B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2.61</w:t>
            </w:r>
          </w:p>
        </w:tc>
        <w:tc>
          <w:tcPr>
            <w:tcW w:w="545" w:type="pct"/>
          </w:tcPr>
          <w:p w14:paraId="7B70F9E2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2.65</w:t>
            </w:r>
          </w:p>
        </w:tc>
        <w:tc>
          <w:tcPr>
            <w:tcW w:w="544" w:type="pct"/>
          </w:tcPr>
          <w:p w14:paraId="382F54A7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2.75</w:t>
            </w:r>
          </w:p>
        </w:tc>
      </w:tr>
      <w:tr w:rsidR="006659FC" w:rsidRPr="006659FC" w14:paraId="415E7810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51A5DD05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Weight on clearance</w:t>
            </w:r>
          </w:p>
        </w:tc>
        <w:tc>
          <w:tcPr>
            <w:tcW w:w="566" w:type="pct"/>
          </w:tcPr>
          <w:p w14:paraId="631CD9AA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0.75*</w:t>
            </w:r>
          </w:p>
        </w:tc>
        <w:tc>
          <w:tcPr>
            <w:tcW w:w="618" w:type="pct"/>
          </w:tcPr>
          <w:p w14:paraId="64D72838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0.75*</w:t>
            </w:r>
          </w:p>
        </w:tc>
        <w:tc>
          <w:tcPr>
            <w:tcW w:w="759" w:type="pct"/>
          </w:tcPr>
          <w:p w14:paraId="2D2EE7E7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0.75*</w:t>
            </w:r>
          </w:p>
        </w:tc>
        <w:tc>
          <w:tcPr>
            <w:tcW w:w="545" w:type="pct"/>
          </w:tcPr>
          <w:p w14:paraId="7B83508C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0.75*</w:t>
            </w:r>
          </w:p>
        </w:tc>
        <w:tc>
          <w:tcPr>
            <w:tcW w:w="545" w:type="pct"/>
          </w:tcPr>
          <w:p w14:paraId="77B5FD92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0.75*</w:t>
            </w:r>
          </w:p>
        </w:tc>
        <w:tc>
          <w:tcPr>
            <w:tcW w:w="544" w:type="pct"/>
          </w:tcPr>
          <w:p w14:paraId="1BCDCDD7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0.75*</w:t>
            </w:r>
          </w:p>
        </w:tc>
      </w:tr>
      <w:tr w:rsidR="006659FC" w:rsidRPr="006659FC" w14:paraId="706F016F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6030D82D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Weight on central volume</w:t>
            </w:r>
          </w:p>
        </w:tc>
        <w:tc>
          <w:tcPr>
            <w:tcW w:w="566" w:type="pct"/>
          </w:tcPr>
          <w:p w14:paraId="4CE2126F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1*</w:t>
            </w:r>
          </w:p>
        </w:tc>
        <w:tc>
          <w:tcPr>
            <w:tcW w:w="618" w:type="pct"/>
          </w:tcPr>
          <w:p w14:paraId="17EA0F3B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1*</w:t>
            </w:r>
          </w:p>
        </w:tc>
        <w:tc>
          <w:tcPr>
            <w:tcW w:w="759" w:type="pct"/>
          </w:tcPr>
          <w:p w14:paraId="09571B49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1*</w:t>
            </w:r>
          </w:p>
        </w:tc>
        <w:tc>
          <w:tcPr>
            <w:tcW w:w="545" w:type="pct"/>
          </w:tcPr>
          <w:p w14:paraId="6DBE729E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1*</w:t>
            </w:r>
          </w:p>
        </w:tc>
        <w:tc>
          <w:tcPr>
            <w:tcW w:w="545" w:type="pct"/>
          </w:tcPr>
          <w:p w14:paraId="3E4012F5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1*</w:t>
            </w:r>
          </w:p>
        </w:tc>
        <w:tc>
          <w:tcPr>
            <w:tcW w:w="544" w:type="pct"/>
          </w:tcPr>
          <w:p w14:paraId="3B2408B6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1*</w:t>
            </w:r>
          </w:p>
        </w:tc>
      </w:tr>
      <w:tr w:rsidR="006659FC" w:rsidRPr="006659FC" w14:paraId="3DAB683B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6D96FEED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Weight on peripheral volume, L</w:t>
            </w:r>
          </w:p>
        </w:tc>
        <w:tc>
          <w:tcPr>
            <w:tcW w:w="566" w:type="pct"/>
          </w:tcPr>
          <w:p w14:paraId="54BEB0D3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1*</w:t>
            </w:r>
          </w:p>
        </w:tc>
        <w:tc>
          <w:tcPr>
            <w:tcW w:w="618" w:type="pct"/>
          </w:tcPr>
          <w:p w14:paraId="329269B1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1*</w:t>
            </w:r>
          </w:p>
        </w:tc>
        <w:tc>
          <w:tcPr>
            <w:tcW w:w="759" w:type="pct"/>
          </w:tcPr>
          <w:p w14:paraId="35ED7961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1*</w:t>
            </w:r>
          </w:p>
        </w:tc>
        <w:tc>
          <w:tcPr>
            <w:tcW w:w="545" w:type="pct"/>
          </w:tcPr>
          <w:p w14:paraId="72563C0D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1*</w:t>
            </w:r>
          </w:p>
        </w:tc>
        <w:tc>
          <w:tcPr>
            <w:tcW w:w="545" w:type="pct"/>
          </w:tcPr>
          <w:p w14:paraId="714AB94D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1*</w:t>
            </w:r>
          </w:p>
        </w:tc>
        <w:tc>
          <w:tcPr>
            <w:tcW w:w="544" w:type="pct"/>
          </w:tcPr>
          <w:p w14:paraId="5AB3C578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1*</w:t>
            </w:r>
          </w:p>
        </w:tc>
      </w:tr>
      <w:tr w:rsidR="006659FC" w:rsidRPr="006659FC" w14:paraId="623D102D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73CA7EE4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Weight on intercompartmental clearance</w:t>
            </w:r>
          </w:p>
        </w:tc>
        <w:tc>
          <w:tcPr>
            <w:tcW w:w="566" w:type="pct"/>
          </w:tcPr>
          <w:p w14:paraId="3A72DA67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0.75*</w:t>
            </w:r>
          </w:p>
        </w:tc>
        <w:tc>
          <w:tcPr>
            <w:tcW w:w="618" w:type="pct"/>
          </w:tcPr>
          <w:p w14:paraId="633178B5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0.75*</w:t>
            </w:r>
          </w:p>
        </w:tc>
        <w:tc>
          <w:tcPr>
            <w:tcW w:w="759" w:type="pct"/>
          </w:tcPr>
          <w:p w14:paraId="7BF0A90B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0.75*</w:t>
            </w:r>
          </w:p>
        </w:tc>
        <w:tc>
          <w:tcPr>
            <w:tcW w:w="545" w:type="pct"/>
          </w:tcPr>
          <w:p w14:paraId="5A91FD69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0.75*</w:t>
            </w:r>
          </w:p>
        </w:tc>
        <w:tc>
          <w:tcPr>
            <w:tcW w:w="545" w:type="pct"/>
          </w:tcPr>
          <w:p w14:paraId="2DB38D12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0.75*</w:t>
            </w:r>
          </w:p>
        </w:tc>
        <w:tc>
          <w:tcPr>
            <w:tcW w:w="544" w:type="pct"/>
          </w:tcPr>
          <w:p w14:paraId="5C37C2E7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0.75*</w:t>
            </w:r>
          </w:p>
        </w:tc>
      </w:tr>
      <w:tr w:rsidR="006659FC" w:rsidRPr="006659FC" w14:paraId="536D418D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5BA27CA4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Increase in clearance, %</w:t>
            </w:r>
          </w:p>
        </w:tc>
        <w:tc>
          <w:tcPr>
            <w:tcW w:w="566" w:type="pct"/>
          </w:tcPr>
          <w:p w14:paraId="039487CF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18" w:type="pct"/>
          </w:tcPr>
          <w:p w14:paraId="742AB6B6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759" w:type="pct"/>
          </w:tcPr>
          <w:p w14:paraId="25B04BE5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45" w:type="pct"/>
          </w:tcPr>
          <w:p w14:paraId="775C59B1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0.199</w:t>
            </w:r>
          </w:p>
        </w:tc>
        <w:tc>
          <w:tcPr>
            <w:tcW w:w="545" w:type="pct"/>
          </w:tcPr>
          <w:p w14:paraId="2CE9E2C6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0.106</w:t>
            </w:r>
          </w:p>
        </w:tc>
        <w:tc>
          <w:tcPr>
            <w:tcW w:w="544" w:type="pct"/>
          </w:tcPr>
          <w:p w14:paraId="23AD88FE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0.0849</w:t>
            </w:r>
          </w:p>
        </w:tc>
      </w:tr>
      <w:tr w:rsidR="006659FC" w:rsidRPr="006659FC" w14:paraId="29F67F58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2178B0CA" w14:textId="0C30008B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Clearance ADA</w:t>
            </w:r>
            <w:r>
              <w:rPr>
                <w:rFonts w:cs="Calibri"/>
                <w:color w:val="000000" w:themeColor="text1"/>
                <w:szCs w:val="22"/>
                <w:lang w:eastAsia="en-US"/>
              </w:rPr>
              <w:t>−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, L/h/</w:t>
            </w:r>
          </w:p>
        </w:tc>
        <w:tc>
          <w:tcPr>
            <w:tcW w:w="566" w:type="pct"/>
          </w:tcPr>
          <w:p w14:paraId="2E2304CF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18" w:type="pct"/>
          </w:tcPr>
          <w:p w14:paraId="107C415C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0.0279</w:t>
            </w:r>
          </w:p>
        </w:tc>
        <w:tc>
          <w:tcPr>
            <w:tcW w:w="759" w:type="pct"/>
          </w:tcPr>
          <w:p w14:paraId="09E416D4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0.0278</w:t>
            </w:r>
          </w:p>
        </w:tc>
        <w:tc>
          <w:tcPr>
            <w:tcW w:w="545" w:type="pct"/>
          </w:tcPr>
          <w:p w14:paraId="0E4C8388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0.199</w:t>
            </w:r>
          </w:p>
        </w:tc>
        <w:tc>
          <w:tcPr>
            <w:tcW w:w="545" w:type="pct"/>
          </w:tcPr>
          <w:p w14:paraId="285EBAF2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0.106</w:t>
            </w:r>
          </w:p>
        </w:tc>
        <w:tc>
          <w:tcPr>
            <w:tcW w:w="544" w:type="pct"/>
          </w:tcPr>
          <w:p w14:paraId="553694C7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0.0849</w:t>
            </w:r>
          </w:p>
        </w:tc>
      </w:tr>
      <w:tr w:rsidR="006659FC" w:rsidRPr="006659FC" w14:paraId="32C3EA02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70801FC5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IIV on CL, %</w:t>
            </w:r>
          </w:p>
        </w:tc>
        <w:tc>
          <w:tcPr>
            <w:tcW w:w="566" w:type="pct"/>
          </w:tcPr>
          <w:p w14:paraId="7E4FA95F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34.3%</w:t>
            </w:r>
          </w:p>
        </w:tc>
        <w:tc>
          <w:tcPr>
            <w:tcW w:w="618" w:type="pct"/>
          </w:tcPr>
          <w:p w14:paraId="5121956D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33.8%</w:t>
            </w:r>
          </w:p>
        </w:tc>
        <w:tc>
          <w:tcPr>
            <w:tcW w:w="759" w:type="pct"/>
          </w:tcPr>
          <w:p w14:paraId="106E5071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33.3%</w:t>
            </w:r>
          </w:p>
        </w:tc>
        <w:tc>
          <w:tcPr>
            <w:tcW w:w="545" w:type="pct"/>
          </w:tcPr>
          <w:p w14:paraId="7310AA5B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33.8%</w:t>
            </w:r>
          </w:p>
        </w:tc>
        <w:tc>
          <w:tcPr>
            <w:tcW w:w="545" w:type="pct"/>
          </w:tcPr>
          <w:p w14:paraId="616464CF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34.1%</w:t>
            </w:r>
          </w:p>
        </w:tc>
        <w:tc>
          <w:tcPr>
            <w:tcW w:w="544" w:type="pct"/>
          </w:tcPr>
          <w:p w14:paraId="637C4DDC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34.1%</w:t>
            </w:r>
          </w:p>
        </w:tc>
      </w:tr>
      <w:tr w:rsidR="006659FC" w:rsidRPr="006659FC" w14:paraId="624C4A53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20F51696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IIV on V1, %</w:t>
            </w:r>
          </w:p>
        </w:tc>
        <w:tc>
          <w:tcPr>
            <w:tcW w:w="566" w:type="pct"/>
          </w:tcPr>
          <w:p w14:paraId="75703362" w14:textId="04E0F05E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22</w:t>
            </w:r>
            <w:r>
              <w:rPr>
                <w:rFonts w:cs="Calibri"/>
                <w:color w:val="000000" w:themeColor="text1"/>
                <w:szCs w:val="22"/>
                <w:lang w:eastAsia="en-US"/>
              </w:rPr>
              <w:t>.0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%</w:t>
            </w:r>
          </w:p>
        </w:tc>
        <w:tc>
          <w:tcPr>
            <w:tcW w:w="618" w:type="pct"/>
          </w:tcPr>
          <w:p w14:paraId="6C702DF6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22.1%</w:t>
            </w:r>
          </w:p>
        </w:tc>
        <w:tc>
          <w:tcPr>
            <w:tcW w:w="759" w:type="pct"/>
          </w:tcPr>
          <w:p w14:paraId="26A01DD8" w14:textId="6614832E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22</w:t>
            </w:r>
            <w:r>
              <w:rPr>
                <w:rFonts w:cs="Calibri"/>
                <w:color w:val="000000" w:themeColor="text1"/>
                <w:szCs w:val="22"/>
                <w:lang w:eastAsia="en-US"/>
              </w:rPr>
              <w:t>.0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%</w:t>
            </w:r>
          </w:p>
        </w:tc>
        <w:tc>
          <w:tcPr>
            <w:tcW w:w="545" w:type="pct"/>
          </w:tcPr>
          <w:p w14:paraId="67A5BB76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22.1%</w:t>
            </w:r>
          </w:p>
        </w:tc>
        <w:tc>
          <w:tcPr>
            <w:tcW w:w="545" w:type="pct"/>
          </w:tcPr>
          <w:p w14:paraId="5C158F75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22.1%</w:t>
            </w:r>
          </w:p>
        </w:tc>
        <w:tc>
          <w:tcPr>
            <w:tcW w:w="544" w:type="pct"/>
          </w:tcPr>
          <w:p w14:paraId="422D636E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22.1%</w:t>
            </w:r>
          </w:p>
        </w:tc>
      </w:tr>
      <w:tr w:rsidR="006659FC" w:rsidRPr="006659FC" w14:paraId="664D152C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23CC4A6A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IIV on I</w:t>
            </w:r>
            <w:r w:rsidRPr="006659FC">
              <w:rPr>
                <w:rFonts w:cs="Calibri"/>
                <w:color w:val="000000" w:themeColor="text1"/>
                <w:szCs w:val="22"/>
                <w:vertAlign w:val="subscript"/>
                <w:lang w:eastAsia="en-US"/>
              </w:rPr>
              <w:t>max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, %</w:t>
            </w:r>
          </w:p>
        </w:tc>
        <w:tc>
          <w:tcPr>
            <w:tcW w:w="566" w:type="pct"/>
          </w:tcPr>
          <w:p w14:paraId="6F4F8C70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21.8%</w:t>
            </w:r>
          </w:p>
        </w:tc>
        <w:tc>
          <w:tcPr>
            <w:tcW w:w="618" w:type="pct"/>
          </w:tcPr>
          <w:p w14:paraId="59CB8CE9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21.5%</w:t>
            </w:r>
          </w:p>
        </w:tc>
        <w:tc>
          <w:tcPr>
            <w:tcW w:w="759" w:type="pct"/>
          </w:tcPr>
          <w:p w14:paraId="70E9B9F5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37.3%</w:t>
            </w:r>
          </w:p>
        </w:tc>
        <w:tc>
          <w:tcPr>
            <w:tcW w:w="545" w:type="pct"/>
          </w:tcPr>
          <w:p w14:paraId="518FDABF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21.7%</w:t>
            </w:r>
          </w:p>
        </w:tc>
        <w:tc>
          <w:tcPr>
            <w:tcW w:w="545" w:type="pct"/>
          </w:tcPr>
          <w:p w14:paraId="16C7BD36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21.7%</w:t>
            </w:r>
          </w:p>
        </w:tc>
        <w:tc>
          <w:tcPr>
            <w:tcW w:w="544" w:type="pct"/>
          </w:tcPr>
          <w:p w14:paraId="07B282B5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21.2%</w:t>
            </w:r>
          </w:p>
        </w:tc>
      </w:tr>
      <w:tr w:rsidR="006659FC" w:rsidRPr="006659FC" w14:paraId="1CA4051A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36321466" w14:textId="74F44C4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IIV on CL(ADA</w:t>
            </w:r>
            <w:r>
              <w:rPr>
                <w:rFonts w:cs="Calibri"/>
                <w:color w:val="000000" w:themeColor="text1"/>
                <w:szCs w:val="22"/>
                <w:lang w:eastAsia="en-US"/>
              </w:rPr>
              <w:t>−</w:t>
            </w: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), %</w:t>
            </w:r>
          </w:p>
        </w:tc>
        <w:tc>
          <w:tcPr>
            <w:tcW w:w="566" w:type="pct"/>
          </w:tcPr>
          <w:p w14:paraId="3A45579C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18" w:type="pct"/>
          </w:tcPr>
          <w:p w14:paraId="113ECB40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759" w:type="pct"/>
          </w:tcPr>
          <w:p w14:paraId="310805FB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21.7%</w:t>
            </w:r>
          </w:p>
        </w:tc>
        <w:tc>
          <w:tcPr>
            <w:tcW w:w="545" w:type="pct"/>
          </w:tcPr>
          <w:p w14:paraId="1BDA3CB6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45" w:type="pct"/>
          </w:tcPr>
          <w:p w14:paraId="1E57D362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44" w:type="pct"/>
          </w:tcPr>
          <w:p w14:paraId="2A551219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</w:p>
        </w:tc>
      </w:tr>
      <w:tr w:rsidR="006659FC" w:rsidRPr="006659FC" w14:paraId="465A974F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5B647CE0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Proportional residual error (</w:t>
            </w:r>
            <w:proofErr w:type="spellStart"/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σ</w:t>
            </w:r>
            <w:r w:rsidRPr="006659FC">
              <w:rPr>
                <w:rFonts w:cs="Calibri"/>
                <w:color w:val="000000" w:themeColor="text1"/>
                <w:szCs w:val="22"/>
                <w:vertAlign w:val="subscript"/>
                <w:lang w:eastAsia="en-US"/>
              </w:rPr>
              <w:t>prop</w:t>
            </w:r>
            <w:proofErr w:type="spellEnd"/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), %</w:t>
            </w:r>
          </w:p>
        </w:tc>
        <w:tc>
          <w:tcPr>
            <w:tcW w:w="566" w:type="pct"/>
          </w:tcPr>
          <w:p w14:paraId="391793B0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21.1%</w:t>
            </w:r>
          </w:p>
        </w:tc>
        <w:tc>
          <w:tcPr>
            <w:tcW w:w="618" w:type="pct"/>
          </w:tcPr>
          <w:p w14:paraId="58899982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21.1%</w:t>
            </w:r>
          </w:p>
        </w:tc>
        <w:tc>
          <w:tcPr>
            <w:tcW w:w="759" w:type="pct"/>
          </w:tcPr>
          <w:p w14:paraId="31D2F083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21.1%</w:t>
            </w:r>
          </w:p>
        </w:tc>
        <w:tc>
          <w:tcPr>
            <w:tcW w:w="545" w:type="pct"/>
          </w:tcPr>
          <w:p w14:paraId="046194BB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21.1%</w:t>
            </w:r>
          </w:p>
        </w:tc>
        <w:tc>
          <w:tcPr>
            <w:tcW w:w="545" w:type="pct"/>
          </w:tcPr>
          <w:p w14:paraId="2E9373D2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21.1%</w:t>
            </w:r>
          </w:p>
        </w:tc>
        <w:tc>
          <w:tcPr>
            <w:tcW w:w="544" w:type="pct"/>
          </w:tcPr>
          <w:p w14:paraId="69CF075E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21.1%</w:t>
            </w:r>
          </w:p>
        </w:tc>
      </w:tr>
      <w:tr w:rsidR="006659FC" w:rsidRPr="006659FC" w14:paraId="66243551" w14:textId="77777777" w:rsidTr="00665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pct"/>
          </w:tcPr>
          <w:p w14:paraId="1C6B9CB3" w14:textId="77777777" w:rsidR="006659FC" w:rsidRPr="006659FC" w:rsidRDefault="006659FC" w:rsidP="006659FC">
            <w:pPr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Additive residual error (</w:t>
            </w:r>
            <w:proofErr w:type="spellStart"/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σ</w:t>
            </w:r>
            <w:r w:rsidRPr="006659FC">
              <w:rPr>
                <w:rFonts w:cs="Calibri"/>
                <w:color w:val="000000" w:themeColor="text1"/>
                <w:szCs w:val="22"/>
                <w:vertAlign w:val="subscript"/>
                <w:lang w:eastAsia="en-US"/>
              </w:rPr>
              <w:t>add</w:t>
            </w:r>
            <w:proofErr w:type="spellEnd"/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), ng/mL</w:t>
            </w:r>
          </w:p>
        </w:tc>
        <w:tc>
          <w:tcPr>
            <w:tcW w:w="566" w:type="pct"/>
          </w:tcPr>
          <w:p w14:paraId="67674130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2378.6</w:t>
            </w:r>
          </w:p>
        </w:tc>
        <w:tc>
          <w:tcPr>
            <w:tcW w:w="618" w:type="pct"/>
          </w:tcPr>
          <w:p w14:paraId="7F3CB72F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2488.3</w:t>
            </w:r>
          </w:p>
        </w:tc>
        <w:tc>
          <w:tcPr>
            <w:tcW w:w="759" w:type="pct"/>
          </w:tcPr>
          <w:p w14:paraId="574C83BA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2426.8</w:t>
            </w:r>
          </w:p>
        </w:tc>
        <w:tc>
          <w:tcPr>
            <w:tcW w:w="545" w:type="pct"/>
          </w:tcPr>
          <w:p w14:paraId="2D6667F0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2463.5</w:t>
            </w:r>
          </w:p>
        </w:tc>
        <w:tc>
          <w:tcPr>
            <w:tcW w:w="545" w:type="pct"/>
          </w:tcPr>
          <w:p w14:paraId="4CAE3535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2354.9</w:t>
            </w:r>
          </w:p>
        </w:tc>
        <w:tc>
          <w:tcPr>
            <w:tcW w:w="544" w:type="pct"/>
          </w:tcPr>
          <w:p w14:paraId="523C15FC" w14:textId="77777777" w:rsidR="006659FC" w:rsidRPr="006659FC" w:rsidRDefault="006659FC" w:rsidP="006659F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  <w:szCs w:val="22"/>
                <w:lang w:eastAsia="en-US"/>
              </w:rPr>
            </w:pPr>
            <w:r w:rsidRPr="006659FC">
              <w:rPr>
                <w:rFonts w:cs="Calibri"/>
                <w:color w:val="000000" w:themeColor="text1"/>
                <w:szCs w:val="22"/>
                <w:lang w:eastAsia="en-US"/>
              </w:rPr>
              <w:t>2439</w:t>
            </w:r>
          </w:p>
        </w:tc>
      </w:tr>
    </w:tbl>
    <w:p w14:paraId="3ABF32AC" w14:textId="5B1F349B" w:rsidR="006659FC" w:rsidRPr="006659FC" w:rsidRDefault="006659FC" w:rsidP="006659FC">
      <w:pPr>
        <w:pStyle w:val="BodyTextIndent"/>
        <w:ind w:left="0"/>
        <w:rPr>
          <w:rFonts w:ascii="Calibri" w:hAnsi="Calibri" w:cs="Calibri"/>
        </w:rPr>
      </w:pPr>
      <w:bookmarkStart w:id="3" w:name="SC_PK_comparison_noIOV"/>
      <w:bookmarkEnd w:id="2"/>
      <w:r w:rsidRPr="006659FC">
        <w:rPr>
          <w:rFonts w:ascii="Calibri" w:hAnsi="Calibri" w:cs="Calibri"/>
          <w:color w:val="000000" w:themeColor="text1"/>
        </w:rPr>
        <w:t>OFV: objective function value; ΔOFV: change in OFV from baseline model; CL: clearance; V1: central volume of distribution; I</w:t>
      </w:r>
      <w:r w:rsidRPr="006659FC">
        <w:rPr>
          <w:rFonts w:ascii="Calibri" w:hAnsi="Calibri" w:cs="Calibri"/>
          <w:color w:val="000000" w:themeColor="text1"/>
          <w:vertAlign w:val="subscript"/>
        </w:rPr>
        <w:t>max</w:t>
      </w:r>
      <w:r w:rsidRPr="006659FC">
        <w:rPr>
          <w:rFonts w:ascii="Calibri" w:hAnsi="Calibri" w:cs="Calibri"/>
          <w:color w:val="000000" w:themeColor="text1"/>
        </w:rPr>
        <w:t>: maximal change in CL relative to baseline; T</w:t>
      </w:r>
      <w:r w:rsidRPr="006659FC">
        <w:rPr>
          <w:rFonts w:ascii="Calibri" w:hAnsi="Calibri" w:cs="Calibri"/>
          <w:color w:val="000000" w:themeColor="text1"/>
          <w:vertAlign w:val="subscript"/>
        </w:rPr>
        <w:t>50</w:t>
      </w:r>
      <w:r w:rsidRPr="006659FC">
        <w:rPr>
          <w:rFonts w:ascii="Calibri" w:hAnsi="Calibri" w:cs="Calibri"/>
          <w:color w:val="000000" w:themeColor="text1"/>
        </w:rPr>
        <w:t xml:space="preserve">: time at which 50% of change in CL has occurred; IIV: inter-individual variability. </w:t>
      </w:r>
      <w:r>
        <w:rPr>
          <w:rFonts w:ascii="Calibri" w:hAnsi="Calibri" w:cs="Calibri"/>
          <w:color w:val="000000" w:themeColor="text1"/>
        </w:rPr>
        <w:br/>
      </w:r>
      <w:r w:rsidRPr="006659FC">
        <w:rPr>
          <w:rFonts w:ascii="Calibri" w:hAnsi="Calibri" w:cs="Calibri"/>
          <w:color w:val="000000" w:themeColor="text1"/>
        </w:rPr>
        <w:t>*Indicates fixed parameters</w:t>
      </w:r>
      <w:bookmarkEnd w:id="3"/>
      <w:r w:rsidRPr="006659FC">
        <w:rPr>
          <w:rFonts w:ascii="Calibri" w:hAnsi="Calibri" w:cs="Calibri"/>
          <w:color w:val="000000" w:themeColor="text1"/>
        </w:rPr>
        <w:t>.</w:t>
      </w:r>
      <w:r w:rsidRPr="006659FC">
        <w:rPr>
          <w:rFonts w:ascii="Calibri" w:hAnsi="Calibri" w:cs="Calibri"/>
        </w:rPr>
        <w:br w:type="page"/>
      </w:r>
    </w:p>
    <w:p w14:paraId="50A395C4" w14:textId="13636D18" w:rsidR="006659FC" w:rsidRPr="006659FC" w:rsidRDefault="006659FC" w:rsidP="006659FC">
      <w:pPr>
        <w:widowControl w:val="0"/>
        <w:spacing w:before="120"/>
        <w:rPr>
          <w:rFonts w:ascii="Calibri" w:hAnsi="Calibri" w:cs="Calibri"/>
        </w:rPr>
      </w:pPr>
      <w:bookmarkStart w:id="4" w:name="_Ref124391448"/>
      <w:bookmarkStart w:id="5" w:name="_Toc127439484"/>
      <w:r w:rsidRPr="006659FC">
        <w:rPr>
          <w:rFonts w:ascii="Calibri" w:hAnsi="Calibri" w:cs="Calibri"/>
          <w:b/>
          <w:bCs/>
        </w:rPr>
        <w:lastRenderedPageBreak/>
        <w:t xml:space="preserve">Figure </w:t>
      </w:r>
      <w:r w:rsidRPr="006659FC">
        <w:rPr>
          <w:rFonts w:ascii="Calibri" w:hAnsi="Calibri" w:cs="Calibri"/>
          <w:b/>
          <w:bCs/>
        </w:rPr>
        <w:t>9</w:t>
      </w:r>
      <w:bookmarkEnd w:id="4"/>
      <w:r w:rsidRPr="006659FC">
        <w:rPr>
          <w:rFonts w:ascii="Calibri" w:hAnsi="Calibri" w:cs="Calibri"/>
          <w:b/>
          <w:bCs/>
        </w:rPr>
        <w:t xml:space="preserve">. </w:t>
      </w:r>
      <w:r w:rsidRPr="006659FC">
        <w:rPr>
          <w:rFonts w:ascii="Calibri" w:hAnsi="Calibri" w:cs="Calibri"/>
          <w:bCs/>
        </w:rPr>
        <w:t>Avelumab goodness of fit plots for the population PK model stratified by ADA status.</w:t>
      </w:r>
      <w:bookmarkStart w:id="6" w:name="SC_PK_GOF_base_ADAEVER"/>
      <w:bookmarkEnd w:id="5"/>
      <w:r w:rsidRPr="006659FC">
        <w:rPr>
          <w:rFonts w:ascii="Calibri" w:hAnsi="Calibri" w:cs="Calibri"/>
          <w:bCs/>
        </w:rPr>
        <w:t xml:space="preserve"> </w:t>
      </w:r>
      <w:r w:rsidRPr="006659FC">
        <w:rPr>
          <w:rFonts w:ascii="Calibri" w:hAnsi="Calibri" w:cs="Calibri"/>
          <w:bCs/>
        </w:rPr>
        <w:t xml:space="preserve">The black lines are lines of </w:t>
      </w:r>
      <w:proofErr w:type="gramStart"/>
      <w:r w:rsidRPr="006659FC">
        <w:rPr>
          <w:rFonts w:ascii="Calibri" w:hAnsi="Calibri" w:cs="Calibri"/>
          <w:bCs/>
        </w:rPr>
        <w:t>identity</w:t>
      </w:r>
      <w:proofErr w:type="gramEnd"/>
      <w:r>
        <w:rPr>
          <w:rFonts w:ascii="Calibri" w:hAnsi="Calibri" w:cs="Calibri"/>
          <w:bCs/>
        </w:rPr>
        <w:t xml:space="preserve"> and </w:t>
      </w:r>
      <w:r w:rsidRPr="006659FC">
        <w:rPr>
          <w:rFonts w:ascii="Calibri" w:hAnsi="Calibri" w:cs="Calibri"/>
          <w:bCs/>
        </w:rPr>
        <w:t xml:space="preserve">the red lines are </w:t>
      </w:r>
      <w:r>
        <w:rPr>
          <w:rFonts w:ascii="Calibri" w:hAnsi="Calibri" w:cs="Calibri"/>
          <w:bCs/>
        </w:rPr>
        <w:t>LOESS</w:t>
      </w:r>
      <w:r w:rsidRPr="006659FC">
        <w:rPr>
          <w:rFonts w:ascii="Calibri" w:hAnsi="Calibri" w:cs="Calibri"/>
          <w:bCs/>
        </w:rPr>
        <w:t xml:space="preserve"> smoothers through the data.</w:t>
      </w:r>
      <w:r w:rsidRPr="006659FC">
        <w:rPr>
          <w:rFonts w:ascii="Calibri" w:hAnsi="Calibri" w:cs="Calibri"/>
        </w:rPr>
        <w:t xml:space="preserve"> </w:t>
      </w:r>
      <w:bookmarkEnd w:id="6"/>
    </w:p>
    <w:p w14:paraId="5C1853D5" w14:textId="04756A1A" w:rsidR="00107C30" w:rsidRPr="006659FC" w:rsidRDefault="006659FC">
      <w:pPr>
        <w:rPr>
          <w:rFonts w:ascii="Calibri" w:hAnsi="Calibri" w:cs="Calibri"/>
        </w:rPr>
      </w:pPr>
      <w:bookmarkStart w:id="7" w:name="PK_GOF_base_ADAEVER"/>
      <w:r w:rsidRPr="006659FC">
        <w:rPr>
          <w:rFonts w:ascii="Calibri" w:hAnsi="Calibri" w:cs="Calibri"/>
          <w:noProof/>
        </w:rPr>
        <w:drawing>
          <wp:inline distT="0" distB="0" distL="0" distR="0" wp14:anchorId="27741860" wp14:editId="16B39CF0">
            <wp:extent cx="7392775" cy="5088835"/>
            <wp:effectExtent l="0" t="0" r="0" b="0"/>
            <wp:docPr id="32" name="Picture 32" descr="Chart, 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Chart, diagram, schematic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8"/>
                    <a:stretch>
                      <a:fillRect/>
                    </a:stretch>
                  </pic:blipFill>
                  <pic:spPr>
                    <a:xfrm>
                      <a:off x="0" y="0"/>
                      <a:ext cx="7494349" cy="515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sectPr w:rsidR="00107C30" w:rsidRPr="006659FC" w:rsidSect="006659F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9FC"/>
    <w:rsid w:val="00107C30"/>
    <w:rsid w:val="00634361"/>
    <w:rsid w:val="006659FC"/>
    <w:rsid w:val="00A57BF1"/>
    <w:rsid w:val="00E7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20789"/>
  <w15:chartTrackingRefBased/>
  <w15:docId w15:val="{5869ADDA-3D13-4D41-A8D2-55574496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9FC"/>
    <w:rPr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5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5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5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9FC"/>
    <w:pPr>
      <w:spacing w:before="160"/>
      <w:jc w:val="center"/>
    </w:pPr>
    <w:rPr>
      <w:i/>
      <w:iCs/>
      <w:color w:val="404040" w:themeColor="text1" w:themeTint="BF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5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9FC"/>
    <w:pPr>
      <w:ind w:left="720"/>
      <w:contextualSpacing/>
    </w:pPr>
    <w:rPr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5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9FC"/>
    <w:rPr>
      <w:b/>
      <w:bCs/>
      <w:smallCaps/>
      <w:color w:val="0F4761" w:themeColor="accent1" w:themeShade="BF"/>
      <w:spacing w:val="5"/>
    </w:rPr>
  </w:style>
  <w:style w:type="paragraph" w:styleId="BodyTextIndent">
    <w:name w:val="Body Text Indent"/>
    <w:basedOn w:val="Normal"/>
    <w:link w:val="BodyTextIndentChar"/>
    <w:uiPriority w:val="99"/>
    <w:unhideWhenUsed/>
    <w:rsid w:val="006659F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659FC"/>
    <w:rPr>
      <w:lang w:val="en-GB"/>
      <w14:ligatures w14:val="none"/>
    </w:rPr>
  </w:style>
  <w:style w:type="paragraph" w:styleId="Caption">
    <w:name w:val="caption"/>
    <w:basedOn w:val="Normal"/>
    <w:next w:val="BodyText"/>
    <w:uiPriority w:val="21"/>
    <w:unhideWhenUsed/>
    <w:qFormat/>
    <w:rsid w:val="006659FC"/>
    <w:pPr>
      <w:widowControl w:val="0"/>
      <w:tabs>
        <w:tab w:val="left" w:pos="1134"/>
      </w:tabs>
      <w:spacing w:before="120" w:after="0" w:line="240" w:lineRule="auto"/>
      <w:ind w:left="1134" w:hanging="1134"/>
    </w:pPr>
    <w:rPr>
      <w:rFonts w:ascii="Calibri" w:eastAsiaTheme="minorEastAsia" w:hAnsi="Calibri"/>
      <w:b/>
      <w:bCs/>
      <w:lang w:val="en-US" w:eastAsia="ja-JP"/>
    </w:rPr>
  </w:style>
  <w:style w:type="table" w:styleId="TableClassic1">
    <w:name w:val="Table Classic 1"/>
    <w:basedOn w:val="TableNormal"/>
    <w:rsid w:val="006659FC"/>
    <w:pPr>
      <w:widowControl w:val="0"/>
      <w:spacing w:after="0" w:line="240" w:lineRule="auto"/>
      <w:jc w:val="right"/>
    </w:pPr>
    <w:rPr>
      <w:rFonts w:ascii="Calibri" w:eastAsia="Times New Roman" w:hAnsi="Calibri" w:cs="Times New Roman"/>
      <w:color w:val="404040" w:themeColor="text1" w:themeTint="BF"/>
      <w:szCs w:val="20"/>
      <w:lang w:val="en-GB" w:eastAsia="en-GB"/>
      <w14:ligatures w14:val="none"/>
    </w:rPr>
    <w:tblPr>
      <w:tblBorders>
        <w:top w:val="single" w:sz="4" w:space="0" w:color="404040" w:themeColor="text1" w:themeTint="BF"/>
        <w:bottom w:val="single" w:sz="4" w:space="0" w:color="404040" w:themeColor="text1" w:themeTint="BF"/>
      </w:tblBorders>
    </w:tblPr>
    <w:tcPr>
      <w:shd w:val="clear" w:color="auto" w:fill="auto"/>
    </w:tcPr>
    <w:tblStylePr w:type="firstRow">
      <w:rPr>
        <w:b/>
        <w:i w:val="0"/>
        <w:iCs/>
      </w:rPr>
      <w:tblPr/>
      <w:trPr>
        <w:tblHeader/>
      </w:trPr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  <w:rPr>
        <w:i w:val="0"/>
      </w:rPr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 w:val="0"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6659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659FC"/>
    <w:rPr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2025-04-15T14:48:00Z</dcterms:created>
  <dcterms:modified xsi:type="dcterms:W3CDTF">2025-04-15T14:54:00Z</dcterms:modified>
</cp:coreProperties>
</file>