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4120F" w14:textId="610560D3" w:rsidR="00E725BD" w:rsidRPr="00E725BD" w:rsidRDefault="00E725BD" w:rsidP="00E725BD">
      <w:pPr>
        <w:pStyle w:val="Title"/>
        <w:jc w:val="center"/>
        <w:rPr>
          <w:sz w:val="44"/>
          <w:szCs w:val="44"/>
        </w:rPr>
      </w:pPr>
      <w:r w:rsidRPr="006D6D54">
        <w:rPr>
          <w:i/>
          <w:iCs/>
          <w:sz w:val="44"/>
          <w:szCs w:val="44"/>
        </w:rPr>
        <w:t>Supplementary material to</w:t>
      </w:r>
      <w:r w:rsidRPr="00E725BD">
        <w:rPr>
          <w:sz w:val="44"/>
          <w:szCs w:val="44"/>
        </w:rPr>
        <w:br/>
      </w:r>
      <w:r w:rsidRPr="00E725BD">
        <w:rPr>
          <w:sz w:val="44"/>
          <w:szCs w:val="44"/>
        </w:rPr>
        <w:t>Beyond the linear model in concentration-QT analysis</w:t>
      </w:r>
    </w:p>
    <w:p w14:paraId="3264193C" w14:textId="0E85F103" w:rsidR="00E725BD" w:rsidRPr="00E725BD" w:rsidRDefault="00E725BD" w:rsidP="00E725BD">
      <w:pPr>
        <w:pStyle w:val="Title"/>
        <w:jc w:val="center"/>
        <w:rPr>
          <w:sz w:val="32"/>
          <w:szCs w:val="32"/>
          <w:lang w:val="fr-FR"/>
        </w:rPr>
      </w:pPr>
      <w:r w:rsidRPr="00E725BD">
        <w:rPr>
          <w:sz w:val="32"/>
          <w:szCs w:val="32"/>
          <w:lang w:val="fr-FR"/>
        </w:rPr>
        <w:t>G. Cellière, A. Krause, G. Bonnefois, J. Chauvin</w:t>
      </w:r>
    </w:p>
    <w:p w14:paraId="7BCFB168" w14:textId="77777777" w:rsidR="00E725BD" w:rsidRPr="00E725BD" w:rsidRDefault="00E725BD" w:rsidP="00AD6284">
      <w:pPr>
        <w:pStyle w:val="Heading2"/>
        <w:spacing w:line="480" w:lineRule="auto"/>
        <w:rPr>
          <w:lang w:val="fr-FR"/>
        </w:rPr>
      </w:pPr>
    </w:p>
    <w:p w14:paraId="0DFB10C9" w14:textId="77777777" w:rsidR="00E725BD" w:rsidRPr="00F425C1" w:rsidRDefault="00E725BD" w:rsidP="00E725BD">
      <w:pPr>
        <w:pStyle w:val="Heading2"/>
        <w:spacing w:line="360" w:lineRule="auto"/>
      </w:pPr>
      <w:r w:rsidRPr="00F425C1">
        <w:t>R functions</w:t>
      </w:r>
    </w:p>
    <w:p w14:paraId="2CE72F9C" w14:textId="64AD4153" w:rsidR="00E725BD" w:rsidRDefault="00E725BD" w:rsidP="00E725BD">
      <w:pPr>
        <w:spacing w:line="240" w:lineRule="auto"/>
      </w:pPr>
      <w:r w:rsidRPr="00F425C1">
        <w:t xml:space="preserve">All material (datasets and R </w:t>
      </w:r>
      <w:r w:rsidR="006D6D54">
        <w:t>functions</w:t>
      </w:r>
      <w:r w:rsidRPr="00F425C1">
        <w:t>) can be downloaded from</w:t>
      </w:r>
      <w:r>
        <w:t>:</w:t>
      </w:r>
      <w:r>
        <w:br/>
      </w:r>
      <w:hyperlink r:id="rId5" w:history="1">
        <w:r w:rsidRPr="009A65DF">
          <w:rPr>
            <w:rStyle w:val="Hyperlink"/>
          </w:rPr>
          <w:t>https://monolixsuite.slp-software.com/r-functions/?contextKey=package-conc-qtc</w:t>
        </w:r>
      </w:hyperlink>
      <w:r w:rsidRPr="00F425C1">
        <w:t xml:space="preserve">. </w:t>
      </w:r>
    </w:p>
    <w:p w14:paraId="73BFA471" w14:textId="5D15EB0D" w:rsidR="00E725BD" w:rsidRPr="00F425C1" w:rsidRDefault="00E725BD" w:rsidP="00E725BD">
      <w:pPr>
        <w:spacing w:line="240" w:lineRule="auto"/>
      </w:pPr>
      <w:r w:rsidRPr="00F425C1">
        <w:t>The zip file contains the folders _mlxQTcTools, and one folder per compound (containing R script to run the analysis and the data set).</w:t>
      </w:r>
    </w:p>
    <w:p w14:paraId="1A147073" w14:textId="3E13E998" w:rsidR="00E725BD" w:rsidRPr="00F425C1" w:rsidRDefault="00E725BD" w:rsidP="00E725BD">
      <w:pPr>
        <w:spacing w:line="240" w:lineRule="auto"/>
      </w:pPr>
      <w:r w:rsidRPr="00F425C1">
        <w:t>The data used in the analyses originate from Johannesen et al.</w:t>
      </w:r>
      <w:r w:rsidR="001008C2">
        <w:t>.</w:t>
      </w:r>
      <w:r w:rsidRPr="00F425C1">
        <w:t xml:space="preserve"> For each compound, the R script &lt;CoumpoundName&gt;_QTc_analysis.R executes the following steps:</w:t>
      </w:r>
    </w:p>
    <w:p w14:paraId="1D2AA6C0" w14:textId="77777777" w:rsidR="00E725BD" w:rsidRDefault="00E725BD" w:rsidP="00E725BD">
      <w:pPr>
        <w:pStyle w:val="ListParagraph"/>
        <w:numPr>
          <w:ilvl w:val="0"/>
          <w:numId w:val="1"/>
        </w:numPr>
        <w:spacing w:line="240" w:lineRule="auto"/>
        <w:rPr>
          <w:rFonts w:asciiTheme="minorHAnsi" w:hAnsiTheme="minorHAnsi" w:cstheme="minorHAnsi"/>
          <w:sz w:val="22"/>
          <w:szCs w:val="22"/>
        </w:rPr>
      </w:pPr>
      <w:r w:rsidRPr="00E725BD">
        <w:rPr>
          <w:rFonts w:asciiTheme="minorHAnsi" w:hAnsiTheme="minorHAnsi" w:cstheme="minorHAnsi"/>
          <w:sz w:val="22"/>
          <w:szCs w:val="22"/>
        </w:rPr>
        <w:t>process_QTcData(): format an input dataset for analysis by averaging triplicates, extracting baseline values, calculating QTc, etc.</w:t>
      </w:r>
    </w:p>
    <w:p w14:paraId="40F644AB" w14:textId="77777777" w:rsidR="00E725BD" w:rsidRPr="00E725BD" w:rsidRDefault="00E725BD" w:rsidP="00E725BD">
      <w:pPr>
        <w:pStyle w:val="ListParagraph"/>
        <w:spacing w:line="240" w:lineRule="auto"/>
        <w:rPr>
          <w:rFonts w:asciiTheme="minorHAnsi" w:hAnsiTheme="minorHAnsi" w:cstheme="minorHAnsi"/>
          <w:sz w:val="22"/>
          <w:szCs w:val="22"/>
        </w:rPr>
      </w:pPr>
    </w:p>
    <w:p w14:paraId="6EAD9BF4" w14:textId="730E2142" w:rsidR="00E725BD" w:rsidRPr="00E725BD" w:rsidRDefault="00E725BD" w:rsidP="00E725BD">
      <w:pPr>
        <w:pStyle w:val="ListParagraph"/>
        <w:numPr>
          <w:ilvl w:val="0"/>
          <w:numId w:val="1"/>
        </w:numPr>
        <w:spacing w:line="240" w:lineRule="auto"/>
        <w:rPr>
          <w:rFonts w:asciiTheme="minorHAnsi" w:hAnsiTheme="minorHAnsi" w:cstheme="minorHAnsi"/>
          <w:sz w:val="22"/>
          <w:szCs w:val="22"/>
        </w:rPr>
      </w:pPr>
      <w:r w:rsidRPr="00E725BD">
        <w:rPr>
          <w:rFonts w:asciiTheme="minorHAnsi" w:hAnsiTheme="minorHAnsi" w:cstheme="minorHAnsi"/>
          <w:sz w:val="22"/>
          <w:szCs w:val="22"/>
        </w:rPr>
        <w:t>generateAllQTcProjects(): generate Monolix projects to run a conc-QTC analysis using the standard linear model as well as alternative non-linear models. This function is run once for ΔQTc and once for ΔΔQTc. The generated Monolix runs are stored in the mlx_runs folder. They can be opened in the Monolix GUI for inspection</w:t>
      </w:r>
      <w:r>
        <w:rPr>
          <w:rFonts w:asciiTheme="minorHAnsi" w:hAnsiTheme="minorHAnsi" w:cstheme="minorHAnsi"/>
          <w:sz w:val="22"/>
          <w:szCs w:val="22"/>
        </w:rPr>
        <w:t>.</w:t>
      </w:r>
    </w:p>
    <w:p w14:paraId="3D6534F6" w14:textId="77777777" w:rsidR="00E725BD" w:rsidRPr="00E725BD" w:rsidRDefault="00E725BD" w:rsidP="00E725BD">
      <w:pPr>
        <w:pStyle w:val="ListParagraph"/>
        <w:spacing w:line="240" w:lineRule="auto"/>
        <w:rPr>
          <w:rFonts w:asciiTheme="minorHAnsi" w:hAnsiTheme="minorHAnsi" w:cstheme="minorHAnsi"/>
          <w:sz w:val="22"/>
          <w:szCs w:val="22"/>
        </w:rPr>
      </w:pPr>
    </w:p>
    <w:p w14:paraId="4CCF7425" w14:textId="0E47BC6E" w:rsidR="00E725BD" w:rsidRPr="00E725BD" w:rsidRDefault="00E725BD" w:rsidP="00E725BD">
      <w:pPr>
        <w:pStyle w:val="ListParagraph"/>
        <w:numPr>
          <w:ilvl w:val="0"/>
          <w:numId w:val="1"/>
        </w:numPr>
        <w:spacing w:line="240" w:lineRule="auto"/>
        <w:rPr>
          <w:rFonts w:asciiTheme="minorHAnsi" w:hAnsiTheme="minorHAnsi" w:cstheme="minorHAnsi"/>
          <w:sz w:val="22"/>
          <w:szCs w:val="22"/>
        </w:rPr>
      </w:pPr>
      <w:r w:rsidRPr="00E725BD">
        <w:rPr>
          <w:rFonts w:asciiTheme="minorHAnsi" w:hAnsiTheme="minorHAnsi" w:cstheme="minorHAnsi"/>
          <w:sz w:val="22"/>
          <w:szCs w:val="22"/>
        </w:rPr>
        <w:t>quarto_render(input = "../_mlxQTcTools/QTc_quarto_allModels.qmd"): generate a report (eg as Word document) using a Quarto template. The report contains exploratory data analysis plots, assessment of key modeling hypotheses, and detailed modeling results for the model identified as the best model. Separate reports are generated for ΔQTc and for ΔΔQTc.</w:t>
      </w:r>
    </w:p>
    <w:p w14:paraId="4DA79AAA" w14:textId="77777777" w:rsidR="00E725BD" w:rsidRPr="00F425C1" w:rsidRDefault="00E725BD" w:rsidP="00E725BD">
      <w:pPr>
        <w:spacing w:line="360" w:lineRule="auto"/>
        <w:rPr>
          <w:b/>
          <w:bCs/>
        </w:rPr>
      </w:pPr>
      <w:r w:rsidRPr="00F425C1">
        <w:rPr>
          <w:b/>
          <w:bCs/>
        </w:rPr>
        <w:t>All material is provided on an as-is basis with no warranty in any respect.</w:t>
      </w:r>
    </w:p>
    <w:p w14:paraId="24C18CA4" w14:textId="77777777" w:rsidR="00E725BD" w:rsidRDefault="00E725BD">
      <w:pPr>
        <w:rPr>
          <w:rFonts w:ascii="Times New Roman" w:eastAsiaTheme="majorEastAsia" w:hAnsi="Times New Roman" w:cs="Times New Roman"/>
          <w:b/>
          <w:bCs/>
          <w:color w:val="2E74B5" w:themeColor="accent1" w:themeShade="BF"/>
          <w:kern w:val="2"/>
          <w:sz w:val="28"/>
          <w:szCs w:val="28"/>
          <w:lang w:val="en-US"/>
          <w14:ligatures w14:val="standardContextual"/>
        </w:rPr>
      </w:pPr>
      <w:r>
        <w:br w:type="page"/>
      </w:r>
    </w:p>
    <w:p w14:paraId="20DB59C4" w14:textId="05D3ADDC" w:rsidR="00E725BD" w:rsidRDefault="00E725BD" w:rsidP="00E725BD">
      <w:pPr>
        <w:pStyle w:val="Heading2"/>
        <w:spacing w:line="360" w:lineRule="auto"/>
      </w:pPr>
      <w:r>
        <w:lastRenderedPageBreak/>
        <w:t>R</w:t>
      </w:r>
      <w:r w:rsidRPr="00F425C1">
        <w:t>anolazine linear models for ΔQTc and ΔΔQTc</w:t>
      </w:r>
    </w:p>
    <w:p w14:paraId="0DB57845" w14:textId="77777777" w:rsidR="00E725BD" w:rsidRPr="00E725BD" w:rsidRDefault="00E725BD" w:rsidP="00E725BD">
      <w:pPr>
        <w:rPr>
          <w:lang w:val="en-US"/>
        </w:rPr>
      </w:pPr>
    </w:p>
    <w:p w14:paraId="1A0F7E76" w14:textId="77777777" w:rsidR="00E725BD" w:rsidRPr="00F425C1" w:rsidRDefault="00E725BD" w:rsidP="00E725BD">
      <w:pPr>
        <w:keepNext/>
        <w:keepLines/>
        <w:spacing w:line="360" w:lineRule="auto"/>
      </w:pPr>
      <w:r w:rsidRPr="00F425C1">
        <w:rPr>
          <w:noProof/>
        </w:rPr>
        <w:drawing>
          <wp:inline distT="0" distB="0" distL="0" distR="0" wp14:anchorId="546257E9" wp14:editId="5BD356B7">
            <wp:extent cx="5943600" cy="3053751"/>
            <wp:effectExtent l="0" t="0" r="0" b="0"/>
            <wp:docPr id="8022070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6509"/>
                    <a:stretch/>
                  </pic:blipFill>
                  <pic:spPr bwMode="auto">
                    <a:xfrm>
                      <a:off x="0" y="0"/>
                      <a:ext cx="5943600" cy="3053751"/>
                    </a:xfrm>
                    <a:prstGeom prst="rect">
                      <a:avLst/>
                    </a:prstGeom>
                    <a:noFill/>
                    <a:ln>
                      <a:noFill/>
                    </a:ln>
                    <a:extLst>
                      <a:ext uri="{53640926-AAD7-44D8-BBD7-CCE9431645EC}">
                        <a14:shadowObscured xmlns:a14="http://schemas.microsoft.com/office/drawing/2010/main"/>
                      </a:ext>
                    </a:extLst>
                  </pic:spPr>
                </pic:pic>
              </a:graphicData>
            </a:graphic>
          </wp:inline>
        </w:drawing>
      </w:r>
    </w:p>
    <w:p w14:paraId="5F7336F4" w14:textId="1040F7E6" w:rsidR="00E725BD" w:rsidRPr="00F425C1" w:rsidRDefault="00E725BD" w:rsidP="00E725BD">
      <w:pPr>
        <w:pStyle w:val="Caption"/>
        <w:spacing w:line="360" w:lineRule="auto"/>
        <w:ind w:left="1166" w:hanging="1166"/>
      </w:pPr>
      <w:bookmarkStart w:id="0" w:name="_Ref174477736"/>
      <w:r w:rsidRPr="00F425C1">
        <w:t>Fig. </w:t>
      </w:r>
      <w:bookmarkEnd w:id="0"/>
      <w:r>
        <w:t>S1</w:t>
      </w:r>
      <w:r w:rsidRPr="00F425C1">
        <w:tab/>
        <w:t xml:space="preserve">Predicted versus observed ΔQTc and </w:t>
      </w:r>
      <w:bookmarkStart w:id="1" w:name="_Hlk185456114"/>
      <w:r w:rsidRPr="00F425C1">
        <w:t xml:space="preserve">ΔΔQTc </w:t>
      </w:r>
      <w:bookmarkEnd w:id="1"/>
      <w:r w:rsidRPr="006D6D54">
        <w:t xml:space="preserve">for ranolazine linear </w:t>
      </w:r>
      <w:r w:rsidRPr="00F425C1">
        <w:t xml:space="preserve">models. </w:t>
      </w:r>
    </w:p>
    <w:p w14:paraId="6210106C" w14:textId="77777777" w:rsidR="00E725BD" w:rsidRPr="00F425C1" w:rsidRDefault="00E725BD" w:rsidP="00E725BD">
      <w:pPr>
        <w:spacing w:line="360" w:lineRule="auto"/>
      </w:pPr>
    </w:p>
    <w:p w14:paraId="1D52DAA6" w14:textId="77777777" w:rsidR="00E725BD" w:rsidRPr="00F425C1" w:rsidRDefault="00E725BD" w:rsidP="00E725BD">
      <w:pPr>
        <w:spacing w:line="360" w:lineRule="auto"/>
      </w:pPr>
    </w:p>
    <w:p w14:paraId="0E9ADCDD" w14:textId="77777777" w:rsidR="00E725BD" w:rsidRPr="00F425C1" w:rsidRDefault="00E725BD" w:rsidP="00E725BD">
      <w:pPr>
        <w:keepNext/>
        <w:keepLines/>
        <w:spacing w:line="360" w:lineRule="auto"/>
      </w:pPr>
    </w:p>
    <w:p w14:paraId="6617B37E" w14:textId="77777777" w:rsidR="00E725BD" w:rsidRPr="00F425C1" w:rsidRDefault="00E725BD" w:rsidP="00E725BD">
      <w:pPr>
        <w:keepNext/>
        <w:keepLines/>
        <w:spacing w:line="360" w:lineRule="auto"/>
      </w:pPr>
      <w:r w:rsidRPr="00F425C1">
        <w:rPr>
          <w:noProof/>
        </w:rPr>
        <w:drawing>
          <wp:inline distT="0" distB="0" distL="0" distR="0" wp14:anchorId="55B298D9" wp14:editId="3F9EAC07">
            <wp:extent cx="5943614" cy="5943614"/>
            <wp:effectExtent l="0" t="0" r="0" b="0"/>
            <wp:docPr id="1474910173" name="Picture 147491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14" cy="5943614"/>
                    </a:xfrm>
                    <a:prstGeom prst="rect">
                      <a:avLst/>
                    </a:prstGeom>
                  </pic:spPr>
                </pic:pic>
              </a:graphicData>
            </a:graphic>
          </wp:inline>
        </w:drawing>
      </w:r>
    </w:p>
    <w:p w14:paraId="364DE53B" w14:textId="1B99E3DA" w:rsidR="00E725BD" w:rsidRPr="00F425C1" w:rsidRDefault="00E725BD" w:rsidP="00E725BD">
      <w:pPr>
        <w:pStyle w:val="Caption"/>
        <w:spacing w:line="360" w:lineRule="auto"/>
      </w:pPr>
      <w:r w:rsidRPr="00F425C1">
        <w:t>Fig. </w:t>
      </w:r>
      <w:r>
        <w:t>S2</w:t>
      </w:r>
      <w:r w:rsidRPr="00F425C1">
        <w:tab/>
        <w:t>Individual weighted residuals</w:t>
      </w:r>
      <w:r w:rsidR="006D6D54">
        <w:t xml:space="preserve"> (IWRES)</w:t>
      </w:r>
      <w:r w:rsidRPr="00F425C1">
        <w:t xml:space="preserve"> versus time (A, C) and versus individual predictions (B, D) for ΔQTc (A, B) and ΔΔQTc (C, D) </w:t>
      </w:r>
      <w:r w:rsidRPr="00E725BD">
        <w:t xml:space="preserve">for ranolazine </w:t>
      </w:r>
      <w:r w:rsidRPr="00F425C1">
        <w:t xml:space="preserve">linear models. </w:t>
      </w:r>
    </w:p>
    <w:p w14:paraId="655FD6F5" w14:textId="77777777" w:rsidR="00E725BD" w:rsidRPr="00F425C1" w:rsidRDefault="00E725BD" w:rsidP="00E725BD">
      <w:pPr>
        <w:spacing w:line="360" w:lineRule="auto"/>
      </w:pPr>
    </w:p>
    <w:p w14:paraId="28C65CA2" w14:textId="77777777" w:rsidR="00E725BD" w:rsidRPr="00F425C1" w:rsidRDefault="00E725BD" w:rsidP="00E725BD">
      <w:pPr>
        <w:widowControl w:val="0"/>
        <w:spacing w:before="240" w:line="360" w:lineRule="auto"/>
      </w:pPr>
    </w:p>
    <w:p w14:paraId="5CDC6E58" w14:textId="77777777" w:rsidR="00E725BD" w:rsidRPr="00F425C1" w:rsidRDefault="00E725BD" w:rsidP="00E725BD">
      <w:pPr>
        <w:keepNext/>
        <w:keepLines/>
        <w:spacing w:line="360" w:lineRule="auto"/>
      </w:pPr>
      <w:r w:rsidRPr="00F425C1">
        <w:rPr>
          <w:noProof/>
        </w:rPr>
        <w:lastRenderedPageBreak/>
        <w:drawing>
          <wp:inline distT="0" distB="0" distL="0" distR="0" wp14:anchorId="453A514C" wp14:editId="694DB8C2">
            <wp:extent cx="5943614" cy="3657608"/>
            <wp:effectExtent l="0" t="0" r="0" b="0"/>
            <wp:docPr id="985776063" name="Picture 985776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14" cy="3657608"/>
                    </a:xfrm>
                    <a:prstGeom prst="rect">
                      <a:avLst/>
                    </a:prstGeom>
                  </pic:spPr>
                </pic:pic>
              </a:graphicData>
            </a:graphic>
          </wp:inline>
        </w:drawing>
      </w:r>
    </w:p>
    <w:p w14:paraId="0F82085A" w14:textId="567CE7A5" w:rsidR="00E725BD" w:rsidRPr="00DE14DF" w:rsidRDefault="00E725BD" w:rsidP="00E725BD">
      <w:pPr>
        <w:pStyle w:val="Caption"/>
        <w:spacing w:line="360" w:lineRule="auto"/>
      </w:pPr>
      <w:r w:rsidRPr="00F425C1">
        <w:t>Fig. </w:t>
      </w:r>
      <w:r>
        <w:t>S3</w:t>
      </w:r>
      <w:r w:rsidRPr="00F425C1">
        <w:tab/>
        <w:t>Regression model fits with 90% confidence intervals for ΔQTc (A) and ΔΔQTc (B) for ranolazine linear models. Orange dashed line: 10 ms threshold for ΔΔQTc.</w:t>
      </w:r>
      <w:r w:rsidRPr="00DE14DF">
        <w:t xml:space="preserve"> The model prediction for ΔQTc takes into account the intercept, concentration effect and treatment effect, while time factors and the centered baseline covariate effects are ignored. The observed ΔQTc data was adjusted by the estimated time effect for each time point in order to be comparable to the model prediction. The model prediction for ΔΔQTc takes into account the intercept and the concentration effect, while the adjusted baseline covariate effect is ignored.</w:t>
      </w:r>
    </w:p>
    <w:p w14:paraId="0A872B22" w14:textId="77777777" w:rsidR="00E725BD" w:rsidRPr="00F425C1" w:rsidRDefault="00E725BD" w:rsidP="00E725BD">
      <w:pPr>
        <w:spacing w:line="360" w:lineRule="auto"/>
      </w:pPr>
    </w:p>
    <w:p w14:paraId="7E8E60EF" w14:textId="77777777" w:rsidR="00E725BD" w:rsidRPr="00F425C1" w:rsidRDefault="00E725BD" w:rsidP="00E725BD">
      <w:pPr>
        <w:keepNext/>
        <w:keepLines/>
        <w:spacing w:after="0" w:line="360" w:lineRule="auto"/>
      </w:pPr>
      <w:r w:rsidRPr="00F425C1">
        <w:rPr>
          <w:noProof/>
        </w:rPr>
        <w:lastRenderedPageBreak/>
        <w:drawing>
          <wp:inline distT="0" distB="0" distL="0" distR="0" wp14:anchorId="65B5D6BF" wp14:editId="0BFC4949">
            <wp:extent cx="5943614" cy="5943614"/>
            <wp:effectExtent l="0" t="0" r="0" b="0"/>
            <wp:docPr id="1571229078" name="Picture 1571229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14" cy="5943614"/>
                    </a:xfrm>
                    <a:prstGeom prst="rect">
                      <a:avLst/>
                    </a:prstGeom>
                  </pic:spPr>
                </pic:pic>
              </a:graphicData>
            </a:graphic>
          </wp:inline>
        </w:drawing>
      </w:r>
    </w:p>
    <w:p w14:paraId="49DCB879" w14:textId="769AE899" w:rsidR="00E725BD" w:rsidRPr="00E725BD" w:rsidRDefault="00E725BD" w:rsidP="00E725BD">
      <w:pPr>
        <w:pStyle w:val="Caption"/>
        <w:rPr>
          <w:lang w:val="en-IN"/>
        </w:rPr>
      </w:pPr>
      <w:r w:rsidRPr="00F425C1">
        <w:t>Fig. </w:t>
      </w:r>
      <w:r>
        <w:t>S4</w:t>
      </w:r>
      <w:r w:rsidRPr="00F425C1">
        <w:tab/>
        <w:t xml:space="preserve">Visual predictive checks for ΔQTc (A, B) and ΔΔQTc (C, D) versus time (left) and versus concentration (right) </w:t>
      </w:r>
      <w:r w:rsidRPr="00E725BD">
        <w:t xml:space="preserve">for ranolazine linear </w:t>
      </w:r>
      <w:r w:rsidRPr="00F425C1">
        <w:t>models.</w:t>
      </w:r>
    </w:p>
    <w:p w14:paraId="4A4B99D7" w14:textId="77777777" w:rsidR="00E725BD" w:rsidRPr="00E725BD" w:rsidRDefault="00E725BD" w:rsidP="00AD6284">
      <w:pPr>
        <w:pStyle w:val="Heading2"/>
        <w:spacing w:line="480" w:lineRule="auto"/>
        <w:rPr>
          <w:lang w:val="en-IN"/>
        </w:rPr>
      </w:pPr>
    </w:p>
    <w:p w14:paraId="16D30CDB" w14:textId="77777777" w:rsidR="00E725BD" w:rsidRDefault="00E725BD">
      <w:pPr>
        <w:rPr>
          <w:rFonts w:ascii="Times New Roman" w:eastAsiaTheme="majorEastAsia" w:hAnsi="Times New Roman" w:cs="Times New Roman"/>
          <w:b/>
          <w:bCs/>
          <w:color w:val="2E74B5" w:themeColor="accent1" w:themeShade="BF"/>
          <w:kern w:val="2"/>
          <w:sz w:val="28"/>
          <w:szCs w:val="28"/>
          <w:lang w:val="en-US"/>
          <w14:ligatures w14:val="standardContextual"/>
        </w:rPr>
      </w:pPr>
      <w:r>
        <w:br w:type="page"/>
      </w:r>
    </w:p>
    <w:p w14:paraId="7869021A" w14:textId="71D2D6A4" w:rsidR="00AD6284" w:rsidRPr="007B464B" w:rsidRDefault="00E725BD" w:rsidP="007B464B">
      <w:pPr>
        <w:pStyle w:val="Heading2"/>
        <w:spacing w:line="480" w:lineRule="auto"/>
      </w:pPr>
      <w:r>
        <w:lastRenderedPageBreak/>
        <w:t>Q</w:t>
      </w:r>
      <w:r w:rsidR="00AD6284" w:rsidRPr="00F425C1">
        <w:t>uinidine linear and non-linear model fits</w:t>
      </w:r>
    </w:p>
    <w:p w14:paraId="6F82AAA9" w14:textId="0F414696" w:rsidR="00AD6284" w:rsidRPr="00F425C1" w:rsidRDefault="00AD6284" w:rsidP="00AD6284">
      <w:pPr>
        <w:pStyle w:val="Caption"/>
        <w:spacing w:line="480" w:lineRule="auto"/>
      </w:pPr>
      <w:r w:rsidRPr="00F425C1">
        <w:t>Table S</w:t>
      </w:r>
      <w:r>
        <w:rPr>
          <w:noProof/>
        </w:rPr>
        <w:t>1</w:t>
      </w:r>
      <w:r w:rsidRPr="00F425C1">
        <w:t xml:space="preserve"> Estimated population parameters and relative standard errors </w:t>
      </w:r>
      <w:r w:rsidR="007B464B">
        <w:t xml:space="preserve">(RSE) </w:t>
      </w:r>
      <w:r w:rsidRPr="00F425C1">
        <w:t>for all models</w:t>
      </w:r>
    </w:p>
    <w:tbl>
      <w:tblPr>
        <w:tblStyle w:val="TableGrid"/>
        <w:tblW w:w="5000" w:type="pct"/>
        <w:tblLook w:val="0420" w:firstRow="1" w:lastRow="0" w:firstColumn="0" w:lastColumn="0" w:noHBand="0" w:noVBand="1"/>
      </w:tblPr>
      <w:tblGrid>
        <w:gridCol w:w="2123"/>
        <w:gridCol w:w="1562"/>
        <w:gridCol w:w="1055"/>
        <w:gridCol w:w="1278"/>
        <w:gridCol w:w="1197"/>
        <w:gridCol w:w="1801"/>
      </w:tblGrid>
      <w:tr w:rsidR="00AD6284" w:rsidRPr="007B464B" w14:paraId="1C6FDBCC" w14:textId="77777777" w:rsidTr="007B464B">
        <w:tc>
          <w:tcPr>
            <w:tcW w:w="1177" w:type="pct"/>
          </w:tcPr>
          <w:p w14:paraId="02DA0D82"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Parameter</w:t>
            </w:r>
          </w:p>
        </w:tc>
        <w:tc>
          <w:tcPr>
            <w:tcW w:w="866" w:type="pct"/>
          </w:tcPr>
          <w:p w14:paraId="0244EE4D"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No-drug-effect model</w:t>
            </w:r>
          </w:p>
        </w:tc>
        <w:tc>
          <w:tcPr>
            <w:tcW w:w="585" w:type="pct"/>
          </w:tcPr>
          <w:p w14:paraId="2976AAB0"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Linear model</w:t>
            </w:r>
          </w:p>
        </w:tc>
        <w:tc>
          <w:tcPr>
            <w:tcW w:w="709" w:type="pct"/>
          </w:tcPr>
          <w:p w14:paraId="487EDA94"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Log-linear model</w:t>
            </w:r>
          </w:p>
        </w:tc>
        <w:tc>
          <w:tcPr>
            <w:tcW w:w="664" w:type="pct"/>
          </w:tcPr>
          <w:p w14:paraId="45943E40"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Emax model</w:t>
            </w:r>
          </w:p>
        </w:tc>
        <w:tc>
          <w:tcPr>
            <w:tcW w:w="1000" w:type="pct"/>
          </w:tcPr>
          <w:p w14:paraId="6324F8F6"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Emax model with sigmoidicity</w:t>
            </w:r>
          </w:p>
        </w:tc>
      </w:tr>
      <w:tr w:rsidR="00AD6284" w:rsidRPr="007B464B" w14:paraId="09D702D7" w14:textId="77777777" w:rsidTr="007B464B">
        <w:trPr>
          <w:trHeight w:val="300"/>
        </w:trPr>
        <w:tc>
          <w:tcPr>
            <w:tcW w:w="1177" w:type="pct"/>
          </w:tcPr>
          <w:p w14:paraId="0A4FE034"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BICc</w:t>
            </w:r>
          </w:p>
        </w:tc>
        <w:tc>
          <w:tcPr>
            <w:tcW w:w="866" w:type="pct"/>
          </w:tcPr>
          <w:p w14:paraId="3558DC1F"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3230.6</w:t>
            </w:r>
          </w:p>
        </w:tc>
        <w:tc>
          <w:tcPr>
            <w:tcW w:w="585" w:type="pct"/>
          </w:tcPr>
          <w:p w14:paraId="2D0151B4"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2750.4</w:t>
            </w:r>
          </w:p>
        </w:tc>
        <w:tc>
          <w:tcPr>
            <w:tcW w:w="709" w:type="pct"/>
          </w:tcPr>
          <w:p w14:paraId="26A821F6"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2749.5</w:t>
            </w:r>
          </w:p>
        </w:tc>
        <w:tc>
          <w:tcPr>
            <w:tcW w:w="664" w:type="pct"/>
          </w:tcPr>
          <w:p w14:paraId="1B2B9D5B"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2746.2</w:t>
            </w:r>
          </w:p>
        </w:tc>
        <w:tc>
          <w:tcPr>
            <w:tcW w:w="1000" w:type="pct"/>
          </w:tcPr>
          <w:p w14:paraId="73406E5E" w14:textId="77777777" w:rsidR="00AD6284" w:rsidRPr="007B464B" w:rsidRDefault="00AD6284" w:rsidP="007B464B">
            <w:pPr>
              <w:widowControl w:val="0"/>
              <w:ind w:left="101" w:right="101"/>
              <w:jc w:val="center"/>
              <w:rPr>
                <w:rFonts w:eastAsia="Arial" w:cstheme="minorHAnsi"/>
                <w:b/>
                <w:bCs/>
                <w:color w:val="000000" w:themeColor="text1"/>
                <w:sz w:val="20"/>
                <w:szCs w:val="20"/>
              </w:rPr>
            </w:pPr>
            <w:r w:rsidRPr="007B464B">
              <w:rPr>
                <w:rFonts w:eastAsia="Arial" w:cstheme="minorHAnsi"/>
                <w:b/>
                <w:bCs/>
                <w:color w:val="000000" w:themeColor="text1"/>
                <w:sz w:val="20"/>
                <w:szCs w:val="20"/>
              </w:rPr>
              <w:t>2750.4</w:t>
            </w:r>
          </w:p>
        </w:tc>
      </w:tr>
      <w:tr w:rsidR="00AD6284" w:rsidRPr="007B464B" w14:paraId="5F9D2D8E" w14:textId="77777777" w:rsidTr="007B464B">
        <w:trPr>
          <w:trHeight w:val="300"/>
        </w:trPr>
        <w:tc>
          <w:tcPr>
            <w:tcW w:w="1177" w:type="pct"/>
          </w:tcPr>
          <w:p w14:paraId="18949ACB"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Intercept</w:t>
            </w:r>
          </w:p>
        </w:tc>
        <w:tc>
          <w:tcPr>
            <w:tcW w:w="866" w:type="pct"/>
          </w:tcPr>
          <w:p w14:paraId="1803296D"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47.27</w:t>
            </w:r>
            <w:r w:rsidRPr="007B464B">
              <w:rPr>
                <w:rFonts w:cstheme="minorHAnsi"/>
                <w:sz w:val="20"/>
                <w:szCs w:val="20"/>
              </w:rPr>
              <w:br/>
            </w:r>
            <w:r w:rsidRPr="007B464B">
              <w:rPr>
                <w:rFonts w:eastAsia="Arial" w:cstheme="minorHAnsi"/>
                <w:color w:val="000000" w:themeColor="text1"/>
                <w:sz w:val="20"/>
                <w:szCs w:val="20"/>
              </w:rPr>
              <w:t xml:space="preserve"> (3.4%)</w:t>
            </w:r>
          </w:p>
        </w:tc>
        <w:tc>
          <w:tcPr>
            <w:tcW w:w="585" w:type="pct"/>
          </w:tcPr>
          <w:p w14:paraId="4C58FF9B"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3.13 (47%)</w:t>
            </w:r>
          </w:p>
        </w:tc>
        <w:tc>
          <w:tcPr>
            <w:tcW w:w="709" w:type="pct"/>
          </w:tcPr>
          <w:p w14:paraId="0D52C251"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-3.63</w:t>
            </w:r>
            <w:r w:rsidRPr="007B464B">
              <w:rPr>
                <w:rFonts w:cstheme="minorHAnsi"/>
                <w:sz w:val="20"/>
                <w:szCs w:val="20"/>
              </w:rPr>
              <w:br/>
            </w:r>
            <w:r w:rsidRPr="007B464B">
              <w:rPr>
                <w:rFonts w:eastAsia="Arial" w:cstheme="minorHAnsi"/>
                <w:color w:val="000000" w:themeColor="text1"/>
                <w:sz w:val="20"/>
                <w:szCs w:val="20"/>
              </w:rPr>
              <w:t xml:space="preserve"> (55.2%)</w:t>
            </w:r>
          </w:p>
        </w:tc>
        <w:tc>
          <w:tcPr>
            <w:tcW w:w="664" w:type="pct"/>
          </w:tcPr>
          <w:p w14:paraId="3AF54B35"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-2.18</w:t>
            </w:r>
            <w:r w:rsidRPr="007B464B">
              <w:rPr>
                <w:rFonts w:cstheme="minorHAnsi"/>
                <w:sz w:val="20"/>
                <w:szCs w:val="20"/>
              </w:rPr>
              <w:br/>
            </w:r>
            <w:r w:rsidRPr="007B464B">
              <w:rPr>
                <w:rFonts w:eastAsia="Arial" w:cstheme="minorHAnsi"/>
                <w:color w:val="000000" w:themeColor="text1"/>
                <w:sz w:val="20"/>
                <w:szCs w:val="20"/>
              </w:rPr>
              <w:t xml:space="preserve"> (87.4%)</w:t>
            </w:r>
          </w:p>
        </w:tc>
        <w:tc>
          <w:tcPr>
            <w:tcW w:w="1000" w:type="pct"/>
          </w:tcPr>
          <w:p w14:paraId="6F53096A"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0.04</w:t>
            </w:r>
            <w:r w:rsidRPr="007B464B">
              <w:rPr>
                <w:rFonts w:cstheme="minorHAnsi"/>
                <w:sz w:val="20"/>
                <w:szCs w:val="20"/>
              </w:rPr>
              <w:br/>
            </w:r>
            <w:r w:rsidRPr="007B464B">
              <w:rPr>
                <w:rFonts w:eastAsia="Arial" w:cstheme="minorHAnsi"/>
                <w:color w:val="000000" w:themeColor="text1"/>
                <w:sz w:val="20"/>
                <w:szCs w:val="20"/>
              </w:rPr>
              <w:t xml:space="preserve"> (5643.1%)</w:t>
            </w:r>
          </w:p>
        </w:tc>
      </w:tr>
      <w:tr w:rsidR="00AD6284" w:rsidRPr="007B464B" w14:paraId="0BF1097F" w14:textId="77777777" w:rsidTr="007B464B">
        <w:trPr>
          <w:trHeight w:val="300"/>
        </w:trPr>
        <w:tc>
          <w:tcPr>
            <w:tcW w:w="1177" w:type="pct"/>
          </w:tcPr>
          <w:p w14:paraId="2BE978C7"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Slope</w:t>
            </w:r>
          </w:p>
        </w:tc>
        <w:tc>
          <w:tcPr>
            <w:tcW w:w="866" w:type="pct"/>
          </w:tcPr>
          <w:p w14:paraId="36CB3C1E"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2DCE0BDD"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0.04</w:t>
            </w:r>
            <w:r w:rsidRPr="007B464B">
              <w:rPr>
                <w:rFonts w:cstheme="minorHAnsi"/>
                <w:sz w:val="20"/>
                <w:szCs w:val="20"/>
              </w:rPr>
              <w:br/>
            </w:r>
            <w:r w:rsidRPr="007B464B">
              <w:rPr>
                <w:rFonts w:eastAsia="Arial" w:cstheme="minorHAnsi"/>
                <w:color w:val="000000" w:themeColor="text1"/>
                <w:sz w:val="20"/>
                <w:szCs w:val="20"/>
              </w:rPr>
              <w:t xml:space="preserve"> (6.9%)</w:t>
            </w:r>
          </w:p>
        </w:tc>
        <w:tc>
          <w:tcPr>
            <w:tcW w:w="709" w:type="pct"/>
          </w:tcPr>
          <w:p w14:paraId="54A9E344"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664" w:type="pct"/>
          </w:tcPr>
          <w:p w14:paraId="14809A92"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1000" w:type="pct"/>
          </w:tcPr>
          <w:p w14:paraId="24B697FA" w14:textId="77777777" w:rsidR="00AD6284" w:rsidRPr="007B464B" w:rsidRDefault="00AD6284" w:rsidP="007B464B">
            <w:pPr>
              <w:widowControl w:val="0"/>
              <w:ind w:left="101" w:right="101"/>
              <w:jc w:val="center"/>
              <w:rPr>
                <w:rFonts w:eastAsia="Arial" w:cstheme="minorHAnsi"/>
                <w:color w:val="000000" w:themeColor="text1"/>
                <w:sz w:val="20"/>
                <w:szCs w:val="20"/>
              </w:rPr>
            </w:pPr>
          </w:p>
        </w:tc>
      </w:tr>
      <w:tr w:rsidR="00AD6284" w:rsidRPr="007B464B" w14:paraId="72C5E455" w14:textId="77777777" w:rsidTr="007B464B">
        <w:trPr>
          <w:trHeight w:val="300"/>
        </w:trPr>
        <w:tc>
          <w:tcPr>
            <w:tcW w:w="1177" w:type="pct"/>
          </w:tcPr>
          <w:p w14:paraId="3905FF0A"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E</w:t>
            </w:r>
            <w:r w:rsidRPr="007B464B">
              <w:rPr>
                <w:rFonts w:eastAsia="Arial" w:cstheme="minorHAnsi"/>
                <w:color w:val="000000" w:themeColor="text1"/>
                <w:sz w:val="20"/>
                <w:szCs w:val="20"/>
                <w:vertAlign w:val="subscript"/>
              </w:rPr>
              <w:t>max</w:t>
            </w:r>
          </w:p>
        </w:tc>
        <w:tc>
          <w:tcPr>
            <w:tcW w:w="866" w:type="pct"/>
          </w:tcPr>
          <w:p w14:paraId="3615FB6C"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045B4172"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709" w:type="pct"/>
          </w:tcPr>
          <w:p w14:paraId="3BEA5269"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664" w:type="pct"/>
          </w:tcPr>
          <w:p w14:paraId="27684F20"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230.48</w:t>
            </w:r>
            <w:r w:rsidRPr="007B464B">
              <w:rPr>
                <w:rFonts w:cstheme="minorHAnsi"/>
                <w:sz w:val="20"/>
                <w:szCs w:val="20"/>
              </w:rPr>
              <w:br/>
            </w:r>
            <w:r w:rsidRPr="007B464B">
              <w:rPr>
                <w:rFonts w:eastAsia="Arial" w:cstheme="minorHAnsi"/>
                <w:color w:val="000000" w:themeColor="text1"/>
                <w:sz w:val="20"/>
                <w:szCs w:val="20"/>
              </w:rPr>
              <w:t xml:space="preserve"> (14.5%)</w:t>
            </w:r>
          </w:p>
        </w:tc>
        <w:tc>
          <w:tcPr>
            <w:tcW w:w="1000" w:type="pct"/>
          </w:tcPr>
          <w:p w14:paraId="67B05551"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170.21</w:t>
            </w:r>
            <w:r w:rsidRPr="007B464B">
              <w:rPr>
                <w:rFonts w:cstheme="minorHAnsi"/>
                <w:sz w:val="20"/>
                <w:szCs w:val="20"/>
              </w:rPr>
              <w:br/>
            </w:r>
            <w:r w:rsidRPr="007B464B">
              <w:rPr>
                <w:rFonts w:eastAsia="Arial" w:cstheme="minorHAnsi"/>
                <w:color w:val="000000" w:themeColor="text1"/>
                <w:sz w:val="20"/>
                <w:szCs w:val="20"/>
              </w:rPr>
              <w:t xml:space="preserve"> (20.4%)</w:t>
            </w:r>
          </w:p>
        </w:tc>
      </w:tr>
      <w:tr w:rsidR="00AD6284" w:rsidRPr="007B464B" w14:paraId="621E5EA9" w14:textId="77777777" w:rsidTr="007B464B">
        <w:trPr>
          <w:trHeight w:val="300"/>
        </w:trPr>
        <w:tc>
          <w:tcPr>
            <w:tcW w:w="1177" w:type="pct"/>
          </w:tcPr>
          <w:p w14:paraId="2CD57DE7"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EC</w:t>
            </w:r>
            <w:r w:rsidRPr="007B464B">
              <w:rPr>
                <w:rFonts w:eastAsia="Arial" w:cstheme="minorHAnsi"/>
                <w:color w:val="000000" w:themeColor="text1"/>
                <w:sz w:val="20"/>
                <w:szCs w:val="20"/>
                <w:vertAlign w:val="subscript"/>
              </w:rPr>
              <w:t>50</w:t>
            </w:r>
          </w:p>
        </w:tc>
        <w:tc>
          <w:tcPr>
            <w:tcW w:w="866" w:type="pct"/>
          </w:tcPr>
          <w:p w14:paraId="154BC57C"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16E3F33A"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709" w:type="pct"/>
          </w:tcPr>
          <w:p w14:paraId="41F6AEFE"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664" w:type="pct"/>
          </w:tcPr>
          <w:p w14:paraId="2FA42595"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3454.45</w:t>
            </w:r>
            <w:r w:rsidRPr="007B464B">
              <w:rPr>
                <w:rFonts w:cstheme="minorHAnsi"/>
                <w:sz w:val="20"/>
                <w:szCs w:val="20"/>
              </w:rPr>
              <w:br/>
            </w:r>
            <w:r w:rsidRPr="007B464B">
              <w:rPr>
                <w:rFonts w:eastAsia="Arial" w:cstheme="minorHAnsi"/>
                <w:color w:val="000000" w:themeColor="text1"/>
                <w:sz w:val="20"/>
                <w:szCs w:val="20"/>
              </w:rPr>
              <w:t xml:space="preserve"> (21.6%)</w:t>
            </w:r>
          </w:p>
        </w:tc>
        <w:tc>
          <w:tcPr>
            <w:tcW w:w="1000" w:type="pct"/>
          </w:tcPr>
          <w:p w14:paraId="4742A0C4"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2091.67</w:t>
            </w:r>
            <w:r w:rsidRPr="007B464B">
              <w:rPr>
                <w:rFonts w:cstheme="minorHAnsi"/>
                <w:sz w:val="20"/>
                <w:szCs w:val="20"/>
              </w:rPr>
              <w:br/>
            </w:r>
            <w:r w:rsidRPr="007B464B">
              <w:rPr>
                <w:rFonts w:eastAsia="Arial" w:cstheme="minorHAnsi"/>
                <w:color w:val="000000" w:themeColor="text1"/>
                <w:sz w:val="20"/>
                <w:szCs w:val="20"/>
              </w:rPr>
              <w:t xml:space="preserve"> (31.1%)</w:t>
            </w:r>
          </w:p>
        </w:tc>
      </w:tr>
      <w:tr w:rsidR="00AD6284" w:rsidRPr="007B464B" w14:paraId="09FF898C" w14:textId="77777777" w:rsidTr="007B464B">
        <w:trPr>
          <w:trHeight w:val="300"/>
        </w:trPr>
        <w:tc>
          <w:tcPr>
            <w:tcW w:w="1177" w:type="pct"/>
          </w:tcPr>
          <w:p w14:paraId="422262F8"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Hill coefficient</w:t>
            </w:r>
          </w:p>
        </w:tc>
        <w:tc>
          <w:tcPr>
            <w:tcW w:w="866" w:type="pct"/>
          </w:tcPr>
          <w:p w14:paraId="3C3B9B50"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55C21005"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709" w:type="pct"/>
          </w:tcPr>
          <w:p w14:paraId="10ED865B"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664" w:type="pct"/>
          </w:tcPr>
          <w:p w14:paraId="0348122D"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1000" w:type="pct"/>
          </w:tcPr>
          <w:p w14:paraId="7EEDF5E7"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1.21</w:t>
            </w:r>
            <w:r w:rsidRPr="007B464B">
              <w:rPr>
                <w:rFonts w:cstheme="minorHAnsi"/>
                <w:sz w:val="20"/>
                <w:szCs w:val="20"/>
              </w:rPr>
              <w:br/>
            </w:r>
            <w:r w:rsidRPr="007B464B">
              <w:rPr>
                <w:rFonts w:eastAsia="Arial" w:cstheme="minorHAnsi"/>
                <w:color w:val="000000" w:themeColor="text1"/>
                <w:sz w:val="20"/>
                <w:szCs w:val="20"/>
              </w:rPr>
              <w:t xml:space="preserve"> (12%)</w:t>
            </w:r>
          </w:p>
        </w:tc>
      </w:tr>
      <w:tr w:rsidR="00AD6284" w:rsidRPr="007B464B" w14:paraId="3CC59162" w14:textId="77777777" w:rsidTr="007B464B">
        <w:trPr>
          <w:trHeight w:val="300"/>
        </w:trPr>
        <w:tc>
          <w:tcPr>
            <w:tcW w:w="1177" w:type="pct"/>
          </w:tcPr>
          <w:p w14:paraId="2B4C762F" w14:textId="563D9B84"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p1</w:t>
            </w:r>
          </w:p>
        </w:tc>
        <w:tc>
          <w:tcPr>
            <w:tcW w:w="866" w:type="pct"/>
          </w:tcPr>
          <w:p w14:paraId="2F5EB700"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5F9F513E"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709" w:type="pct"/>
          </w:tcPr>
          <w:p w14:paraId="7DFC93FB"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76.26</w:t>
            </w:r>
            <w:r w:rsidRPr="007B464B">
              <w:rPr>
                <w:rFonts w:cstheme="minorHAnsi"/>
                <w:sz w:val="20"/>
                <w:szCs w:val="20"/>
              </w:rPr>
              <w:br/>
            </w:r>
            <w:r w:rsidRPr="007B464B">
              <w:rPr>
                <w:rFonts w:eastAsia="Arial" w:cstheme="minorHAnsi"/>
                <w:color w:val="000000" w:themeColor="text1"/>
                <w:sz w:val="20"/>
                <w:szCs w:val="20"/>
              </w:rPr>
              <w:t xml:space="preserve"> (14.7%)</w:t>
            </w:r>
          </w:p>
        </w:tc>
        <w:tc>
          <w:tcPr>
            <w:tcW w:w="664" w:type="pct"/>
          </w:tcPr>
          <w:p w14:paraId="5DC609EE"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1000" w:type="pct"/>
          </w:tcPr>
          <w:p w14:paraId="1177D225" w14:textId="77777777" w:rsidR="00AD6284" w:rsidRPr="007B464B" w:rsidRDefault="00AD6284" w:rsidP="007B464B">
            <w:pPr>
              <w:widowControl w:val="0"/>
              <w:ind w:left="101" w:right="101"/>
              <w:jc w:val="center"/>
              <w:rPr>
                <w:rFonts w:eastAsia="Arial" w:cstheme="minorHAnsi"/>
                <w:color w:val="000000" w:themeColor="text1"/>
                <w:sz w:val="20"/>
                <w:szCs w:val="20"/>
              </w:rPr>
            </w:pPr>
          </w:p>
        </w:tc>
      </w:tr>
      <w:tr w:rsidR="00AD6284" w:rsidRPr="007B464B" w14:paraId="7A54703D" w14:textId="77777777" w:rsidTr="007B464B">
        <w:trPr>
          <w:trHeight w:val="300"/>
        </w:trPr>
        <w:tc>
          <w:tcPr>
            <w:tcW w:w="1177" w:type="pct"/>
          </w:tcPr>
          <w:p w14:paraId="0267426F" w14:textId="14840B8B"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p2</w:t>
            </w:r>
          </w:p>
        </w:tc>
        <w:tc>
          <w:tcPr>
            <w:tcW w:w="866" w:type="pct"/>
          </w:tcPr>
          <w:p w14:paraId="4E6C4A08"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2B60E71B"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709" w:type="pct"/>
          </w:tcPr>
          <w:p w14:paraId="3F8ECB41"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979.55</w:t>
            </w:r>
            <w:r w:rsidRPr="007B464B">
              <w:rPr>
                <w:rFonts w:cstheme="minorHAnsi"/>
                <w:sz w:val="20"/>
                <w:szCs w:val="20"/>
              </w:rPr>
              <w:br/>
            </w:r>
            <w:r w:rsidRPr="007B464B">
              <w:rPr>
                <w:rFonts w:eastAsia="Arial" w:cstheme="minorHAnsi"/>
                <w:color w:val="000000" w:themeColor="text1"/>
                <w:sz w:val="20"/>
                <w:szCs w:val="20"/>
              </w:rPr>
              <w:t xml:space="preserve"> (23.8%)</w:t>
            </w:r>
          </w:p>
        </w:tc>
        <w:tc>
          <w:tcPr>
            <w:tcW w:w="664" w:type="pct"/>
          </w:tcPr>
          <w:p w14:paraId="64184B49"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1000" w:type="pct"/>
          </w:tcPr>
          <w:p w14:paraId="130D2516" w14:textId="77777777" w:rsidR="00AD6284" w:rsidRPr="007B464B" w:rsidRDefault="00AD6284" w:rsidP="007B464B">
            <w:pPr>
              <w:widowControl w:val="0"/>
              <w:ind w:left="101" w:right="101"/>
              <w:jc w:val="center"/>
              <w:rPr>
                <w:rFonts w:eastAsia="Arial" w:cstheme="minorHAnsi"/>
                <w:color w:val="000000" w:themeColor="text1"/>
                <w:sz w:val="20"/>
                <w:szCs w:val="20"/>
              </w:rPr>
            </w:pPr>
          </w:p>
        </w:tc>
      </w:tr>
      <w:tr w:rsidR="00AD6284" w:rsidRPr="007B464B" w14:paraId="3B101547" w14:textId="77777777" w:rsidTr="007B464B">
        <w:trPr>
          <w:trHeight w:val="300"/>
        </w:trPr>
        <w:tc>
          <w:tcPr>
            <w:tcW w:w="1177" w:type="pct"/>
          </w:tcPr>
          <w:p w14:paraId="1462DDA8" w14:textId="28BB9F40"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Centered baseline QTc, plac-adjusted</w:t>
            </w:r>
          </w:p>
        </w:tc>
        <w:tc>
          <w:tcPr>
            <w:tcW w:w="866" w:type="pct"/>
          </w:tcPr>
          <w:p w14:paraId="2FDE357F"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-0.47</w:t>
            </w:r>
            <w:r w:rsidRPr="007B464B">
              <w:rPr>
                <w:rFonts w:cstheme="minorHAnsi"/>
                <w:sz w:val="20"/>
                <w:szCs w:val="20"/>
              </w:rPr>
              <w:br/>
            </w:r>
            <w:r w:rsidRPr="007B464B">
              <w:rPr>
                <w:rFonts w:eastAsia="Arial" w:cstheme="minorHAnsi"/>
                <w:color w:val="000000" w:themeColor="text1"/>
                <w:sz w:val="20"/>
                <w:szCs w:val="20"/>
              </w:rPr>
              <w:t xml:space="preserve"> (37.2%)</w:t>
            </w:r>
          </w:p>
        </w:tc>
        <w:tc>
          <w:tcPr>
            <w:tcW w:w="585" w:type="pct"/>
          </w:tcPr>
          <w:p w14:paraId="7AB71D34" w14:textId="1FD68424"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-0.62 (23.8%)</w:t>
            </w:r>
          </w:p>
        </w:tc>
        <w:tc>
          <w:tcPr>
            <w:tcW w:w="709" w:type="pct"/>
          </w:tcPr>
          <w:p w14:paraId="5DE84C73"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-0.56</w:t>
            </w:r>
            <w:r w:rsidRPr="007B464B">
              <w:rPr>
                <w:rFonts w:cstheme="minorHAnsi"/>
                <w:sz w:val="20"/>
                <w:szCs w:val="20"/>
              </w:rPr>
              <w:br/>
            </w:r>
            <w:r w:rsidRPr="007B464B">
              <w:rPr>
                <w:rFonts w:eastAsia="Arial" w:cstheme="minorHAnsi"/>
                <w:color w:val="000000" w:themeColor="text1"/>
                <w:sz w:val="20"/>
                <w:szCs w:val="20"/>
              </w:rPr>
              <w:t xml:space="preserve"> (27.9%)</w:t>
            </w:r>
          </w:p>
        </w:tc>
        <w:tc>
          <w:tcPr>
            <w:tcW w:w="664" w:type="pct"/>
          </w:tcPr>
          <w:p w14:paraId="33C9BBA8"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-0.58</w:t>
            </w:r>
            <w:r w:rsidRPr="007B464B">
              <w:rPr>
                <w:rFonts w:cstheme="minorHAnsi"/>
                <w:sz w:val="20"/>
                <w:szCs w:val="20"/>
              </w:rPr>
              <w:br/>
            </w:r>
            <w:r w:rsidRPr="007B464B">
              <w:rPr>
                <w:rFonts w:eastAsia="Arial" w:cstheme="minorHAnsi"/>
                <w:color w:val="000000" w:themeColor="text1"/>
                <w:sz w:val="20"/>
                <w:szCs w:val="20"/>
              </w:rPr>
              <w:t xml:space="preserve"> (26.2%)</w:t>
            </w:r>
          </w:p>
        </w:tc>
        <w:tc>
          <w:tcPr>
            <w:tcW w:w="1000" w:type="pct"/>
          </w:tcPr>
          <w:p w14:paraId="5D30FABD"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-0.67</w:t>
            </w:r>
            <w:r w:rsidRPr="007B464B">
              <w:rPr>
                <w:rFonts w:cstheme="minorHAnsi"/>
                <w:sz w:val="20"/>
                <w:szCs w:val="20"/>
              </w:rPr>
              <w:br/>
            </w:r>
            <w:r w:rsidRPr="007B464B">
              <w:rPr>
                <w:rFonts w:eastAsia="Arial" w:cstheme="minorHAnsi"/>
                <w:color w:val="000000" w:themeColor="text1"/>
                <w:sz w:val="20"/>
                <w:szCs w:val="20"/>
              </w:rPr>
              <w:t xml:space="preserve"> (22%)</w:t>
            </w:r>
          </w:p>
        </w:tc>
      </w:tr>
      <w:tr w:rsidR="00AD6284" w:rsidRPr="007B464B" w14:paraId="0B07BDE7" w14:textId="77777777" w:rsidTr="007B464B">
        <w:trPr>
          <w:trHeight w:val="300"/>
        </w:trPr>
        <w:tc>
          <w:tcPr>
            <w:tcW w:w="1177" w:type="pct"/>
          </w:tcPr>
          <w:p w14:paraId="730D1EDB"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IIV slope (SD)</w:t>
            </w:r>
          </w:p>
        </w:tc>
        <w:tc>
          <w:tcPr>
            <w:tcW w:w="866" w:type="pct"/>
          </w:tcPr>
          <w:p w14:paraId="59659E22"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2A7071D1"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0.01</w:t>
            </w:r>
            <w:r w:rsidRPr="007B464B">
              <w:rPr>
                <w:rFonts w:cstheme="minorHAnsi"/>
                <w:sz w:val="20"/>
                <w:szCs w:val="20"/>
              </w:rPr>
              <w:br/>
            </w:r>
            <w:r w:rsidRPr="007B464B">
              <w:rPr>
                <w:rFonts w:eastAsia="Arial" w:cstheme="minorHAnsi"/>
                <w:color w:val="000000" w:themeColor="text1"/>
                <w:sz w:val="20"/>
                <w:szCs w:val="20"/>
              </w:rPr>
              <w:t xml:space="preserve"> (16.2%)</w:t>
            </w:r>
          </w:p>
        </w:tc>
        <w:tc>
          <w:tcPr>
            <w:tcW w:w="709" w:type="pct"/>
          </w:tcPr>
          <w:p w14:paraId="36CB353E"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664" w:type="pct"/>
          </w:tcPr>
          <w:p w14:paraId="2CC66EF4"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1000" w:type="pct"/>
          </w:tcPr>
          <w:p w14:paraId="539B61E7" w14:textId="77777777" w:rsidR="00AD6284" w:rsidRPr="007B464B" w:rsidRDefault="00AD6284" w:rsidP="007B464B">
            <w:pPr>
              <w:widowControl w:val="0"/>
              <w:ind w:left="101" w:right="101"/>
              <w:jc w:val="center"/>
              <w:rPr>
                <w:rFonts w:eastAsia="Arial" w:cstheme="minorHAnsi"/>
                <w:color w:val="000000" w:themeColor="text1"/>
                <w:sz w:val="20"/>
                <w:szCs w:val="20"/>
              </w:rPr>
            </w:pPr>
          </w:p>
        </w:tc>
      </w:tr>
      <w:tr w:rsidR="00AD6284" w:rsidRPr="007B464B" w14:paraId="5AD247F0" w14:textId="77777777" w:rsidTr="007B464B">
        <w:trPr>
          <w:trHeight w:val="300"/>
        </w:trPr>
        <w:tc>
          <w:tcPr>
            <w:tcW w:w="1177" w:type="pct"/>
          </w:tcPr>
          <w:p w14:paraId="430CF85F"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IIV Emax (SD)</w:t>
            </w:r>
          </w:p>
        </w:tc>
        <w:tc>
          <w:tcPr>
            <w:tcW w:w="866" w:type="pct"/>
          </w:tcPr>
          <w:p w14:paraId="63A129DA"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38CF8C21"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709" w:type="pct"/>
          </w:tcPr>
          <w:p w14:paraId="0D3F921A"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664" w:type="pct"/>
          </w:tcPr>
          <w:p w14:paraId="5AD4A731"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54.1</w:t>
            </w:r>
            <w:r w:rsidRPr="007B464B">
              <w:rPr>
                <w:rFonts w:cstheme="minorHAnsi"/>
                <w:sz w:val="20"/>
                <w:szCs w:val="20"/>
              </w:rPr>
              <w:br/>
            </w:r>
            <w:r w:rsidRPr="007B464B">
              <w:rPr>
                <w:rFonts w:eastAsia="Arial" w:cstheme="minorHAnsi"/>
                <w:color w:val="000000" w:themeColor="text1"/>
                <w:sz w:val="20"/>
                <w:szCs w:val="20"/>
              </w:rPr>
              <w:t xml:space="preserve"> (16.4%)</w:t>
            </w:r>
          </w:p>
        </w:tc>
        <w:tc>
          <w:tcPr>
            <w:tcW w:w="1000" w:type="pct"/>
          </w:tcPr>
          <w:p w14:paraId="2B1EE209"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41.85</w:t>
            </w:r>
            <w:r w:rsidRPr="007B464B">
              <w:rPr>
                <w:rFonts w:cstheme="minorHAnsi"/>
                <w:sz w:val="20"/>
                <w:szCs w:val="20"/>
              </w:rPr>
              <w:br/>
            </w:r>
            <w:r w:rsidRPr="007B464B">
              <w:rPr>
                <w:rFonts w:eastAsia="Arial" w:cstheme="minorHAnsi"/>
                <w:color w:val="000000" w:themeColor="text1"/>
                <w:sz w:val="20"/>
                <w:szCs w:val="20"/>
              </w:rPr>
              <w:t xml:space="preserve"> (16.4%)</w:t>
            </w:r>
          </w:p>
        </w:tc>
      </w:tr>
      <w:tr w:rsidR="00AD6284" w:rsidRPr="007B464B" w14:paraId="01C568E2" w14:textId="77777777" w:rsidTr="007B464B">
        <w:trPr>
          <w:trHeight w:val="300"/>
        </w:trPr>
        <w:tc>
          <w:tcPr>
            <w:tcW w:w="1177" w:type="pct"/>
          </w:tcPr>
          <w:p w14:paraId="501EA5C4"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IIV p1 (SD)</w:t>
            </w:r>
          </w:p>
        </w:tc>
        <w:tc>
          <w:tcPr>
            <w:tcW w:w="866" w:type="pct"/>
          </w:tcPr>
          <w:p w14:paraId="42CA3967"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585" w:type="pct"/>
          </w:tcPr>
          <w:p w14:paraId="6308FF28"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709" w:type="pct"/>
          </w:tcPr>
          <w:p w14:paraId="6B317A18"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16.9</w:t>
            </w:r>
            <w:r w:rsidRPr="007B464B">
              <w:rPr>
                <w:rFonts w:cstheme="minorHAnsi"/>
                <w:sz w:val="20"/>
                <w:szCs w:val="20"/>
              </w:rPr>
              <w:br/>
            </w:r>
            <w:r w:rsidRPr="007B464B">
              <w:rPr>
                <w:rFonts w:eastAsia="Arial" w:cstheme="minorHAnsi"/>
                <w:color w:val="000000" w:themeColor="text1"/>
                <w:sz w:val="20"/>
                <w:szCs w:val="20"/>
              </w:rPr>
              <w:t xml:space="preserve"> (16.4%)</w:t>
            </w:r>
          </w:p>
        </w:tc>
        <w:tc>
          <w:tcPr>
            <w:tcW w:w="664" w:type="pct"/>
          </w:tcPr>
          <w:p w14:paraId="6425DF61" w14:textId="77777777" w:rsidR="00AD6284" w:rsidRPr="007B464B" w:rsidRDefault="00AD6284" w:rsidP="007B464B">
            <w:pPr>
              <w:widowControl w:val="0"/>
              <w:ind w:left="101" w:right="101"/>
              <w:jc w:val="center"/>
              <w:rPr>
                <w:rFonts w:eastAsia="Arial" w:cstheme="minorHAnsi"/>
                <w:color w:val="000000" w:themeColor="text1"/>
                <w:sz w:val="20"/>
                <w:szCs w:val="20"/>
              </w:rPr>
            </w:pPr>
          </w:p>
        </w:tc>
        <w:tc>
          <w:tcPr>
            <w:tcW w:w="1000" w:type="pct"/>
          </w:tcPr>
          <w:p w14:paraId="1BF78566" w14:textId="77777777" w:rsidR="00AD6284" w:rsidRPr="007B464B" w:rsidRDefault="00AD6284" w:rsidP="007B464B">
            <w:pPr>
              <w:widowControl w:val="0"/>
              <w:ind w:left="101" w:right="101"/>
              <w:jc w:val="center"/>
              <w:rPr>
                <w:rFonts w:eastAsia="Arial" w:cstheme="minorHAnsi"/>
                <w:color w:val="000000" w:themeColor="text1"/>
                <w:sz w:val="20"/>
                <w:szCs w:val="20"/>
              </w:rPr>
            </w:pPr>
          </w:p>
        </w:tc>
      </w:tr>
      <w:tr w:rsidR="00AD6284" w:rsidRPr="007B464B" w14:paraId="0D00F8D4" w14:textId="77777777" w:rsidTr="007B464B">
        <w:trPr>
          <w:trHeight w:val="300"/>
        </w:trPr>
        <w:tc>
          <w:tcPr>
            <w:tcW w:w="1177" w:type="pct"/>
          </w:tcPr>
          <w:p w14:paraId="0D555CE1"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Residual error (SD)</w:t>
            </w:r>
          </w:p>
        </w:tc>
        <w:tc>
          <w:tcPr>
            <w:tcW w:w="866" w:type="pct"/>
          </w:tcPr>
          <w:p w14:paraId="1ED8CEC0"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28.86</w:t>
            </w:r>
            <w:r w:rsidRPr="007B464B">
              <w:rPr>
                <w:rFonts w:cstheme="minorHAnsi"/>
                <w:sz w:val="20"/>
                <w:szCs w:val="20"/>
              </w:rPr>
              <w:br/>
            </w:r>
            <w:r w:rsidRPr="007B464B">
              <w:rPr>
                <w:rFonts w:eastAsia="Arial" w:cstheme="minorHAnsi"/>
                <w:color w:val="000000" w:themeColor="text1"/>
                <w:sz w:val="20"/>
                <w:szCs w:val="20"/>
              </w:rPr>
              <w:t xml:space="preserve"> (3.9%)</w:t>
            </w:r>
          </w:p>
        </w:tc>
        <w:tc>
          <w:tcPr>
            <w:tcW w:w="585" w:type="pct"/>
          </w:tcPr>
          <w:p w14:paraId="7E807042"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12.64</w:t>
            </w:r>
            <w:r w:rsidRPr="007B464B">
              <w:rPr>
                <w:rFonts w:cstheme="minorHAnsi"/>
                <w:sz w:val="20"/>
                <w:szCs w:val="20"/>
              </w:rPr>
              <w:br/>
            </w:r>
            <w:r w:rsidRPr="007B464B">
              <w:rPr>
                <w:rFonts w:eastAsia="Arial" w:cstheme="minorHAnsi"/>
                <w:color w:val="000000" w:themeColor="text1"/>
                <w:sz w:val="20"/>
                <w:szCs w:val="20"/>
              </w:rPr>
              <w:t xml:space="preserve"> (4%)</w:t>
            </w:r>
          </w:p>
        </w:tc>
        <w:tc>
          <w:tcPr>
            <w:tcW w:w="709" w:type="pct"/>
          </w:tcPr>
          <w:p w14:paraId="205F80BD"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12.62</w:t>
            </w:r>
            <w:r w:rsidRPr="007B464B">
              <w:rPr>
                <w:rFonts w:cstheme="minorHAnsi"/>
                <w:sz w:val="20"/>
                <w:szCs w:val="20"/>
              </w:rPr>
              <w:br/>
            </w:r>
            <w:r w:rsidRPr="007B464B">
              <w:rPr>
                <w:rFonts w:eastAsia="Arial" w:cstheme="minorHAnsi"/>
                <w:color w:val="000000" w:themeColor="text1"/>
                <w:sz w:val="20"/>
                <w:szCs w:val="20"/>
              </w:rPr>
              <w:t xml:space="preserve"> (4%)</w:t>
            </w:r>
          </w:p>
        </w:tc>
        <w:tc>
          <w:tcPr>
            <w:tcW w:w="664" w:type="pct"/>
          </w:tcPr>
          <w:p w14:paraId="0ADA8BFC"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12.53</w:t>
            </w:r>
            <w:r w:rsidRPr="007B464B">
              <w:rPr>
                <w:rFonts w:cstheme="minorHAnsi"/>
                <w:sz w:val="20"/>
                <w:szCs w:val="20"/>
              </w:rPr>
              <w:br/>
            </w:r>
            <w:r w:rsidRPr="007B464B">
              <w:rPr>
                <w:rFonts w:eastAsia="Arial" w:cstheme="minorHAnsi"/>
                <w:color w:val="000000" w:themeColor="text1"/>
                <w:sz w:val="20"/>
                <w:szCs w:val="20"/>
              </w:rPr>
              <w:t xml:space="preserve"> (4%)</w:t>
            </w:r>
          </w:p>
        </w:tc>
        <w:tc>
          <w:tcPr>
            <w:tcW w:w="1000" w:type="pct"/>
          </w:tcPr>
          <w:p w14:paraId="7D38F44C" w14:textId="77777777" w:rsidR="00AD6284" w:rsidRPr="007B464B" w:rsidRDefault="00AD6284" w:rsidP="007B464B">
            <w:pPr>
              <w:widowControl w:val="0"/>
              <w:ind w:left="101" w:right="101"/>
              <w:jc w:val="center"/>
              <w:rPr>
                <w:rFonts w:eastAsia="Arial" w:cstheme="minorHAnsi"/>
                <w:color w:val="000000" w:themeColor="text1"/>
                <w:sz w:val="20"/>
                <w:szCs w:val="20"/>
              </w:rPr>
            </w:pPr>
            <w:r w:rsidRPr="007B464B">
              <w:rPr>
                <w:rFonts w:eastAsia="Arial" w:cstheme="minorHAnsi"/>
                <w:color w:val="000000" w:themeColor="text1"/>
                <w:sz w:val="20"/>
                <w:szCs w:val="20"/>
              </w:rPr>
              <w:t>12.54</w:t>
            </w:r>
            <w:r w:rsidRPr="007B464B">
              <w:rPr>
                <w:rFonts w:cstheme="minorHAnsi"/>
                <w:sz w:val="20"/>
                <w:szCs w:val="20"/>
              </w:rPr>
              <w:br/>
            </w:r>
            <w:r w:rsidRPr="007B464B">
              <w:rPr>
                <w:rFonts w:eastAsia="Arial" w:cstheme="minorHAnsi"/>
                <w:color w:val="000000" w:themeColor="text1"/>
                <w:sz w:val="20"/>
                <w:szCs w:val="20"/>
              </w:rPr>
              <w:t xml:space="preserve"> (4%)</w:t>
            </w:r>
          </w:p>
        </w:tc>
      </w:tr>
    </w:tbl>
    <w:p w14:paraId="7956A22C" w14:textId="77777777" w:rsidR="00AD6284" w:rsidRPr="00F425C1" w:rsidRDefault="00AD6284" w:rsidP="007B464B">
      <w:pPr>
        <w:spacing w:after="0" w:line="480" w:lineRule="auto"/>
        <w:jc w:val="center"/>
      </w:pPr>
      <w:r w:rsidRPr="00F425C1">
        <w:t>Parameter estimates are shown with their relative standard errors in parentheses.</w:t>
      </w:r>
    </w:p>
    <w:p w14:paraId="0B9864EE" w14:textId="77777777" w:rsidR="00F63125" w:rsidRDefault="00F63125"/>
    <w:sectPr w:rsidR="00F631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45394"/>
    <w:multiLevelType w:val="hybridMultilevel"/>
    <w:tmpl w:val="FFFFFFFF"/>
    <w:lvl w:ilvl="0" w:tplc="91781EC6">
      <w:start w:val="1"/>
      <w:numFmt w:val="bullet"/>
      <w:lvlText w:val=""/>
      <w:lvlJc w:val="left"/>
      <w:pPr>
        <w:ind w:left="720" w:hanging="360"/>
      </w:pPr>
      <w:rPr>
        <w:rFonts w:ascii="Symbol" w:hAnsi="Symbol" w:hint="default"/>
      </w:rPr>
    </w:lvl>
    <w:lvl w:ilvl="1" w:tplc="F954A2AE">
      <w:start w:val="1"/>
      <w:numFmt w:val="bullet"/>
      <w:lvlText w:val="o"/>
      <w:lvlJc w:val="left"/>
      <w:pPr>
        <w:ind w:left="1440" w:hanging="360"/>
      </w:pPr>
      <w:rPr>
        <w:rFonts w:ascii="Courier New" w:hAnsi="Courier New" w:hint="default"/>
      </w:rPr>
    </w:lvl>
    <w:lvl w:ilvl="2" w:tplc="68469BD8">
      <w:start w:val="1"/>
      <w:numFmt w:val="bullet"/>
      <w:lvlText w:val=""/>
      <w:lvlJc w:val="left"/>
      <w:pPr>
        <w:ind w:left="2160" w:hanging="360"/>
      </w:pPr>
      <w:rPr>
        <w:rFonts w:ascii="Wingdings" w:hAnsi="Wingdings" w:hint="default"/>
      </w:rPr>
    </w:lvl>
    <w:lvl w:ilvl="3" w:tplc="5894A010">
      <w:start w:val="1"/>
      <w:numFmt w:val="bullet"/>
      <w:lvlText w:val=""/>
      <w:lvlJc w:val="left"/>
      <w:pPr>
        <w:ind w:left="2880" w:hanging="360"/>
      </w:pPr>
      <w:rPr>
        <w:rFonts w:ascii="Symbol" w:hAnsi="Symbol" w:hint="default"/>
      </w:rPr>
    </w:lvl>
    <w:lvl w:ilvl="4" w:tplc="366A04C8">
      <w:start w:val="1"/>
      <w:numFmt w:val="bullet"/>
      <w:lvlText w:val="o"/>
      <w:lvlJc w:val="left"/>
      <w:pPr>
        <w:ind w:left="3600" w:hanging="360"/>
      </w:pPr>
      <w:rPr>
        <w:rFonts w:ascii="Courier New" w:hAnsi="Courier New" w:hint="default"/>
      </w:rPr>
    </w:lvl>
    <w:lvl w:ilvl="5" w:tplc="DC1EF852">
      <w:start w:val="1"/>
      <w:numFmt w:val="bullet"/>
      <w:lvlText w:val=""/>
      <w:lvlJc w:val="left"/>
      <w:pPr>
        <w:ind w:left="4320" w:hanging="360"/>
      </w:pPr>
      <w:rPr>
        <w:rFonts w:ascii="Wingdings" w:hAnsi="Wingdings" w:hint="default"/>
      </w:rPr>
    </w:lvl>
    <w:lvl w:ilvl="6" w:tplc="15C699C8">
      <w:start w:val="1"/>
      <w:numFmt w:val="bullet"/>
      <w:lvlText w:val=""/>
      <w:lvlJc w:val="left"/>
      <w:pPr>
        <w:ind w:left="5040" w:hanging="360"/>
      </w:pPr>
      <w:rPr>
        <w:rFonts w:ascii="Symbol" w:hAnsi="Symbol" w:hint="default"/>
      </w:rPr>
    </w:lvl>
    <w:lvl w:ilvl="7" w:tplc="F4C258EA">
      <w:start w:val="1"/>
      <w:numFmt w:val="bullet"/>
      <w:lvlText w:val="o"/>
      <w:lvlJc w:val="left"/>
      <w:pPr>
        <w:ind w:left="5760" w:hanging="360"/>
      </w:pPr>
      <w:rPr>
        <w:rFonts w:ascii="Courier New" w:hAnsi="Courier New" w:hint="default"/>
      </w:rPr>
    </w:lvl>
    <w:lvl w:ilvl="8" w:tplc="5A967ED2">
      <w:start w:val="1"/>
      <w:numFmt w:val="bullet"/>
      <w:lvlText w:val=""/>
      <w:lvlJc w:val="left"/>
      <w:pPr>
        <w:ind w:left="6480" w:hanging="360"/>
      </w:pPr>
      <w:rPr>
        <w:rFonts w:ascii="Wingdings" w:hAnsi="Wingdings" w:hint="default"/>
      </w:rPr>
    </w:lvl>
  </w:abstractNum>
  <w:num w:numId="1" w16cid:durableId="128157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84"/>
    <w:rsid w:val="000357CB"/>
    <w:rsid w:val="000B4B9D"/>
    <w:rsid w:val="000D3595"/>
    <w:rsid w:val="001008C2"/>
    <w:rsid w:val="00121325"/>
    <w:rsid w:val="00126382"/>
    <w:rsid w:val="00153250"/>
    <w:rsid w:val="00156556"/>
    <w:rsid w:val="00157350"/>
    <w:rsid w:val="00226996"/>
    <w:rsid w:val="00253DEA"/>
    <w:rsid w:val="002A1051"/>
    <w:rsid w:val="002B2816"/>
    <w:rsid w:val="002D02E7"/>
    <w:rsid w:val="00333FB2"/>
    <w:rsid w:val="003E046E"/>
    <w:rsid w:val="004B3ED6"/>
    <w:rsid w:val="004D27C3"/>
    <w:rsid w:val="00551953"/>
    <w:rsid w:val="005670B7"/>
    <w:rsid w:val="005B7E82"/>
    <w:rsid w:val="005E30C4"/>
    <w:rsid w:val="005F736B"/>
    <w:rsid w:val="0060583E"/>
    <w:rsid w:val="006306B1"/>
    <w:rsid w:val="006D6D54"/>
    <w:rsid w:val="0072617C"/>
    <w:rsid w:val="00762586"/>
    <w:rsid w:val="007743E5"/>
    <w:rsid w:val="0078469D"/>
    <w:rsid w:val="007B464B"/>
    <w:rsid w:val="00821779"/>
    <w:rsid w:val="00882EBA"/>
    <w:rsid w:val="0089785D"/>
    <w:rsid w:val="008B525B"/>
    <w:rsid w:val="009006E0"/>
    <w:rsid w:val="009060FC"/>
    <w:rsid w:val="00931DEC"/>
    <w:rsid w:val="00951D5E"/>
    <w:rsid w:val="00973D85"/>
    <w:rsid w:val="0099477E"/>
    <w:rsid w:val="00AD6284"/>
    <w:rsid w:val="00B57759"/>
    <w:rsid w:val="00B71A28"/>
    <w:rsid w:val="00B82DF4"/>
    <w:rsid w:val="00B83D04"/>
    <w:rsid w:val="00BB10A5"/>
    <w:rsid w:val="00CB5FA8"/>
    <w:rsid w:val="00CD0298"/>
    <w:rsid w:val="00CF0C4F"/>
    <w:rsid w:val="00D425C2"/>
    <w:rsid w:val="00D5079C"/>
    <w:rsid w:val="00D6725D"/>
    <w:rsid w:val="00DC53AF"/>
    <w:rsid w:val="00E27434"/>
    <w:rsid w:val="00E35608"/>
    <w:rsid w:val="00E43F4D"/>
    <w:rsid w:val="00E725BD"/>
    <w:rsid w:val="00E91DD5"/>
    <w:rsid w:val="00F63125"/>
    <w:rsid w:val="00FB52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5695"/>
  <w15:chartTrackingRefBased/>
  <w15:docId w15:val="{54566D22-1D3B-4D77-AD25-1D18DC28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D6284"/>
    <w:pPr>
      <w:keepNext/>
      <w:keepLines/>
      <w:spacing w:before="160" w:after="80"/>
      <w:jc w:val="both"/>
      <w:outlineLvl w:val="1"/>
    </w:pPr>
    <w:rPr>
      <w:rFonts w:ascii="Times New Roman" w:eastAsiaTheme="majorEastAsia" w:hAnsi="Times New Roman" w:cs="Times New Roman"/>
      <w:b/>
      <w:bCs/>
      <w:color w:val="2E74B5" w:themeColor="accent1" w:themeShade="BF"/>
      <w:kern w:val="2"/>
      <w:sz w:val="28"/>
      <w:szCs w:val="28"/>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6284"/>
    <w:rPr>
      <w:rFonts w:ascii="Times New Roman" w:eastAsiaTheme="majorEastAsia" w:hAnsi="Times New Roman" w:cs="Times New Roman"/>
      <w:b/>
      <w:bCs/>
      <w:color w:val="2E74B5" w:themeColor="accent1" w:themeShade="BF"/>
      <w:kern w:val="2"/>
      <w:sz w:val="28"/>
      <w:szCs w:val="28"/>
      <w:lang w:val="en-US"/>
      <w14:ligatures w14:val="standardContextual"/>
    </w:rPr>
  </w:style>
  <w:style w:type="paragraph" w:styleId="Caption">
    <w:name w:val="caption"/>
    <w:basedOn w:val="Normal"/>
    <w:next w:val="Normal"/>
    <w:uiPriority w:val="35"/>
    <w:unhideWhenUsed/>
    <w:qFormat/>
    <w:rsid w:val="00AD6284"/>
    <w:pPr>
      <w:keepNext/>
      <w:keepLines/>
      <w:shd w:val="clear" w:color="auto" w:fill="FFFFFF"/>
      <w:tabs>
        <w:tab w:val="left" w:pos="1170"/>
      </w:tabs>
      <w:spacing w:before="120" w:after="60" w:line="240" w:lineRule="auto"/>
      <w:ind w:left="1170" w:hanging="1170"/>
      <w:jc w:val="both"/>
      <w:textAlignment w:val="baseline"/>
    </w:pPr>
    <w:rPr>
      <w:rFonts w:ascii="Times New Roman" w:eastAsia="Times New Roman" w:hAnsi="Times New Roman" w:cs="Times New Roman"/>
      <w:b/>
      <w:bCs/>
      <w:color w:val="44546A" w:themeColor="text2"/>
      <w:sz w:val="20"/>
      <w:szCs w:val="20"/>
      <w:lang w:val="en-US"/>
    </w:rPr>
  </w:style>
  <w:style w:type="table" w:styleId="TableGrid">
    <w:name w:val="Table Grid"/>
    <w:basedOn w:val="TableNormal"/>
    <w:uiPriority w:val="39"/>
    <w:rsid w:val="00AD6284"/>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725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5BD"/>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725BD"/>
    <w:pPr>
      <w:ind w:left="720"/>
      <w:contextualSpacing/>
      <w:jc w:val="both"/>
    </w:pPr>
    <w:rPr>
      <w:rFonts w:ascii="Times New Roman" w:hAnsi="Times New Roman" w:cs="Times New Roman"/>
      <w:kern w:val="2"/>
      <w:sz w:val="20"/>
      <w:szCs w:val="20"/>
      <w:lang w:val="en-US"/>
      <w14:ligatures w14:val="standardContextual"/>
    </w:rPr>
  </w:style>
  <w:style w:type="character" w:styleId="Hyperlink">
    <w:name w:val="Hyperlink"/>
    <w:basedOn w:val="DefaultParagraphFont"/>
    <w:uiPriority w:val="99"/>
    <w:unhideWhenUsed/>
    <w:rsid w:val="00E725BD"/>
    <w:rPr>
      <w:color w:val="0563C1" w:themeColor="hyperlink"/>
      <w:u w:val="single"/>
    </w:rPr>
  </w:style>
  <w:style w:type="character" w:styleId="UnresolvedMention">
    <w:name w:val="Unresolved Mention"/>
    <w:basedOn w:val="DefaultParagraphFont"/>
    <w:uiPriority w:val="99"/>
    <w:semiHidden/>
    <w:unhideWhenUsed/>
    <w:rsid w:val="00E72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monolixsuite.slp-software.com/r-functions/?contextKey=package-conc-qt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Renugadevi G Govindasamy A</dc:creator>
  <cp:keywords/>
  <dc:description/>
  <cp:lastModifiedBy>Geraldine Celliere</cp:lastModifiedBy>
  <cp:revision>4</cp:revision>
  <dcterms:created xsi:type="dcterms:W3CDTF">2025-04-28T09:56:00Z</dcterms:created>
  <dcterms:modified xsi:type="dcterms:W3CDTF">2025-04-28T11:31:00Z</dcterms:modified>
</cp:coreProperties>
</file>