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C9552" w14:textId="77777777" w:rsidR="00B42C07" w:rsidRDefault="00B42C07" w:rsidP="00B42C07">
      <w:pPr>
        <w:spacing w:line="360" w:lineRule="auto"/>
        <w:jc w:val="both"/>
        <w:rPr>
          <w:iCs/>
          <w:lang w:val="en-US"/>
        </w:rPr>
      </w:pPr>
      <w:r>
        <w:rPr>
          <w:b/>
          <w:iCs/>
          <w:lang w:val="en-US"/>
        </w:rPr>
        <w:t xml:space="preserve">ESM2 </w:t>
      </w:r>
      <w:r>
        <w:rPr>
          <w:bCs/>
          <w:iCs/>
          <w:lang w:val="en-US"/>
        </w:rPr>
        <w:t>Principal coordinate analysis (</w:t>
      </w:r>
      <w:proofErr w:type="spellStart"/>
      <w:r>
        <w:rPr>
          <w:bCs/>
          <w:iCs/>
          <w:lang w:val="en-US"/>
        </w:rPr>
        <w:t>PCoA</w:t>
      </w:r>
      <w:proofErr w:type="spellEnd"/>
      <w:r>
        <w:rPr>
          <w:bCs/>
          <w:iCs/>
          <w:lang w:val="en-US"/>
        </w:rPr>
        <w:t xml:space="preserve">) based on Bray-Curtis distance matrix on the cyanobacteria abundance data from </w:t>
      </w:r>
      <w:r w:rsidRPr="00C062BA">
        <w:rPr>
          <w:b/>
          <w:iCs/>
          <w:lang w:val="en-US"/>
        </w:rPr>
        <w:t>(A)</w:t>
      </w:r>
      <w:r>
        <w:rPr>
          <w:bCs/>
          <w:iCs/>
          <w:lang w:val="en-US"/>
        </w:rPr>
        <w:t xml:space="preserve"> read direction 1 R1, and </w:t>
      </w:r>
      <w:r w:rsidRPr="00C062BA">
        <w:rPr>
          <w:b/>
          <w:iCs/>
          <w:lang w:val="en-US"/>
        </w:rPr>
        <w:t>(B)</w:t>
      </w:r>
      <w:r>
        <w:rPr>
          <w:bCs/>
          <w:iCs/>
          <w:lang w:val="en-US"/>
        </w:rPr>
        <w:t xml:space="preserve"> read direction 2 R2. The coordinates 1 and 2 together explain 56% and 54% of the observed variances in R1 and R2, respectively. The colors represent the sediment segments from which the OTUs originate; </w:t>
      </w:r>
      <w:r>
        <w:rPr>
          <w:iCs/>
          <w:lang w:val="en-US"/>
        </w:rPr>
        <w:t>recent-varved in green, subrecent-varved in blue and non-varved in red.</w:t>
      </w:r>
    </w:p>
    <w:p w14:paraId="0C69241D" w14:textId="77777777" w:rsidR="00B42C07" w:rsidRPr="00454976" w:rsidRDefault="00B42C07" w:rsidP="00B42C07">
      <w:pPr>
        <w:spacing w:line="360" w:lineRule="auto"/>
        <w:rPr>
          <w:b/>
          <w:bCs/>
          <w:lang w:val="en-US"/>
        </w:rPr>
      </w:pPr>
    </w:p>
    <w:p w14:paraId="389B1E4A" w14:textId="77777777" w:rsidR="00B42C07" w:rsidRDefault="00B42C07" w:rsidP="00B42C07">
      <w:pPr>
        <w:spacing w:line="360" w:lineRule="auto"/>
        <w:rPr>
          <w:lang w:val="en-US"/>
        </w:rPr>
      </w:pPr>
    </w:p>
    <w:p w14:paraId="31E5C7BD" w14:textId="77777777" w:rsidR="00B42C07" w:rsidRDefault="00B42C07" w:rsidP="00B42C07">
      <w:pPr>
        <w:spacing w:line="360" w:lineRule="auto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72C62BE" wp14:editId="5CD4FEFE">
            <wp:extent cx="5760720" cy="6334760"/>
            <wp:effectExtent l="0" t="0" r="0" b="8890"/>
            <wp:docPr id="11" name="Grafik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CBF88" w14:textId="77777777" w:rsidR="00CE50A1" w:rsidRDefault="00CE50A1"/>
    <w:sectPr w:rsidR="00CE50A1" w:rsidSect="004A35C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07"/>
    <w:rsid w:val="004A35C5"/>
    <w:rsid w:val="00B42C07"/>
    <w:rsid w:val="00CE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A101EC9"/>
  <w15:chartTrackingRefBased/>
  <w15:docId w15:val="{D8C6B259-5CDD-9841-A2CD-48B2D6CB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C07"/>
    <w:rPr>
      <w:rFonts w:ascii="Times New Roman" w:eastAsia="Times New Roman" w:hAnsi="Times New Roman" w:cs="Times New Roman"/>
      <w:lang w:val="de-D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Ebuka Nwosu</dc:creator>
  <cp:keywords/>
  <dc:description/>
  <cp:lastModifiedBy>Ebuka Nwosu</cp:lastModifiedBy>
  <cp:revision>1</cp:revision>
  <dcterms:created xsi:type="dcterms:W3CDTF">2021-06-26T22:10:00Z</dcterms:created>
  <dcterms:modified xsi:type="dcterms:W3CDTF">2021-06-26T22:10:00Z</dcterms:modified>
</cp:coreProperties>
</file>