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8B1613" w14:textId="718F07A9" w:rsidR="0093681B" w:rsidRPr="00D9600A" w:rsidRDefault="0093681B" w:rsidP="0093681B">
      <w:pPr>
        <w:pStyle w:val="Title"/>
        <w:rPr>
          <w:lang w:val="en-GB"/>
        </w:rPr>
      </w:pPr>
      <w:r w:rsidRPr="00D9600A">
        <w:rPr>
          <w:lang w:val="en-GB"/>
        </w:rPr>
        <w:t>Supplementary Information</w:t>
      </w:r>
    </w:p>
    <w:p w14:paraId="5C03052D" w14:textId="50FBFAD0" w:rsidR="00844A67" w:rsidRPr="00D9600A" w:rsidRDefault="00844A67" w:rsidP="00F63AD9">
      <w:pPr>
        <w:pStyle w:val="BodyText1"/>
        <w:jc w:val="both"/>
        <w:rPr>
          <w:lang w:val="en-GB"/>
        </w:rPr>
      </w:pPr>
      <w:r w:rsidRPr="00D9600A">
        <w:rPr>
          <w:lang w:val="en-GB"/>
        </w:rPr>
        <w:t xml:space="preserve">The present supplementary information </w:t>
      </w:r>
      <w:r w:rsidR="00206587" w:rsidRPr="00D9600A">
        <w:rPr>
          <w:lang w:val="en-GB"/>
        </w:rPr>
        <w:t xml:space="preserve">is </w:t>
      </w:r>
      <w:r w:rsidR="005678EA" w:rsidRPr="00D9600A">
        <w:rPr>
          <w:lang w:val="en-GB"/>
        </w:rPr>
        <w:t>assigned to the article: “Earthquakes and Seismic Hazard for Norway and Svalbard” by C. Lindholm, H. Bungum, F. Ghione, A. Meslem, C. Huang and V. Oye</w:t>
      </w:r>
      <w:r w:rsidR="001304BD" w:rsidRPr="00D9600A">
        <w:rPr>
          <w:lang w:val="en-GB"/>
        </w:rPr>
        <w:t xml:space="preserve">, hereafter called the </w:t>
      </w:r>
      <w:r w:rsidR="00683FFE" w:rsidRPr="00D9600A">
        <w:rPr>
          <w:lang w:val="en-GB"/>
        </w:rPr>
        <w:t xml:space="preserve">“main </w:t>
      </w:r>
      <w:r w:rsidR="001304BD" w:rsidRPr="00D9600A">
        <w:rPr>
          <w:lang w:val="en-GB"/>
        </w:rPr>
        <w:t>paper”.</w:t>
      </w:r>
    </w:p>
    <w:p w14:paraId="0208FC9F" w14:textId="77777777" w:rsidR="008C49CC" w:rsidRPr="00D9600A" w:rsidRDefault="008C49CC" w:rsidP="00F63AD9">
      <w:pPr>
        <w:pStyle w:val="BodyText2"/>
        <w:jc w:val="both"/>
        <w:rPr>
          <w:lang w:val="en-GB"/>
        </w:rPr>
      </w:pPr>
    </w:p>
    <w:p w14:paraId="6DA5E46D" w14:textId="5AFDE055" w:rsidR="006C0BF8" w:rsidRPr="00D9600A" w:rsidRDefault="00624E7C" w:rsidP="00F63AD9">
      <w:pPr>
        <w:pStyle w:val="BodyText1"/>
        <w:jc w:val="both"/>
        <w:rPr>
          <w:lang w:val="en-GB"/>
        </w:rPr>
      </w:pPr>
      <w:r w:rsidRPr="00D9600A">
        <w:rPr>
          <w:lang w:val="en-GB"/>
        </w:rPr>
        <w:t xml:space="preserve">The information herein highlights some aspects of the </w:t>
      </w:r>
      <w:r w:rsidR="001304BD" w:rsidRPr="00D9600A">
        <w:rPr>
          <w:lang w:val="en-GB"/>
        </w:rPr>
        <w:t xml:space="preserve">research that are </w:t>
      </w:r>
      <w:r w:rsidR="008C49CC" w:rsidRPr="00D9600A">
        <w:rPr>
          <w:lang w:val="en-GB"/>
        </w:rPr>
        <w:t xml:space="preserve">intended to supplement and corroborate the </w:t>
      </w:r>
      <w:r w:rsidR="00683FFE" w:rsidRPr="00D9600A">
        <w:rPr>
          <w:lang w:val="en-GB"/>
        </w:rPr>
        <w:t xml:space="preserve">main </w:t>
      </w:r>
      <w:r w:rsidR="008C49CC" w:rsidRPr="00D9600A">
        <w:rPr>
          <w:lang w:val="en-GB"/>
        </w:rPr>
        <w:t>paper</w:t>
      </w:r>
      <w:r w:rsidR="0000404B" w:rsidRPr="00D9600A">
        <w:rPr>
          <w:lang w:val="en-GB"/>
        </w:rPr>
        <w:t xml:space="preserve">. </w:t>
      </w:r>
      <w:r w:rsidR="00C131B4" w:rsidRPr="00D9600A">
        <w:rPr>
          <w:lang w:val="en-GB"/>
        </w:rPr>
        <w:t>The material</w:t>
      </w:r>
      <w:r w:rsidR="0000404B" w:rsidRPr="00D9600A">
        <w:rPr>
          <w:lang w:val="en-GB"/>
        </w:rPr>
        <w:t xml:space="preserve"> is organized under </w:t>
      </w:r>
      <w:r w:rsidR="008C49CC" w:rsidRPr="00D9600A">
        <w:rPr>
          <w:lang w:val="en-GB"/>
        </w:rPr>
        <w:t xml:space="preserve">(internally unrelated) section </w:t>
      </w:r>
      <w:r w:rsidR="0000404B" w:rsidRPr="00D9600A">
        <w:rPr>
          <w:lang w:val="en-GB"/>
        </w:rPr>
        <w:t>headings</w:t>
      </w:r>
      <w:r w:rsidR="00302F89" w:rsidRPr="00D9600A">
        <w:rPr>
          <w:lang w:val="en-GB"/>
        </w:rPr>
        <w:t xml:space="preserve">. </w:t>
      </w:r>
    </w:p>
    <w:p w14:paraId="302E2419" w14:textId="5EB7BD30" w:rsidR="004E21BD" w:rsidRPr="00D9600A" w:rsidRDefault="00EC6A97" w:rsidP="00F63AD9">
      <w:pPr>
        <w:pStyle w:val="Heading1"/>
        <w:jc w:val="both"/>
        <w:rPr>
          <w:lang w:val="en-GB"/>
        </w:rPr>
      </w:pPr>
      <w:r w:rsidRPr="00D9600A">
        <w:rPr>
          <w:lang w:val="en-GB"/>
        </w:rPr>
        <w:t>The catalogue</w:t>
      </w:r>
    </w:p>
    <w:p w14:paraId="274D04B0" w14:textId="4B8A4FDD" w:rsidR="00262336" w:rsidRPr="00D9600A" w:rsidRDefault="005128C4" w:rsidP="00F63AD9">
      <w:pPr>
        <w:pStyle w:val="BodyText2"/>
        <w:ind w:firstLine="0"/>
        <w:jc w:val="both"/>
        <w:rPr>
          <w:lang w:val="en-GB"/>
        </w:rPr>
      </w:pPr>
      <w:r w:rsidRPr="00D9600A">
        <w:rPr>
          <w:lang w:val="en-GB"/>
        </w:rPr>
        <w:t xml:space="preserve">The </w:t>
      </w:r>
      <w:r w:rsidR="00564E1E" w:rsidRPr="00D9600A">
        <w:rPr>
          <w:lang w:val="en-GB"/>
        </w:rPr>
        <w:t xml:space="preserve">catalogue developed by NORSAR and used in the present study is released for public use </w:t>
      </w:r>
      <w:r w:rsidR="00F97D98" w:rsidRPr="00D9600A">
        <w:rPr>
          <w:lang w:val="en-GB"/>
        </w:rPr>
        <w:t>as an Excel file</w:t>
      </w:r>
      <w:r w:rsidR="00145DA5" w:rsidRPr="00D9600A">
        <w:rPr>
          <w:lang w:val="en-GB"/>
        </w:rPr>
        <w:t xml:space="preserve">: </w:t>
      </w:r>
      <w:proofErr w:type="spellStart"/>
      <w:r w:rsidR="00262336" w:rsidRPr="00D9600A">
        <w:rPr>
          <w:i/>
          <w:lang w:val="en-GB"/>
        </w:rPr>
        <w:t>Catalogue_for_Public</w:t>
      </w:r>
      <w:proofErr w:type="spellEnd"/>
      <w:r w:rsidR="006A3736" w:rsidRPr="00D9600A">
        <w:rPr>
          <w:i/>
          <w:lang w:val="en-GB"/>
        </w:rPr>
        <w:t>.</w:t>
      </w:r>
    </w:p>
    <w:p w14:paraId="7799423D" w14:textId="605FA8B9" w:rsidR="00EC6A97" w:rsidRPr="00D9600A" w:rsidRDefault="006A3736" w:rsidP="00F63AD9">
      <w:pPr>
        <w:pStyle w:val="BodyText2"/>
        <w:jc w:val="both"/>
        <w:rPr>
          <w:lang w:val="en-GB"/>
        </w:rPr>
      </w:pPr>
      <w:r w:rsidRPr="00D9600A">
        <w:rPr>
          <w:lang w:val="en-GB"/>
        </w:rPr>
        <w:t xml:space="preserve">We focus in the catalogue release </w:t>
      </w:r>
      <w:r w:rsidR="001A6586" w:rsidRPr="00D9600A">
        <w:rPr>
          <w:lang w:val="en-GB"/>
        </w:rPr>
        <w:t xml:space="preserve">on earthquakes </w:t>
      </w:r>
      <w:r w:rsidR="00570471" w:rsidRPr="00D9600A">
        <w:rPr>
          <w:lang w:val="en-GB"/>
        </w:rPr>
        <w:t>with Mw≥</w:t>
      </w:r>
      <w:r w:rsidR="00FA3EEA" w:rsidRPr="00D9600A">
        <w:rPr>
          <w:lang w:val="en-GB"/>
        </w:rPr>
        <w:t>3</w:t>
      </w:r>
      <w:r w:rsidR="00570471" w:rsidRPr="00D9600A">
        <w:rPr>
          <w:lang w:val="en-GB"/>
        </w:rPr>
        <w:t>.0 within the geographical area defined in the main document and from 16</w:t>
      </w:r>
      <w:r w:rsidR="002D744D" w:rsidRPr="00D9600A">
        <w:rPr>
          <w:lang w:val="en-GB"/>
        </w:rPr>
        <w:t>57</w:t>
      </w:r>
      <w:r w:rsidR="00570471" w:rsidRPr="00D9600A">
        <w:rPr>
          <w:lang w:val="en-GB"/>
        </w:rPr>
        <w:t xml:space="preserve"> </w:t>
      </w:r>
      <w:r w:rsidR="002D744D" w:rsidRPr="00D9600A">
        <w:rPr>
          <w:lang w:val="en-GB"/>
        </w:rPr>
        <w:t>through</w:t>
      </w:r>
      <w:r w:rsidR="00570471" w:rsidRPr="00D9600A">
        <w:rPr>
          <w:lang w:val="en-GB"/>
        </w:rPr>
        <w:t xml:space="preserve"> 2018. </w:t>
      </w:r>
      <w:r w:rsidR="001A6586" w:rsidRPr="00D9600A">
        <w:rPr>
          <w:lang w:val="en-GB"/>
        </w:rPr>
        <w:t xml:space="preserve">This reflects that </w:t>
      </w:r>
      <w:r w:rsidR="009B211F" w:rsidRPr="00D9600A">
        <w:rPr>
          <w:lang w:val="en-GB"/>
        </w:rPr>
        <w:t xml:space="preserve">we have in our work focused on larger earthquakes. Lower magnitude events can be obtained from NNSN (Norwegian National Seismic Network operated by the University </w:t>
      </w:r>
      <w:r w:rsidR="006B10A4" w:rsidRPr="00D9600A">
        <w:rPr>
          <w:lang w:val="en-GB"/>
        </w:rPr>
        <w:t>o</w:t>
      </w:r>
      <w:r w:rsidR="009B211F" w:rsidRPr="00D9600A">
        <w:rPr>
          <w:lang w:val="en-GB"/>
        </w:rPr>
        <w:t>f Bergen).</w:t>
      </w:r>
      <w:r w:rsidR="00753AA8" w:rsidRPr="00D9600A">
        <w:rPr>
          <w:lang w:val="en-GB"/>
        </w:rPr>
        <w:t xml:space="preserve"> </w:t>
      </w:r>
      <w:r w:rsidR="006913F8" w:rsidRPr="00D9600A">
        <w:rPr>
          <w:lang w:val="en-GB"/>
        </w:rPr>
        <w:t xml:space="preserve"> </w:t>
      </w:r>
      <w:r w:rsidR="00570471" w:rsidRPr="00D9600A">
        <w:rPr>
          <w:lang w:val="en-GB"/>
        </w:rPr>
        <w:t xml:space="preserve">Each event is characterized with time of occurrence, </w:t>
      </w:r>
      <w:r w:rsidR="00DE371B" w:rsidRPr="00D9600A">
        <w:rPr>
          <w:lang w:val="en-GB"/>
        </w:rPr>
        <w:t>hypocentre</w:t>
      </w:r>
      <w:r w:rsidR="00570471" w:rsidRPr="00D9600A">
        <w:rPr>
          <w:lang w:val="en-GB"/>
        </w:rPr>
        <w:t xml:space="preserve"> reporting agency, latitude, longitude and depth (when available), moment magnitude and reference for the magnitude (</w:t>
      </w:r>
      <w:r w:rsidR="001C377D" w:rsidRPr="00D9600A">
        <w:rPr>
          <w:lang w:val="en-GB"/>
        </w:rPr>
        <w:t xml:space="preserve">only </w:t>
      </w:r>
      <w:r w:rsidR="00EC206B" w:rsidRPr="00D9600A">
        <w:rPr>
          <w:lang w:val="en-GB"/>
        </w:rPr>
        <w:t>for original Mw</w:t>
      </w:r>
      <w:r w:rsidR="001C377D" w:rsidRPr="00D9600A">
        <w:rPr>
          <w:lang w:val="en-GB"/>
        </w:rPr>
        <w:t xml:space="preserve"> values</w:t>
      </w:r>
      <w:r w:rsidR="00570471" w:rsidRPr="00D9600A">
        <w:rPr>
          <w:lang w:val="en-GB"/>
        </w:rPr>
        <w:t xml:space="preserve">). In case of more than one magnitude in the original reports the one with the presumably best quality magnitude was used for the conversion. The </w:t>
      </w:r>
      <w:r w:rsidR="006B10A4" w:rsidRPr="00D9600A">
        <w:rPr>
          <w:lang w:val="en-GB"/>
        </w:rPr>
        <w:t>a</w:t>
      </w:r>
      <w:r w:rsidR="00570471" w:rsidRPr="00D9600A">
        <w:rPr>
          <w:lang w:val="en-GB"/>
        </w:rPr>
        <w:t xml:space="preserve">gency abbreviations </w:t>
      </w:r>
      <w:r w:rsidR="00ED278C" w:rsidRPr="00D9600A">
        <w:rPr>
          <w:lang w:val="en-GB"/>
        </w:rPr>
        <w:t xml:space="preserve">in the main paper </w:t>
      </w:r>
      <w:r w:rsidR="00570471" w:rsidRPr="00D9600A">
        <w:rPr>
          <w:lang w:val="en-GB"/>
        </w:rPr>
        <w:t>indicate:</w:t>
      </w:r>
    </w:p>
    <w:p w14:paraId="15207266" w14:textId="77777777" w:rsidR="008847B1" w:rsidRPr="00D9600A" w:rsidRDefault="008847B1" w:rsidP="00F63AD9">
      <w:pPr>
        <w:pStyle w:val="BodyText2"/>
        <w:jc w:val="both"/>
        <w:rPr>
          <w:lang w:val="en-GB"/>
        </w:rPr>
      </w:pPr>
    </w:p>
    <w:tbl>
      <w:tblPr>
        <w:tblStyle w:val="TableGrid"/>
        <w:tblW w:w="0" w:type="auto"/>
        <w:tblLook w:val="04A0" w:firstRow="1" w:lastRow="0" w:firstColumn="1" w:lastColumn="0" w:noHBand="0" w:noVBand="1"/>
      </w:tblPr>
      <w:tblGrid>
        <w:gridCol w:w="2265"/>
        <w:gridCol w:w="2265"/>
        <w:gridCol w:w="2266"/>
        <w:gridCol w:w="2266"/>
      </w:tblGrid>
      <w:tr w:rsidR="00A329DA" w:rsidRPr="00D9600A" w14:paraId="3DFB1AB9" w14:textId="77777777" w:rsidTr="00CD6AA1">
        <w:tc>
          <w:tcPr>
            <w:tcW w:w="2265" w:type="dxa"/>
          </w:tcPr>
          <w:p w14:paraId="4041419A" w14:textId="77777777" w:rsidR="00A329DA" w:rsidRPr="00D9600A" w:rsidRDefault="00A329DA" w:rsidP="00CD6AA1">
            <w:pPr>
              <w:pStyle w:val="BodyText2"/>
              <w:ind w:firstLine="0"/>
              <w:rPr>
                <w:sz w:val="20"/>
                <w:szCs w:val="20"/>
                <w:lang w:val="en-GB"/>
              </w:rPr>
            </w:pPr>
            <w:r w:rsidRPr="00D9600A">
              <w:rPr>
                <w:sz w:val="20"/>
                <w:szCs w:val="20"/>
                <w:lang w:val="en-GB"/>
              </w:rPr>
              <w:t>BAT (1)</w:t>
            </w:r>
          </w:p>
        </w:tc>
        <w:tc>
          <w:tcPr>
            <w:tcW w:w="2265" w:type="dxa"/>
          </w:tcPr>
          <w:p w14:paraId="227E8551" w14:textId="77777777" w:rsidR="00A329DA" w:rsidRPr="00D9600A" w:rsidRDefault="00A329DA" w:rsidP="00CD6AA1">
            <w:pPr>
              <w:pStyle w:val="BodyText2"/>
              <w:ind w:firstLine="0"/>
              <w:rPr>
                <w:sz w:val="20"/>
                <w:szCs w:val="20"/>
                <w:lang w:val="en-GB"/>
              </w:rPr>
            </w:pPr>
            <w:r w:rsidRPr="00D9600A">
              <w:rPr>
                <w:sz w:val="20"/>
                <w:szCs w:val="20"/>
                <w:lang w:val="en-GB"/>
              </w:rPr>
              <w:t>AMB (2)</w:t>
            </w:r>
          </w:p>
        </w:tc>
        <w:tc>
          <w:tcPr>
            <w:tcW w:w="2266" w:type="dxa"/>
          </w:tcPr>
          <w:p w14:paraId="6ACD3C21" w14:textId="77777777" w:rsidR="00A329DA" w:rsidRPr="00D9600A" w:rsidRDefault="00A329DA" w:rsidP="00CD6AA1">
            <w:pPr>
              <w:pStyle w:val="BodyText2"/>
              <w:ind w:firstLine="0"/>
              <w:rPr>
                <w:sz w:val="20"/>
                <w:szCs w:val="20"/>
                <w:lang w:val="en-GB"/>
              </w:rPr>
            </w:pPr>
            <w:r w:rsidRPr="00D9600A">
              <w:rPr>
                <w:sz w:val="20"/>
                <w:szCs w:val="20"/>
                <w:lang w:val="en-GB"/>
              </w:rPr>
              <w:t>BER (3)</w:t>
            </w:r>
          </w:p>
        </w:tc>
        <w:tc>
          <w:tcPr>
            <w:tcW w:w="2266" w:type="dxa"/>
          </w:tcPr>
          <w:p w14:paraId="5E88B7AC" w14:textId="77777777" w:rsidR="00A329DA" w:rsidRPr="00D9600A" w:rsidRDefault="00A329DA" w:rsidP="00CD6AA1">
            <w:pPr>
              <w:pStyle w:val="BodyText2"/>
              <w:ind w:firstLine="0"/>
              <w:rPr>
                <w:sz w:val="20"/>
                <w:szCs w:val="20"/>
                <w:lang w:val="en-GB"/>
              </w:rPr>
            </w:pPr>
            <w:r w:rsidRPr="00D9600A">
              <w:rPr>
                <w:sz w:val="20"/>
                <w:szCs w:val="20"/>
                <w:lang w:val="en-GB"/>
              </w:rPr>
              <w:t xml:space="preserve">BKH (4) </w:t>
            </w:r>
          </w:p>
        </w:tc>
      </w:tr>
      <w:tr w:rsidR="00A329DA" w:rsidRPr="00D9600A" w14:paraId="091D1D99" w14:textId="77777777" w:rsidTr="00CD6AA1">
        <w:tc>
          <w:tcPr>
            <w:tcW w:w="2265" w:type="dxa"/>
          </w:tcPr>
          <w:p w14:paraId="653D11DB" w14:textId="77777777" w:rsidR="00A329DA" w:rsidRPr="00D9600A" w:rsidRDefault="00A329DA" w:rsidP="00CD6AA1">
            <w:pPr>
              <w:pStyle w:val="BodyText2"/>
              <w:ind w:firstLine="0"/>
              <w:rPr>
                <w:sz w:val="20"/>
                <w:szCs w:val="20"/>
                <w:lang w:val="en-GB"/>
              </w:rPr>
            </w:pPr>
            <w:r w:rsidRPr="00D9600A">
              <w:rPr>
                <w:sz w:val="20"/>
                <w:szCs w:val="20"/>
                <w:lang w:val="en-GB"/>
              </w:rPr>
              <w:t>FEN (5)</w:t>
            </w:r>
          </w:p>
        </w:tc>
        <w:tc>
          <w:tcPr>
            <w:tcW w:w="2265" w:type="dxa"/>
          </w:tcPr>
          <w:p w14:paraId="72E2F8EA" w14:textId="77777777" w:rsidR="00A329DA" w:rsidRPr="00D9600A" w:rsidRDefault="00A329DA" w:rsidP="00CD6AA1">
            <w:pPr>
              <w:pStyle w:val="BodyText2"/>
              <w:ind w:firstLine="0"/>
              <w:rPr>
                <w:sz w:val="20"/>
                <w:szCs w:val="20"/>
                <w:lang w:val="en-GB"/>
              </w:rPr>
            </w:pPr>
            <w:r w:rsidRPr="00D9600A">
              <w:rPr>
                <w:sz w:val="20"/>
                <w:szCs w:val="20"/>
                <w:lang w:val="en-GB"/>
              </w:rPr>
              <w:t>ISC (6)</w:t>
            </w:r>
          </w:p>
        </w:tc>
        <w:tc>
          <w:tcPr>
            <w:tcW w:w="2266" w:type="dxa"/>
          </w:tcPr>
          <w:p w14:paraId="08741A9A" w14:textId="77777777" w:rsidR="00A329DA" w:rsidRPr="00D9600A" w:rsidRDefault="00A329DA" w:rsidP="00CD6AA1">
            <w:pPr>
              <w:pStyle w:val="BodyText2"/>
              <w:ind w:firstLine="0"/>
              <w:rPr>
                <w:sz w:val="20"/>
                <w:szCs w:val="20"/>
                <w:lang w:val="en-GB"/>
              </w:rPr>
            </w:pPr>
            <w:r w:rsidRPr="00D9600A">
              <w:rPr>
                <w:sz w:val="20"/>
                <w:szCs w:val="20"/>
                <w:lang w:val="en-GB"/>
              </w:rPr>
              <w:t>KRK (7)</w:t>
            </w:r>
          </w:p>
        </w:tc>
        <w:tc>
          <w:tcPr>
            <w:tcW w:w="2266" w:type="dxa"/>
          </w:tcPr>
          <w:p w14:paraId="692D4781" w14:textId="77777777" w:rsidR="00A329DA" w:rsidRPr="00D9600A" w:rsidRDefault="00A329DA" w:rsidP="00CD6AA1">
            <w:pPr>
              <w:pStyle w:val="BodyText2"/>
              <w:ind w:firstLine="0"/>
              <w:rPr>
                <w:sz w:val="20"/>
                <w:szCs w:val="20"/>
                <w:lang w:val="en-GB"/>
              </w:rPr>
            </w:pPr>
            <w:r w:rsidRPr="00D9600A">
              <w:rPr>
                <w:sz w:val="20"/>
                <w:szCs w:val="20"/>
                <w:lang w:val="en-GB"/>
              </w:rPr>
              <w:t>NOR (8)</w:t>
            </w:r>
          </w:p>
        </w:tc>
      </w:tr>
      <w:tr w:rsidR="00A329DA" w:rsidRPr="00D9600A" w14:paraId="783E80D4" w14:textId="77777777" w:rsidTr="00CD6AA1">
        <w:tc>
          <w:tcPr>
            <w:tcW w:w="2265" w:type="dxa"/>
          </w:tcPr>
          <w:p w14:paraId="3D05221E" w14:textId="77777777" w:rsidR="00A329DA" w:rsidRPr="00D9600A" w:rsidRDefault="00A329DA" w:rsidP="00CD6AA1">
            <w:pPr>
              <w:pStyle w:val="BodyText2"/>
              <w:ind w:firstLine="0"/>
              <w:rPr>
                <w:sz w:val="20"/>
                <w:szCs w:val="20"/>
                <w:lang w:val="en-GB"/>
              </w:rPr>
            </w:pPr>
            <w:r w:rsidRPr="00D9600A">
              <w:rPr>
                <w:sz w:val="20"/>
                <w:szCs w:val="20"/>
                <w:lang w:val="en-GB"/>
              </w:rPr>
              <w:t>PDE (9)</w:t>
            </w:r>
          </w:p>
        </w:tc>
        <w:tc>
          <w:tcPr>
            <w:tcW w:w="2265" w:type="dxa"/>
          </w:tcPr>
          <w:p w14:paraId="08FAA0D5" w14:textId="77777777" w:rsidR="00A329DA" w:rsidRPr="00D9600A" w:rsidRDefault="00A329DA" w:rsidP="00CD6AA1">
            <w:pPr>
              <w:pStyle w:val="BodyText2"/>
              <w:ind w:firstLine="0"/>
              <w:rPr>
                <w:sz w:val="20"/>
                <w:szCs w:val="20"/>
                <w:lang w:val="en-GB"/>
              </w:rPr>
            </w:pPr>
            <w:r w:rsidRPr="00D9600A">
              <w:rPr>
                <w:sz w:val="20"/>
                <w:szCs w:val="20"/>
                <w:lang w:val="en-GB"/>
              </w:rPr>
              <w:t>PEN (10)</w:t>
            </w:r>
          </w:p>
        </w:tc>
        <w:tc>
          <w:tcPr>
            <w:tcW w:w="2266" w:type="dxa"/>
          </w:tcPr>
          <w:p w14:paraId="11F8CD3E" w14:textId="77777777" w:rsidR="00A329DA" w:rsidRPr="00D9600A" w:rsidRDefault="00A329DA" w:rsidP="00CD6AA1">
            <w:pPr>
              <w:pStyle w:val="BodyText2"/>
              <w:ind w:firstLine="0"/>
              <w:rPr>
                <w:sz w:val="20"/>
                <w:szCs w:val="20"/>
                <w:lang w:val="en-GB"/>
              </w:rPr>
            </w:pPr>
            <w:r w:rsidRPr="00D9600A">
              <w:rPr>
                <w:sz w:val="20"/>
                <w:szCs w:val="20"/>
                <w:lang w:val="en-GB"/>
              </w:rPr>
              <w:t>PML (11)</w:t>
            </w:r>
          </w:p>
        </w:tc>
        <w:tc>
          <w:tcPr>
            <w:tcW w:w="2266" w:type="dxa"/>
          </w:tcPr>
          <w:p w14:paraId="10E69067" w14:textId="77777777" w:rsidR="00A329DA" w:rsidRPr="00D9600A" w:rsidRDefault="00A329DA" w:rsidP="00CD6AA1">
            <w:pPr>
              <w:pStyle w:val="BodyText2"/>
              <w:ind w:firstLine="0"/>
              <w:rPr>
                <w:sz w:val="20"/>
                <w:szCs w:val="20"/>
                <w:lang w:val="en-GB"/>
              </w:rPr>
            </w:pPr>
            <w:r w:rsidRPr="00D9600A">
              <w:rPr>
                <w:sz w:val="20"/>
                <w:szCs w:val="20"/>
                <w:lang w:val="en-GB"/>
              </w:rPr>
              <w:t>SEL (12)</w:t>
            </w:r>
          </w:p>
        </w:tc>
      </w:tr>
    </w:tbl>
    <w:p w14:paraId="10E134D0" w14:textId="77777777" w:rsidR="00A329DA" w:rsidRPr="00D9600A" w:rsidRDefault="00A329DA" w:rsidP="00A329DA">
      <w:pPr>
        <w:rPr>
          <w:lang w:val="en-GB"/>
        </w:rPr>
      </w:pPr>
    </w:p>
    <w:p w14:paraId="2AB3C357" w14:textId="0F374E6B" w:rsidR="00A329DA" w:rsidRPr="00D9600A" w:rsidRDefault="00A329DA" w:rsidP="00A329DA">
      <w:pPr>
        <w:rPr>
          <w:rFonts w:ascii="Times New Roman" w:hAnsi="Times New Roman" w:cs="Times New Roman"/>
          <w:lang w:val="en-GB"/>
        </w:rPr>
      </w:pPr>
      <w:r w:rsidRPr="00D9600A">
        <w:rPr>
          <w:rFonts w:ascii="Times New Roman" w:hAnsi="Times New Roman" w:cs="Times New Roman"/>
          <w:lang w:val="en-GB"/>
        </w:rPr>
        <w:t>References</w:t>
      </w:r>
      <w:r w:rsidR="003A23D5" w:rsidRPr="00D9600A">
        <w:rPr>
          <w:rFonts w:ascii="Times New Roman" w:hAnsi="Times New Roman" w:cs="Times New Roman"/>
          <w:lang w:val="en-GB"/>
        </w:rPr>
        <w:t xml:space="preserve"> to the table</w:t>
      </w:r>
      <w:r w:rsidRPr="00D9600A">
        <w:rPr>
          <w:lang w:val="en-GB"/>
        </w:rPr>
        <w:t>:</w:t>
      </w:r>
    </w:p>
    <w:p w14:paraId="4D59A7C9" w14:textId="77777777" w:rsidR="00A329DA" w:rsidRPr="006F0927" w:rsidRDefault="00A329DA" w:rsidP="00A329DA">
      <w:pPr>
        <w:pStyle w:val="References2"/>
        <w:ind w:left="567" w:hanging="567"/>
      </w:pPr>
      <w:r w:rsidRPr="00D9600A">
        <w:rPr>
          <w:lang w:val="en-GB"/>
        </w:rPr>
        <w:t xml:space="preserve">(1) Båth, M. (1956). An earthquake catalogue for Fennoscandia for the years 1891-1950. </w:t>
      </w:r>
      <w:r w:rsidRPr="006F0927">
        <w:t xml:space="preserve">Sveriges Geol. Unders., Avhandlinger och Uppsatser, Ser. C, No. 545. </w:t>
      </w:r>
    </w:p>
    <w:p w14:paraId="0386B94B" w14:textId="77777777" w:rsidR="00A329DA" w:rsidRPr="006F0927" w:rsidRDefault="00A329DA" w:rsidP="00A329DA">
      <w:pPr>
        <w:pStyle w:val="References2"/>
        <w:ind w:left="567" w:hanging="567"/>
        <w:rPr>
          <w:lang w:val="de-DE"/>
        </w:rPr>
      </w:pPr>
      <w:r w:rsidRPr="006F0927">
        <w:t xml:space="preserve">      Båth, M. (1979). </w:t>
      </w:r>
      <w:r w:rsidRPr="006F0927">
        <w:rPr>
          <w:lang w:val="de-DE"/>
        </w:rPr>
        <w:t>Earthquakes in Sweden 1951 - 1976. Sveriges Geol. Unders., Serie C. Nr. 750.</w:t>
      </w:r>
    </w:p>
    <w:p w14:paraId="627F1B9B" w14:textId="77777777" w:rsidR="00A329DA" w:rsidRPr="00D9600A" w:rsidRDefault="00A329DA" w:rsidP="00A329DA">
      <w:pPr>
        <w:pStyle w:val="References2"/>
        <w:rPr>
          <w:lang w:val="en-GB"/>
        </w:rPr>
      </w:pPr>
      <w:r w:rsidRPr="00D9600A">
        <w:rPr>
          <w:lang w:val="en-GB"/>
        </w:rPr>
        <w:t>(2) Ambraseys, N.N. (1984): Magnitude assessment of northwestern European Earthquakes. Earthq. Eng. Struct. Dyn., 13, 307-320.</w:t>
      </w:r>
    </w:p>
    <w:p w14:paraId="4152ED57" w14:textId="77777777" w:rsidR="00A329DA" w:rsidRPr="00D9600A" w:rsidRDefault="00A329DA" w:rsidP="00A329DA">
      <w:pPr>
        <w:pStyle w:val="References2"/>
        <w:ind w:left="567" w:hanging="567"/>
        <w:rPr>
          <w:lang w:val="en-GB"/>
        </w:rPr>
      </w:pPr>
      <w:r w:rsidRPr="00D9600A">
        <w:rPr>
          <w:lang w:val="en-GB"/>
        </w:rPr>
        <w:t xml:space="preserve">      Ambraseys N.N. (1985). The seismicity of western Scandinavia. Earthq. Eng. Struct. Dyn., 13(3), 361–399, </w:t>
      </w:r>
      <w:proofErr w:type="spellStart"/>
      <w:r w:rsidRPr="00D9600A">
        <w:rPr>
          <w:lang w:val="en-GB"/>
        </w:rPr>
        <w:t>doi</w:t>
      </w:r>
      <w:proofErr w:type="spellEnd"/>
      <w:r w:rsidRPr="00D9600A">
        <w:rPr>
          <w:lang w:val="en-GB"/>
        </w:rPr>
        <w:t>: 10.1002/eqe.4290130309.</w:t>
      </w:r>
    </w:p>
    <w:p w14:paraId="2567E8E4" w14:textId="77777777" w:rsidR="00A329DA" w:rsidRPr="00D9600A" w:rsidRDefault="00A329DA" w:rsidP="00A329DA">
      <w:pPr>
        <w:pStyle w:val="References2"/>
        <w:rPr>
          <w:lang w:val="en-GB"/>
        </w:rPr>
      </w:pPr>
      <w:r w:rsidRPr="00D9600A">
        <w:rPr>
          <w:lang w:val="en-GB"/>
        </w:rPr>
        <w:t xml:space="preserve">(3) </w:t>
      </w:r>
      <w:r w:rsidR="00AA466F">
        <w:fldChar w:fldCharType="begin"/>
      </w:r>
      <w:r w:rsidR="00AA466F" w:rsidRPr="006F0927">
        <w:rPr>
          <w:lang w:val="en-GB"/>
        </w:rPr>
        <w:instrText>HYPERLINK "https://www.uib.no/en/rg/geophysics/136308/norwegian-national-seismic-network-nnsn"</w:instrText>
      </w:r>
      <w:r w:rsidR="00AA466F">
        <w:fldChar w:fldCharType="separate"/>
      </w:r>
      <w:r w:rsidRPr="00D9600A">
        <w:rPr>
          <w:rStyle w:val="Hyperlink"/>
          <w:lang w:val="en-GB"/>
        </w:rPr>
        <w:t>https://www.uib.no/en/rg/geophysics/136308/norwegian-national-seismic-network-nnsn</w:t>
      </w:r>
      <w:r w:rsidR="00AA466F">
        <w:rPr>
          <w:rStyle w:val="Hyperlink"/>
          <w:lang w:val="en-GB"/>
        </w:rPr>
        <w:fldChar w:fldCharType="end"/>
      </w:r>
    </w:p>
    <w:p w14:paraId="1E5E34D8" w14:textId="77777777" w:rsidR="00A329DA" w:rsidRPr="006F0927" w:rsidRDefault="00A329DA" w:rsidP="00A329DA">
      <w:pPr>
        <w:pStyle w:val="References2"/>
      </w:pPr>
      <w:r w:rsidRPr="006F0927">
        <w:t xml:space="preserve">(4) B. Hokland; </w:t>
      </w:r>
      <w:r w:rsidR="00AA466F">
        <w:fldChar w:fldCharType="begin"/>
      </w:r>
      <w:r w:rsidR="00AA466F">
        <w:instrText>HYPERLINK "https://www.norsar.no/"</w:instrText>
      </w:r>
      <w:r w:rsidR="00AA466F">
        <w:fldChar w:fldCharType="separate"/>
      </w:r>
      <w:r w:rsidRPr="006F0927">
        <w:rPr>
          <w:rStyle w:val="Hyperlink"/>
        </w:rPr>
        <w:t>https://www.norsar.no/</w:t>
      </w:r>
      <w:r w:rsidR="00AA466F">
        <w:rPr>
          <w:rStyle w:val="Hyperlink"/>
          <w:lang w:val="en-GB"/>
        </w:rPr>
        <w:fldChar w:fldCharType="end"/>
      </w:r>
    </w:p>
    <w:p w14:paraId="1F1DF6EC" w14:textId="77777777" w:rsidR="00A329DA" w:rsidRPr="006F0927" w:rsidRDefault="00A329DA" w:rsidP="00A329DA">
      <w:pPr>
        <w:pStyle w:val="References2"/>
      </w:pPr>
      <w:r w:rsidRPr="006F0927">
        <w:t xml:space="preserve">(5) </w:t>
      </w:r>
      <w:r w:rsidR="00AA466F">
        <w:fldChar w:fldCharType="begin"/>
      </w:r>
      <w:r w:rsidR="00AA466F">
        <w:instrText>HYPERLINK "https://www.helsinki.fi/en/institute-seismology/research/seismic-bulletins"</w:instrText>
      </w:r>
      <w:r w:rsidR="00AA466F">
        <w:fldChar w:fldCharType="separate"/>
      </w:r>
      <w:r w:rsidRPr="006F0927">
        <w:rPr>
          <w:rStyle w:val="Hyperlink"/>
        </w:rPr>
        <w:t>https://www.helsinki.fi/en/institute-seismology/research/seismic-bulletins</w:t>
      </w:r>
      <w:r w:rsidR="00AA466F">
        <w:rPr>
          <w:rStyle w:val="Hyperlink"/>
          <w:lang w:val="en-GB"/>
        </w:rPr>
        <w:fldChar w:fldCharType="end"/>
      </w:r>
    </w:p>
    <w:p w14:paraId="5B9674E7" w14:textId="77777777" w:rsidR="00A329DA" w:rsidRPr="00D9600A" w:rsidRDefault="00A329DA" w:rsidP="00A329DA">
      <w:pPr>
        <w:pStyle w:val="References2"/>
        <w:rPr>
          <w:lang w:val="en-GB"/>
        </w:rPr>
      </w:pPr>
      <w:r w:rsidRPr="00D9600A">
        <w:rPr>
          <w:lang w:val="en-GB"/>
        </w:rPr>
        <w:t xml:space="preserve">(6) Mainly from </w:t>
      </w:r>
      <w:r w:rsidR="00AA466F">
        <w:fldChar w:fldCharType="begin"/>
      </w:r>
      <w:r w:rsidR="00AA466F" w:rsidRPr="006F0927">
        <w:rPr>
          <w:lang w:val="en-GB"/>
        </w:rPr>
        <w:instrText>HYPERLINK "https://www.isc.ac.uk/iscbulletin/"</w:instrText>
      </w:r>
      <w:r w:rsidR="00AA466F">
        <w:fldChar w:fldCharType="separate"/>
      </w:r>
      <w:r w:rsidRPr="00D9600A">
        <w:rPr>
          <w:rStyle w:val="Hyperlink"/>
          <w:lang w:val="en-GB"/>
        </w:rPr>
        <w:t>https://www.isc.ac.uk/iscbulletin/</w:t>
      </w:r>
      <w:r w:rsidR="00AA466F">
        <w:rPr>
          <w:rStyle w:val="Hyperlink"/>
          <w:lang w:val="en-GB"/>
        </w:rPr>
        <w:fldChar w:fldCharType="end"/>
      </w:r>
      <w:r w:rsidRPr="00D9600A">
        <w:rPr>
          <w:lang w:val="en-GB"/>
        </w:rPr>
        <w:t xml:space="preserve">. More details can be found in: </w:t>
      </w:r>
    </w:p>
    <w:p w14:paraId="360FB276" w14:textId="77777777" w:rsidR="00A329DA" w:rsidRPr="00D9600A" w:rsidRDefault="00A329DA" w:rsidP="00A329DA">
      <w:pPr>
        <w:pStyle w:val="References2"/>
        <w:rPr>
          <w:lang w:val="en-GB"/>
        </w:rPr>
      </w:pPr>
      <w:r w:rsidRPr="00D9600A">
        <w:rPr>
          <w:lang w:val="en-GB"/>
        </w:rPr>
        <w:t xml:space="preserve">      Storchak, D.A. et al. (2013). Public Release of the ISC-GEM Global Instrumental Earthquake Catalogue (1900-2009). Seism. Res. Lett., 84, 5, 810-815, </w:t>
      </w:r>
      <w:proofErr w:type="spellStart"/>
      <w:r w:rsidRPr="00D9600A">
        <w:rPr>
          <w:lang w:val="en-GB"/>
        </w:rPr>
        <w:t>doi</w:t>
      </w:r>
      <w:proofErr w:type="spellEnd"/>
      <w:r w:rsidRPr="00D9600A">
        <w:rPr>
          <w:lang w:val="en-GB"/>
        </w:rPr>
        <w:t>: 10.1785/0220130034.</w:t>
      </w:r>
    </w:p>
    <w:p w14:paraId="133E2BF7" w14:textId="77777777" w:rsidR="00A329DA" w:rsidRPr="00D9600A" w:rsidRDefault="00A329DA" w:rsidP="00A329DA">
      <w:pPr>
        <w:pStyle w:val="References2"/>
        <w:ind w:left="567" w:hanging="567"/>
        <w:rPr>
          <w:lang w:val="en-GB"/>
        </w:rPr>
      </w:pPr>
      <w:r w:rsidRPr="00D9600A">
        <w:rPr>
          <w:lang w:val="en-GB"/>
        </w:rPr>
        <w:t xml:space="preserve">      Storchak, D.A. et al. (2017). Rebuild of the Bulletin of the International Seismological Centre (ISC), part 1: 1964–1979. </w:t>
      </w:r>
      <w:proofErr w:type="spellStart"/>
      <w:r w:rsidRPr="00D9600A">
        <w:rPr>
          <w:lang w:val="en-GB"/>
        </w:rPr>
        <w:t>Geosci</w:t>
      </w:r>
      <w:proofErr w:type="spellEnd"/>
      <w:r w:rsidRPr="00D9600A">
        <w:rPr>
          <w:lang w:val="en-GB"/>
        </w:rPr>
        <w:t xml:space="preserve">. Lett. (2017) 4: 32. </w:t>
      </w:r>
      <w:proofErr w:type="spellStart"/>
      <w:r w:rsidRPr="00D9600A">
        <w:rPr>
          <w:lang w:val="en-GB"/>
        </w:rPr>
        <w:t>doi</w:t>
      </w:r>
      <w:proofErr w:type="spellEnd"/>
      <w:r w:rsidRPr="00D9600A">
        <w:rPr>
          <w:lang w:val="en-GB"/>
        </w:rPr>
        <w:t>: 10.1186/s40562-017-0098-z.</w:t>
      </w:r>
    </w:p>
    <w:p w14:paraId="53296710" w14:textId="77777777" w:rsidR="00A329DA" w:rsidRPr="00D9600A" w:rsidRDefault="00A329DA" w:rsidP="00A329DA">
      <w:pPr>
        <w:pStyle w:val="References2"/>
        <w:rPr>
          <w:lang w:val="en-GB"/>
        </w:rPr>
      </w:pPr>
      <w:r w:rsidRPr="00D9600A">
        <w:rPr>
          <w:lang w:val="en-GB"/>
        </w:rPr>
        <w:t xml:space="preserve">(7) Karnik, V. (1969). Seismicity of the European area, Vol. I. D. Reidel Publ. Co., Dordrecht, 364 p. </w:t>
      </w:r>
    </w:p>
    <w:p w14:paraId="7663C3D3" w14:textId="77777777" w:rsidR="00A329DA" w:rsidRPr="00D9600A" w:rsidRDefault="00A329DA" w:rsidP="00A329DA">
      <w:pPr>
        <w:pStyle w:val="References2"/>
        <w:ind w:left="567" w:hanging="567"/>
        <w:rPr>
          <w:lang w:val="en-GB"/>
        </w:rPr>
      </w:pPr>
      <w:r w:rsidRPr="00D9600A">
        <w:rPr>
          <w:lang w:val="en-GB"/>
        </w:rPr>
        <w:t xml:space="preserve">      Karnik, V. (1971). Seismicity of the European area, Vol. II. D. Reidel Publ. Co., Dordrecht, 218 p.</w:t>
      </w:r>
    </w:p>
    <w:p w14:paraId="6C5C6EE2" w14:textId="77777777" w:rsidR="00A329DA" w:rsidRPr="00D9600A" w:rsidRDefault="00A329DA" w:rsidP="00A329DA">
      <w:pPr>
        <w:pStyle w:val="References2"/>
        <w:rPr>
          <w:lang w:val="en-GB"/>
        </w:rPr>
      </w:pPr>
      <w:r w:rsidRPr="00D9600A">
        <w:rPr>
          <w:lang w:val="en-GB"/>
        </w:rPr>
        <w:t xml:space="preserve">(8) </w:t>
      </w:r>
      <w:r w:rsidR="00AA466F">
        <w:fldChar w:fldCharType="begin"/>
      </w:r>
      <w:r w:rsidR="00AA466F" w:rsidRPr="006F0927">
        <w:rPr>
          <w:lang w:val="en-GB"/>
        </w:rPr>
        <w:instrText>HYPERLINK "https://www.norsar.no/"</w:instrText>
      </w:r>
      <w:r w:rsidR="00AA466F">
        <w:fldChar w:fldCharType="separate"/>
      </w:r>
      <w:r w:rsidRPr="00D9600A">
        <w:rPr>
          <w:rStyle w:val="Hyperlink"/>
          <w:lang w:val="en-GB"/>
        </w:rPr>
        <w:t>https://www.norsar.no/</w:t>
      </w:r>
      <w:r w:rsidR="00AA466F">
        <w:rPr>
          <w:rStyle w:val="Hyperlink"/>
          <w:lang w:val="en-GB"/>
        </w:rPr>
        <w:fldChar w:fldCharType="end"/>
      </w:r>
    </w:p>
    <w:p w14:paraId="3116D069" w14:textId="77777777" w:rsidR="00A329DA" w:rsidRPr="00D9600A" w:rsidRDefault="00A329DA" w:rsidP="00A329DA">
      <w:pPr>
        <w:pStyle w:val="References2"/>
        <w:rPr>
          <w:lang w:val="en-GB"/>
        </w:rPr>
      </w:pPr>
      <w:r w:rsidRPr="00D9600A">
        <w:rPr>
          <w:lang w:val="en-GB"/>
        </w:rPr>
        <w:lastRenderedPageBreak/>
        <w:t xml:space="preserve">(9) </w:t>
      </w:r>
      <w:r w:rsidR="00AA466F">
        <w:fldChar w:fldCharType="begin"/>
      </w:r>
      <w:r w:rsidR="00AA466F" w:rsidRPr="006F0927">
        <w:rPr>
          <w:lang w:val="en-GB"/>
        </w:rPr>
        <w:instrText>HYPERLINK "https://www.usgs.gov/programs/earthquake-hazards/earthquakes"</w:instrText>
      </w:r>
      <w:r w:rsidR="00AA466F">
        <w:fldChar w:fldCharType="separate"/>
      </w:r>
      <w:r w:rsidRPr="00D9600A">
        <w:rPr>
          <w:rStyle w:val="Hyperlink"/>
          <w:lang w:val="en-GB"/>
        </w:rPr>
        <w:t>https://www.usgs.gov/programs/earthquake-hazards/earthquakes</w:t>
      </w:r>
      <w:r w:rsidR="00AA466F">
        <w:rPr>
          <w:rStyle w:val="Hyperlink"/>
          <w:lang w:val="en-GB"/>
        </w:rPr>
        <w:fldChar w:fldCharType="end"/>
      </w:r>
    </w:p>
    <w:p w14:paraId="53460CCF" w14:textId="77777777" w:rsidR="00A329DA" w:rsidRPr="00D9600A" w:rsidRDefault="00A329DA" w:rsidP="00A329DA">
      <w:pPr>
        <w:pStyle w:val="References2"/>
        <w:rPr>
          <w:lang w:val="en-GB"/>
        </w:rPr>
      </w:pPr>
      <w:r w:rsidRPr="00D9600A">
        <w:rPr>
          <w:lang w:val="en-GB"/>
        </w:rPr>
        <w:t>(10) Penttilä E. (1978). Earthquakes in Finland 1610-1976, Inst. Seism., Univ. Helsinki, Rep. S-1.</w:t>
      </w:r>
    </w:p>
    <w:p w14:paraId="416631AC" w14:textId="77777777" w:rsidR="00A329DA" w:rsidRPr="006F0927" w:rsidRDefault="00A329DA" w:rsidP="00A329DA">
      <w:pPr>
        <w:pStyle w:val="References2"/>
      </w:pPr>
      <w:r w:rsidRPr="00D9600A">
        <w:rPr>
          <w:lang w:val="en-GB"/>
        </w:rPr>
        <w:t xml:space="preserve">(11) Muir Wood, R. and G. Woo (1987). The historical seismicity of the Norwegian Continental Shelf. Earthquake Loading on the Norwegian Continental Shelf (ELOCS) Report No 2-1, Norw. </w:t>
      </w:r>
      <w:r w:rsidRPr="006F0927">
        <w:t>Geotech. Inst., Oslo, Norway, 116 pp.</w:t>
      </w:r>
    </w:p>
    <w:p w14:paraId="0B1E4A55" w14:textId="411646BA" w:rsidR="00CA0AD2" w:rsidRPr="00D9600A" w:rsidRDefault="00A329DA" w:rsidP="008847B1">
      <w:pPr>
        <w:pStyle w:val="References2"/>
        <w:rPr>
          <w:lang w:val="en-GB"/>
        </w:rPr>
      </w:pPr>
      <w:r w:rsidRPr="006F0927">
        <w:t xml:space="preserve">(12) Sellevoll, M.A. et al. </w:t>
      </w:r>
      <w:r w:rsidRPr="00D9600A">
        <w:rPr>
          <w:lang w:val="en-GB"/>
        </w:rPr>
        <w:t>(1980). A catalogue of earthquakes felt in Norway from 1953 to 1975, with some homogeneous tests. Institute report. Seism. Obs., Univ. of Bergen, Norway.</w:t>
      </w:r>
    </w:p>
    <w:p w14:paraId="28A30A44" w14:textId="77777777" w:rsidR="00CA27EC" w:rsidRPr="00D9600A" w:rsidRDefault="00CA27EC" w:rsidP="00F63AD9">
      <w:pPr>
        <w:pStyle w:val="Heading1"/>
        <w:jc w:val="both"/>
        <w:rPr>
          <w:lang w:val="en-GB"/>
        </w:rPr>
      </w:pPr>
      <w:r w:rsidRPr="00D9600A">
        <w:rPr>
          <w:lang w:val="en-GB"/>
        </w:rPr>
        <w:t>Seismotectonic setting</w:t>
      </w:r>
    </w:p>
    <w:p w14:paraId="3CD1002F" w14:textId="60DC3DAA" w:rsidR="009742AD" w:rsidRPr="00D9600A" w:rsidRDefault="00BF0F22" w:rsidP="00F63AD9">
      <w:pPr>
        <w:pStyle w:val="BodyText2"/>
        <w:ind w:firstLine="0"/>
        <w:jc w:val="both"/>
        <w:rPr>
          <w:lang w:val="en-GB"/>
        </w:rPr>
      </w:pPr>
      <w:r w:rsidRPr="00D9600A">
        <w:rPr>
          <w:lang w:val="en-GB"/>
        </w:rPr>
        <w:t xml:space="preserve">A brief overview </w:t>
      </w:r>
      <w:r w:rsidR="00F47A62" w:rsidRPr="00D9600A">
        <w:rPr>
          <w:lang w:val="en-GB"/>
        </w:rPr>
        <w:t xml:space="preserve">of the regional seismotectonic setting is provided in the </w:t>
      </w:r>
      <w:r w:rsidR="001304BD" w:rsidRPr="00D9600A">
        <w:rPr>
          <w:lang w:val="en-GB"/>
        </w:rPr>
        <w:t>paper</w:t>
      </w:r>
      <w:r w:rsidR="00F47A62" w:rsidRPr="00D9600A">
        <w:rPr>
          <w:lang w:val="en-GB"/>
        </w:rPr>
        <w:t xml:space="preserve">. </w:t>
      </w:r>
      <w:r w:rsidR="00D37A3A" w:rsidRPr="00D9600A">
        <w:rPr>
          <w:lang w:val="en-GB"/>
        </w:rPr>
        <w:t xml:space="preserve">Here, we add some </w:t>
      </w:r>
      <w:r w:rsidR="0000482B" w:rsidRPr="00D9600A">
        <w:rPr>
          <w:lang w:val="en-GB"/>
        </w:rPr>
        <w:t xml:space="preserve">information that may be relevant </w:t>
      </w:r>
      <w:r w:rsidR="00933843" w:rsidRPr="00D9600A">
        <w:rPr>
          <w:lang w:val="en-GB"/>
        </w:rPr>
        <w:t xml:space="preserve">together with </w:t>
      </w:r>
      <w:r w:rsidR="00CE5513" w:rsidRPr="00D9600A">
        <w:rPr>
          <w:lang w:val="en-GB"/>
        </w:rPr>
        <w:t xml:space="preserve">several </w:t>
      </w:r>
      <w:r w:rsidR="002C653E" w:rsidRPr="00D9600A">
        <w:rPr>
          <w:lang w:val="en-GB"/>
        </w:rPr>
        <w:t>references</w:t>
      </w:r>
      <w:r w:rsidR="00A46259" w:rsidRPr="00D9600A">
        <w:rPr>
          <w:lang w:val="en-GB"/>
        </w:rPr>
        <w:t>.</w:t>
      </w:r>
      <w:r w:rsidR="000347E1" w:rsidRPr="00D9600A">
        <w:rPr>
          <w:lang w:val="en-GB"/>
        </w:rPr>
        <w:t xml:space="preserve"> </w:t>
      </w:r>
      <w:r w:rsidR="003805C2" w:rsidRPr="00D9600A">
        <w:rPr>
          <w:lang w:val="en-GB"/>
        </w:rPr>
        <w:t xml:space="preserve">The paper applies two area-zonations </w:t>
      </w:r>
      <w:r w:rsidR="00DB7D3E" w:rsidRPr="00D9600A">
        <w:rPr>
          <w:lang w:val="en-GB"/>
        </w:rPr>
        <w:t xml:space="preserve">in the hazard estimation. </w:t>
      </w:r>
      <w:r w:rsidR="00D20F4B" w:rsidRPr="00D9600A">
        <w:rPr>
          <w:lang w:val="en-GB"/>
        </w:rPr>
        <w:t xml:space="preserve">These have </w:t>
      </w:r>
      <w:r w:rsidR="00237E0D" w:rsidRPr="00D9600A">
        <w:rPr>
          <w:lang w:val="en-GB"/>
        </w:rPr>
        <w:t>of course significant</w:t>
      </w:r>
      <w:r w:rsidR="00D20F4B" w:rsidRPr="00D9600A">
        <w:rPr>
          <w:lang w:val="en-GB"/>
        </w:rPr>
        <w:t xml:space="preserve"> similarities, but zonation 2 is </w:t>
      </w:r>
      <w:r w:rsidR="00EB56AF" w:rsidRPr="00D9600A">
        <w:rPr>
          <w:lang w:val="en-GB"/>
        </w:rPr>
        <w:t>reflecting more on the structures and the tectonic setting described below</w:t>
      </w:r>
      <w:r w:rsidR="00237E0D" w:rsidRPr="00D9600A">
        <w:rPr>
          <w:lang w:val="en-GB"/>
        </w:rPr>
        <w:t xml:space="preserve"> while zonation 1 is based </w:t>
      </w:r>
      <w:r w:rsidR="001B478D" w:rsidRPr="00D9600A">
        <w:rPr>
          <w:lang w:val="en-GB"/>
        </w:rPr>
        <w:t xml:space="preserve">with </w:t>
      </w:r>
      <w:r w:rsidR="00237E0D" w:rsidRPr="00D9600A">
        <w:rPr>
          <w:lang w:val="en-GB"/>
        </w:rPr>
        <w:t xml:space="preserve">more </w:t>
      </w:r>
      <w:r w:rsidR="00B758F1" w:rsidRPr="00D9600A">
        <w:rPr>
          <w:lang w:val="en-GB"/>
        </w:rPr>
        <w:t xml:space="preserve">weight </w:t>
      </w:r>
      <w:r w:rsidR="00237E0D" w:rsidRPr="00D9600A">
        <w:rPr>
          <w:lang w:val="en-GB"/>
        </w:rPr>
        <w:t>on seismicity</w:t>
      </w:r>
      <w:r w:rsidR="00EB56AF" w:rsidRPr="00D9600A">
        <w:rPr>
          <w:lang w:val="en-GB"/>
        </w:rPr>
        <w:t xml:space="preserve">. </w:t>
      </w:r>
      <w:r w:rsidR="002C653E" w:rsidRPr="00D9600A">
        <w:rPr>
          <w:lang w:val="en-GB"/>
        </w:rPr>
        <w:t>The interes</w:t>
      </w:r>
      <w:r w:rsidR="009742AD" w:rsidRPr="00D9600A">
        <w:rPr>
          <w:lang w:val="en-GB"/>
        </w:rPr>
        <w:t xml:space="preserve">ted reader is advised to also </w:t>
      </w:r>
      <w:r w:rsidR="00FE21DA" w:rsidRPr="00D9600A">
        <w:rPr>
          <w:lang w:val="en-GB"/>
        </w:rPr>
        <w:t xml:space="preserve">confer with </w:t>
      </w:r>
      <w:r w:rsidR="006A226B" w:rsidRPr="00D9600A">
        <w:rPr>
          <w:lang w:val="en-GB"/>
        </w:rPr>
        <w:t>Fig. 1</w:t>
      </w:r>
      <w:r w:rsidR="00CA1003" w:rsidRPr="00D9600A">
        <w:rPr>
          <w:lang w:val="en-GB"/>
        </w:rPr>
        <w:t xml:space="preserve"> in the </w:t>
      </w:r>
      <w:r w:rsidR="00683FFE" w:rsidRPr="00D9600A">
        <w:rPr>
          <w:lang w:val="en-GB"/>
        </w:rPr>
        <w:t xml:space="preserve">main </w:t>
      </w:r>
      <w:r w:rsidR="00FE21DA" w:rsidRPr="00D9600A">
        <w:rPr>
          <w:lang w:val="en-GB"/>
        </w:rPr>
        <w:t>paper</w:t>
      </w:r>
      <w:r w:rsidR="009742AD" w:rsidRPr="00D9600A">
        <w:rPr>
          <w:lang w:val="en-GB"/>
        </w:rPr>
        <w:t>.</w:t>
      </w:r>
    </w:p>
    <w:p w14:paraId="1A75164D" w14:textId="47833AF0" w:rsidR="00CA5A38" w:rsidRPr="00D9600A" w:rsidRDefault="00CA5A38" w:rsidP="00F63AD9">
      <w:pPr>
        <w:pStyle w:val="Heading2"/>
        <w:jc w:val="both"/>
      </w:pPr>
      <w:r w:rsidRPr="00D9600A">
        <w:t>Structures</w:t>
      </w:r>
    </w:p>
    <w:p w14:paraId="0D52EECC" w14:textId="16F50594" w:rsidR="0047187E" w:rsidRPr="00D9600A" w:rsidRDefault="0047187E" w:rsidP="00F63AD9">
      <w:pPr>
        <w:pStyle w:val="BodyText2"/>
        <w:ind w:firstLine="0"/>
        <w:jc w:val="both"/>
        <w:rPr>
          <w:lang w:val="en-GB"/>
        </w:rPr>
      </w:pPr>
      <w:r w:rsidRPr="00D9600A">
        <w:rPr>
          <w:lang w:val="en-GB"/>
        </w:rPr>
        <w:t xml:space="preserve">The structural history and development of the Fennoscandian region reflects several stages of deformation. The Scandinavian Caledonides, which stretch through most of Norway and include adjacent parts of Sweden, are made up of late Proterozoic to Silurian metasedimentary and metavolcanic rocks, deposited in the Iapetus Ocean (the predecessor of the present-day Atlantic Ocean) c. 700 to 400 Ma ago. Together with slices of older basement, these rocks were thrust several hundred </w:t>
      </w:r>
      <w:r w:rsidR="00FE21DA" w:rsidRPr="00D9600A">
        <w:rPr>
          <w:lang w:val="en-GB"/>
        </w:rPr>
        <w:t>kilometres</w:t>
      </w:r>
      <w:r w:rsidRPr="00D9600A">
        <w:rPr>
          <w:lang w:val="en-GB"/>
        </w:rPr>
        <w:t xml:space="preserve"> eastwards over the edge of the Fennoscandian Shield in several large thrust sheets known as nappes, when North America and Greenland collided with Scandinavia during the Caledonian orogeny c. 400 Ma ago (</w:t>
      </w:r>
      <w:r w:rsidR="00943059" w:rsidRPr="00D9600A">
        <w:rPr>
          <w:lang w:val="en-GB"/>
        </w:rPr>
        <w:t>Ramberg et al</w:t>
      </w:r>
      <w:r w:rsidR="00D77CB4" w:rsidRPr="00D9600A">
        <w:rPr>
          <w:lang w:val="en-GB"/>
        </w:rPr>
        <w:t>. 20</w:t>
      </w:r>
      <w:r w:rsidR="000D0B0C" w:rsidRPr="00D9600A">
        <w:rPr>
          <w:lang w:val="en-GB"/>
        </w:rPr>
        <w:t>08</w:t>
      </w:r>
      <w:r w:rsidR="00745720" w:rsidRPr="00D9600A">
        <w:rPr>
          <w:lang w:val="en-GB"/>
        </w:rPr>
        <w:t>)</w:t>
      </w:r>
      <w:r w:rsidRPr="00D9600A">
        <w:rPr>
          <w:lang w:val="en-GB"/>
        </w:rPr>
        <w:t>.</w:t>
      </w:r>
      <w:r w:rsidR="007A1505" w:rsidRPr="00D9600A">
        <w:rPr>
          <w:lang w:val="en-GB"/>
        </w:rPr>
        <w:t xml:space="preserve"> It is important to bear in mind that </w:t>
      </w:r>
      <w:r w:rsidR="00053D2A" w:rsidRPr="00D9600A">
        <w:rPr>
          <w:lang w:val="en-GB"/>
        </w:rPr>
        <w:t xml:space="preserve">some of </w:t>
      </w:r>
      <w:r w:rsidR="007A1505" w:rsidRPr="00D9600A">
        <w:rPr>
          <w:lang w:val="en-GB"/>
        </w:rPr>
        <w:t xml:space="preserve">these </w:t>
      </w:r>
      <w:r w:rsidR="00CC7A95" w:rsidRPr="00D9600A">
        <w:rPr>
          <w:lang w:val="en-GB"/>
        </w:rPr>
        <w:t xml:space="preserve">orogenic structures remain visible on the surface also today, and </w:t>
      </w:r>
      <w:r w:rsidR="00890023" w:rsidRPr="00D9600A">
        <w:rPr>
          <w:lang w:val="en-GB"/>
        </w:rPr>
        <w:t>have</w:t>
      </w:r>
      <w:r w:rsidR="007944BD" w:rsidRPr="00D9600A">
        <w:rPr>
          <w:lang w:val="en-GB"/>
        </w:rPr>
        <w:t xml:space="preserve"> bearing on present</w:t>
      </w:r>
      <w:r w:rsidR="00167BF7" w:rsidRPr="00D9600A">
        <w:rPr>
          <w:lang w:val="en-GB"/>
        </w:rPr>
        <w:t>-</w:t>
      </w:r>
      <w:r w:rsidR="007944BD" w:rsidRPr="00D9600A">
        <w:rPr>
          <w:lang w:val="en-GB"/>
        </w:rPr>
        <w:t>day seismicity.</w:t>
      </w:r>
    </w:p>
    <w:p w14:paraId="496833B2" w14:textId="689E426C" w:rsidR="008D27CF" w:rsidRPr="00D9600A" w:rsidRDefault="008D27CF" w:rsidP="00F63AD9">
      <w:pPr>
        <w:pStyle w:val="BodyText2"/>
        <w:jc w:val="both"/>
        <w:rPr>
          <w:lang w:val="en-GB"/>
        </w:rPr>
      </w:pPr>
      <w:r w:rsidRPr="00D9600A">
        <w:rPr>
          <w:lang w:val="en-GB"/>
        </w:rPr>
        <w:t xml:space="preserve">While the offshore structures have been mapped in detail due to hydrocarbon exploration, the onshore structures that are </w:t>
      </w:r>
      <w:r w:rsidR="00CD7AA1" w:rsidRPr="00D9600A">
        <w:rPr>
          <w:lang w:val="en-GB"/>
        </w:rPr>
        <w:t>more important</w:t>
      </w:r>
      <w:r w:rsidRPr="00D9600A">
        <w:rPr>
          <w:lang w:val="en-GB"/>
        </w:rPr>
        <w:t xml:space="preserve"> in the present study belong to </w:t>
      </w:r>
      <w:r w:rsidR="00C67B33" w:rsidRPr="00D9600A">
        <w:rPr>
          <w:lang w:val="en-GB"/>
        </w:rPr>
        <w:t>the</w:t>
      </w:r>
      <w:r w:rsidRPr="00D9600A">
        <w:rPr>
          <w:lang w:val="en-GB"/>
        </w:rPr>
        <w:t xml:space="preserve"> geological mapping </w:t>
      </w:r>
      <w:r w:rsidR="00C67B33" w:rsidRPr="00D9600A">
        <w:rPr>
          <w:lang w:val="en-GB"/>
        </w:rPr>
        <w:t>that started</w:t>
      </w:r>
      <w:r w:rsidRPr="00D9600A">
        <w:rPr>
          <w:lang w:val="en-GB"/>
        </w:rPr>
        <w:t xml:space="preserve"> in the early 19</w:t>
      </w:r>
      <w:r w:rsidRPr="00D9600A">
        <w:rPr>
          <w:vertAlign w:val="superscript"/>
          <w:lang w:val="en-GB"/>
        </w:rPr>
        <w:t>th</w:t>
      </w:r>
      <w:r w:rsidRPr="00D9600A">
        <w:rPr>
          <w:lang w:val="en-GB"/>
        </w:rPr>
        <w:t xml:space="preserve"> century. For an overview of the geological development and the regional seismotectonics the interested reader is directed to Ramberg et al. (20</w:t>
      </w:r>
      <w:r w:rsidR="00822A93" w:rsidRPr="00D9600A">
        <w:rPr>
          <w:lang w:val="en-GB"/>
        </w:rPr>
        <w:t>08</w:t>
      </w:r>
      <w:r w:rsidRPr="00D9600A">
        <w:rPr>
          <w:lang w:val="en-GB"/>
        </w:rPr>
        <w:t xml:space="preserve">), </w:t>
      </w:r>
      <w:proofErr w:type="spellStart"/>
      <w:r w:rsidRPr="00D9600A">
        <w:rPr>
          <w:lang w:val="en-GB"/>
        </w:rPr>
        <w:t>Ksienzyk</w:t>
      </w:r>
      <w:proofErr w:type="spellEnd"/>
      <w:r w:rsidRPr="00D9600A">
        <w:rPr>
          <w:lang w:val="en-GB"/>
        </w:rPr>
        <w:t xml:space="preserve"> et al. (2014)</w:t>
      </w:r>
      <w:r w:rsidR="00C80632" w:rsidRPr="00D9600A">
        <w:rPr>
          <w:lang w:val="en-GB"/>
        </w:rPr>
        <w:t xml:space="preserve"> and</w:t>
      </w:r>
      <w:r w:rsidRPr="00D9600A">
        <w:rPr>
          <w:lang w:val="en-GB"/>
        </w:rPr>
        <w:t xml:space="preserve"> Gregersen et al. (2021)</w:t>
      </w:r>
      <w:r w:rsidR="00C80632" w:rsidRPr="00D9600A">
        <w:rPr>
          <w:lang w:val="en-GB"/>
        </w:rPr>
        <w:t>,</w:t>
      </w:r>
      <w:r w:rsidRPr="00D9600A">
        <w:rPr>
          <w:lang w:val="en-GB"/>
        </w:rPr>
        <w:t xml:space="preserve"> and </w:t>
      </w:r>
      <w:r w:rsidR="00C80632" w:rsidRPr="00D9600A">
        <w:rPr>
          <w:lang w:val="en-GB"/>
        </w:rPr>
        <w:t xml:space="preserve">to </w:t>
      </w:r>
      <w:r w:rsidRPr="00D9600A">
        <w:rPr>
          <w:lang w:val="en-GB"/>
        </w:rPr>
        <w:t xml:space="preserve">the references therein. </w:t>
      </w:r>
    </w:p>
    <w:p w14:paraId="7C1FE07D" w14:textId="112007CA" w:rsidR="003C1A49" w:rsidRPr="00D9600A" w:rsidRDefault="003C1A49" w:rsidP="00F63AD9">
      <w:pPr>
        <w:pStyle w:val="BodyText2"/>
        <w:jc w:val="both"/>
        <w:rPr>
          <w:lang w:val="en-GB"/>
        </w:rPr>
      </w:pPr>
      <w:r w:rsidRPr="00D9600A">
        <w:rPr>
          <w:lang w:val="en-GB"/>
        </w:rPr>
        <w:t xml:space="preserve">One of the first major seismotectonic studies for onshore and offshore Norway was by Bungum et al. (1991) who summarized available seismicity and focal mechanism data at that time, concluding that the ‘ridge push’ force is a major source of stress, consistent with a NW- SE </w:t>
      </w:r>
      <w:r w:rsidR="00C67B33" w:rsidRPr="00D9600A">
        <w:rPr>
          <w:lang w:val="en-GB"/>
        </w:rPr>
        <w:t>compression</w:t>
      </w:r>
      <w:r w:rsidRPr="00D9600A">
        <w:rPr>
          <w:lang w:val="en-GB"/>
        </w:rPr>
        <w:t xml:space="preserve"> and dominantly reverse faulting along the continental margin. This was followed up later with several papers, including </w:t>
      </w:r>
      <w:r w:rsidR="00F143C1" w:rsidRPr="00D9600A">
        <w:rPr>
          <w:lang w:val="en-GB"/>
        </w:rPr>
        <w:t xml:space="preserve">Fejerskov and Lindholm (2000) and </w:t>
      </w:r>
      <w:r w:rsidRPr="00D9600A">
        <w:rPr>
          <w:lang w:val="en-GB"/>
        </w:rPr>
        <w:t xml:space="preserve">Hicks et al. (2000). Another important contribution here was </w:t>
      </w:r>
      <w:r w:rsidR="00C6364D" w:rsidRPr="00D9600A">
        <w:rPr>
          <w:lang w:val="en-GB"/>
        </w:rPr>
        <w:t xml:space="preserve">also </w:t>
      </w:r>
      <w:r w:rsidRPr="00D9600A">
        <w:rPr>
          <w:lang w:val="en-GB"/>
        </w:rPr>
        <w:t>Byrkjeland et al. (2000), focusing on the seismotectonics of northern Norway and its offshore areas.</w:t>
      </w:r>
    </w:p>
    <w:p w14:paraId="5DB8059C" w14:textId="68126A86" w:rsidR="00DE5E2B" w:rsidRPr="00D9600A" w:rsidRDefault="00311D85" w:rsidP="00F63AD9">
      <w:pPr>
        <w:pStyle w:val="BodyText2"/>
        <w:jc w:val="both"/>
        <w:rPr>
          <w:lang w:val="en-GB"/>
        </w:rPr>
      </w:pPr>
      <w:r w:rsidRPr="00D9600A">
        <w:rPr>
          <w:lang w:val="en-GB"/>
        </w:rPr>
        <w:t>I</w:t>
      </w:r>
      <w:r w:rsidR="008238F3" w:rsidRPr="00D9600A">
        <w:rPr>
          <w:lang w:val="en-GB"/>
        </w:rPr>
        <w:t xml:space="preserve">mportant </w:t>
      </w:r>
      <w:r w:rsidR="00744D7C" w:rsidRPr="00D9600A">
        <w:rPr>
          <w:lang w:val="en-GB"/>
        </w:rPr>
        <w:t xml:space="preserve">local and regional investigations </w:t>
      </w:r>
      <w:r w:rsidR="00BA1441" w:rsidRPr="00D9600A">
        <w:rPr>
          <w:lang w:val="en-GB"/>
        </w:rPr>
        <w:t>in south</w:t>
      </w:r>
      <w:r w:rsidR="0051178F" w:rsidRPr="00D9600A">
        <w:rPr>
          <w:lang w:val="en-GB"/>
        </w:rPr>
        <w:t>ern</w:t>
      </w:r>
      <w:r w:rsidR="00233B97" w:rsidRPr="00D9600A">
        <w:rPr>
          <w:lang w:val="en-GB"/>
        </w:rPr>
        <w:t xml:space="preserve"> Norway </w:t>
      </w:r>
      <w:r w:rsidR="00744D7C" w:rsidRPr="00D9600A">
        <w:rPr>
          <w:lang w:val="en-GB"/>
        </w:rPr>
        <w:t xml:space="preserve">were conducted and reported by </w:t>
      </w:r>
      <w:r w:rsidR="00321551" w:rsidRPr="00D9600A">
        <w:rPr>
          <w:lang w:val="en-GB"/>
        </w:rPr>
        <w:t xml:space="preserve">Fossen and </w:t>
      </w:r>
      <w:proofErr w:type="spellStart"/>
      <w:r w:rsidR="00321551" w:rsidRPr="00D9600A">
        <w:rPr>
          <w:lang w:val="en-GB"/>
        </w:rPr>
        <w:t>Hurich</w:t>
      </w:r>
      <w:proofErr w:type="spellEnd"/>
      <w:r w:rsidR="00E90E4C" w:rsidRPr="00D9600A">
        <w:rPr>
          <w:lang w:val="en-GB"/>
        </w:rPr>
        <w:t xml:space="preserve"> </w:t>
      </w:r>
      <w:r w:rsidR="00321551" w:rsidRPr="00D9600A">
        <w:rPr>
          <w:lang w:val="en-GB"/>
        </w:rPr>
        <w:t>(2005)</w:t>
      </w:r>
      <w:r w:rsidR="00233B97" w:rsidRPr="00D9600A">
        <w:rPr>
          <w:lang w:val="en-GB"/>
        </w:rPr>
        <w:t xml:space="preserve"> and </w:t>
      </w:r>
      <w:r w:rsidR="00321551" w:rsidRPr="00D9600A">
        <w:rPr>
          <w:lang w:val="en-GB"/>
        </w:rPr>
        <w:t>Gabrielsen et al. (</w:t>
      </w:r>
      <w:r w:rsidR="00245E02" w:rsidRPr="00D9600A">
        <w:rPr>
          <w:lang w:val="en-GB"/>
        </w:rPr>
        <w:t>2002</w:t>
      </w:r>
      <w:r w:rsidR="00E90E4C" w:rsidRPr="00D9600A">
        <w:rPr>
          <w:lang w:val="en-GB"/>
        </w:rPr>
        <w:t xml:space="preserve">, </w:t>
      </w:r>
      <w:r w:rsidR="00321551" w:rsidRPr="00D9600A">
        <w:rPr>
          <w:lang w:val="en-GB"/>
        </w:rPr>
        <w:t>2019)</w:t>
      </w:r>
      <w:r w:rsidR="00A4768F" w:rsidRPr="00D9600A">
        <w:rPr>
          <w:lang w:val="en-GB"/>
        </w:rPr>
        <w:t xml:space="preserve">. </w:t>
      </w:r>
      <w:r w:rsidR="00CF73C2" w:rsidRPr="00D9600A">
        <w:rPr>
          <w:lang w:val="en-GB"/>
        </w:rPr>
        <w:t xml:space="preserve">Fossen and </w:t>
      </w:r>
      <w:proofErr w:type="spellStart"/>
      <w:r w:rsidR="00CF73C2" w:rsidRPr="00D9600A">
        <w:rPr>
          <w:lang w:val="en-GB"/>
        </w:rPr>
        <w:t>Hurich</w:t>
      </w:r>
      <w:proofErr w:type="spellEnd"/>
      <w:r w:rsidR="00CF73C2" w:rsidRPr="00D9600A">
        <w:rPr>
          <w:lang w:val="en-GB"/>
        </w:rPr>
        <w:t xml:space="preserve"> (2005) documented </w:t>
      </w:r>
      <w:r w:rsidR="009130CF" w:rsidRPr="00D9600A">
        <w:rPr>
          <w:lang w:val="en-GB"/>
        </w:rPr>
        <w:t xml:space="preserve">the </w:t>
      </w:r>
      <w:r w:rsidR="00A452F1" w:rsidRPr="00D9600A">
        <w:rPr>
          <w:lang w:val="en-GB"/>
        </w:rPr>
        <w:t xml:space="preserve">old </w:t>
      </w:r>
      <w:r w:rsidR="009130CF" w:rsidRPr="00D9600A">
        <w:rPr>
          <w:lang w:val="en-GB"/>
        </w:rPr>
        <w:t xml:space="preserve">deep-seated </w:t>
      </w:r>
      <w:r w:rsidR="00D456BD" w:rsidRPr="00D9600A">
        <w:rPr>
          <w:lang w:val="en-GB"/>
        </w:rPr>
        <w:t xml:space="preserve">Hardanger shear zone that seems to be </w:t>
      </w:r>
      <w:r w:rsidR="00AE0AFE" w:rsidRPr="00D9600A">
        <w:rPr>
          <w:lang w:val="en-GB"/>
        </w:rPr>
        <w:t>important for the regional seismicity.</w:t>
      </w:r>
      <w:r w:rsidR="00C340C0" w:rsidRPr="00D9600A">
        <w:rPr>
          <w:lang w:val="en-GB"/>
        </w:rPr>
        <w:t xml:space="preserve"> </w:t>
      </w:r>
      <w:r w:rsidR="00977E36" w:rsidRPr="00D9600A">
        <w:rPr>
          <w:lang w:val="en-GB"/>
        </w:rPr>
        <w:t xml:space="preserve">Gabrielsen et al. (2019) mapped the </w:t>
      </w:r>
      <w:r w:rsidR="00682F02" w:rsidRPr="00D9600A">
        <w:rPr>
          <w:lang w:val="en-GB"/>
        </w:rPr>
        <w:t>D</w:t>
      </w:r>
      <w:r w:rsidR="00C340C0" w:rsidRPr="00D9600A">
        <w:rPr>
          <w:lang w:val="en-GB"/>
        </w:rPr>
        <w:t xml:space="preserve">rangedal </w:t>
      </w:r>
      <w:r w:rsidR="005C471C" w:rsidRPr="00D9600A">
        <w:rPr>
          <w:lang w:val="en-GB"/>
        </w:rPr>
        <w:t xml:space="preserve">Fault Complex more </w:t>
      </w:r>
      <w:r w:rsidR="0015459F" w:rsidRPr="00D9600A">
        <w:rPr>
          <w:lang w:val="en-GB"/>
        </w:rPr>
        <w:t>recently</w:t>
      </w:r>
      <w:r w:rsidR="00682F02" w:rsidRPr="00D9600A">
        <w:rPr>
          <w:lang w:val="en-GB"/>
        </w:rPr>
        <w:t>,</w:t>
      </w:r>
      <w:r w:rsidR="0015459F" w:rsidRPr="00D9600A">
        <w:rPr>
          <w:lang w:val="en-GB"/>
        </w:rPr>
        <w:t xml:space="preserve"> </w:t>
      </w:r>
      <w:r w:rsidR="001D41BA" w:rsidRPr="00D9600A">
        <w:rPr>
          <w:lang w:val="en-GB"/>
        </w:rPr>
        <w:t xml:space="preserve">and demonstrated a deep suture in the continental crust that runs </w:t>
      </w:r>
      <w:r w:rsidR="00A35987" w:rsidRPr="00D9600A">
        <w:rPr>
          <w:lang w:val="en-GB"/>
        </w:rPr>
        <w:t>SW-NE</w:t>
      </w:r>
      <w:r w:rsidR="00C47AFB" w:rsidRPr="00D9600A">
        <w:rPr>
          <w:lang w:val="en-GB"/>
        </w:rPr>
        <w:t xml:space="preserve">. </w:t>
      </w:r>
      <w:r w:rsidR="00CD07DA" w:rsidRPr="00D9600A">
        <w:rPr>
          <w:lang w:val="en-GB"/>
        </w:rPr>
        <w:t xml:space="preserve">These two examples show that </w:t>
      </w:r>
      <w:r w:rsidR="00697E44" w:rsidRPr="00D9600A">
        <w:rPr>
          <w:lang w:val="en-GB"/>
        </w:rPr>
        <w:t xml:space="preserve">the </w:t>
      </w:r>
      <w:r w:rsidR="00CD07DA" w:rsidRPr="00D9600A">
        <w:rPr>
          <w:lang w:val="en-GB"/>
        </w:rPr>
        <w:t xml:space="preserve">very old, </w:t>
      </w:r>
      <w:r w:rsidR="00697E44" w:rsidRPr="00D9600A">
        <w:rPr>
          <w:lang w:val="en-GB"/>
        </w:rPr>
        <w:t>lower crust</w:t>
      </w:r>
      <w:r w:rsidR="00CD07DA" w:rsidRPr="00D9600A">
        <w:rPr>
          <w:lang w:val="en-GB"/>
        </w:rPr>
        <w:t xml:space="preserve"> </w:t>
      </w:r>
      <w:r w:rsidR="00CD07DA" w:rsidRPr="00D9600A">
        <w:rPr>
          <w:lang w:val="en-GB"/>
        </w:rPr>
        <w:lastRenderedPageBreak/>
        <w:t xml:space="preserve">structures </w:t>
      </w:r>
      <w:r w:rsidR="00372ED8" w:rsidRPr="00D9600A">
        <w:rPr>
          <w:lang w:val="en-GB"/>
        </w:rPr>
        <w:t xml:space="preserve">play </w:t>
      </w:r>
      <w:r w:rsidR="00024DEB" w:rsidRPr="00D9600A">
        <w:rPr>
          <w:lang w:val="en-GB"/>
        </w:rPr>
        <w:t xml:space="preserve">a </w:t>
      </w:r>
      <w:r w:rsidR="00372ED8" w:rsidRPr="00D9600A">
        <w:rPr>
          <w:lang w:val="en-GB"/>
        </w:rPr>
        <w:t>role also in present</w:t>
      </w:r>
      <w:r w:rsidR="00683FFE" w:rsidRPr="00D9600A">
        <w:rPr>
          <w:lang w:val="en-GB"/>
        </w:rPr>
        <w:t>-</w:t>
      </w:r>
      <w:r w:rsidR="00372ED8" w:rsidRPr="00D9600A">
        <w:rPr>
          <w:lang w:val="en-GB"/>
        </w:rPr>
        <w:t xml:space="preserve">day seismicity (Hicks and </w:t>
      </w:r>
      <w:proofErr w:type="spellStart"/>
      <w:r w:rsidR="00372ED8" w:rsidRPr="00D9600A">
        <w:rPr>
          <w:lang w:val="en-GB"/>
        </w:rPr>
        <w:t>Ottem</w:t>
      </w:r>
      <w:r w:rsidR="00697E44" w:rsidRPr="00D9600A">
        <w:rPr>
          <w:lang w:val="en-GB"/>
        </w:rPr>
        <w:t>öller</w:t>
      </w:r>
      <w:proofErr w:type="spellEnd"/>
      <w:r w:rsidR="00697E44" w:rsidRPr="00D9600A">
        <w:rPr>
          <w:lang w:val="en-GB"/>
        </w:rPr>
        <w:t xml:space="preserve"> 2001). </w:t>
      </w:r>
      <w:r w:rsidR="00887E58" w:rsidRPr="00D9600A">
        <w:rPr>
          <w:lang w:val="en-GB"/>
        </w:rPr>
        <w:t xml:space="preserve">See Fig. 1 for the </w:t>
      </w:r>
      <w:r w:rsidR="00DE5E2B" w:rsidRPr="00D9600A">
        <w:rPr>
          <w:lang w:val="en-GB"/>
        </w:rPr>
        <w:t>two structures.</w:t>
      </w:r>
    </w:p>
    <w:p w14:paraId="48A606BB" w14:textId="77777777" w:rsidR="002E4DBB" w:rsidRPr="00D9600A" w:rsidRDefault="002E4DBB" w:rsidP="002E4DBB">
      <w:pPr>
        <w:pStyle w:val="BodyText2"/>
        <w:ind w:firstLine="0"/>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9"/>
        <w:gridCol w:w="4363"/>
      </w:tblGrid>
      <w:tr w:rsidR="002E4DBB" w:rsidRPr="00D9600A" w14:paraId="60047E82" w14:textId="77777777" w:rsidTr="00AE12C6">
        <w:tc>
          <w:tcPr>
            <w:tcW w:w="4531" w:type="dxa"/>
          </w:tcPr>
          <w:p w14:paraId="245D1531" w14:textId="77777777" w:rsidR="002E4DBB" w:rsidRPr="00D9600A" w:rsidRDefault="002E4DBB" w:rsidP="00830142">
            <w:pPr>
              <w:pStyle w:val="BodyText2"/>
              <w:ind w:firstLine="0"/>
              <w:rPr>
                <w:lang w:val="en-GB"/>
              </w:rPr>
            </w:pPr>
            <w:r w:rsidRPr="00D9600A">
              <w:rPr>
                <w:noProof/>
                <w:lang w:val="en-GB"/>
              </w:rPr>
              <w:drawing>
                <wp:inline distT="0" distB="0" distL="0" distR="0" wp14:anchorId="7CCA80E0" wp14:editId="7FBEFD0B">
                  <wp:extent cx="3076136" cy="3765550"/>
                  <wp:effectExtent l="0" t="0" r="0" b="6350"/>
                  <wp:docPr id="1390441611" name="Picture 1" descr="A map of the s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441611" name="Picture 1" descr="A map of the sea&#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3423" cy="3774471"/>
                          </a:xfrm>
                          <a:prstGeom prst="rect">
                            <a:avLst/>
                          </a:prstGeom>
                          <a:noFill/>
                          <a:ln>
                            <a:noFill/>
                          </a:ln>
                        </pic:spPr>
                      </pic:pic>
                    </a:graphicData>
                  </a:graphic>
                </wp:inline>
              </w:drawing>
            </w:r>
          </w:p>
        </w:tc>
        <w:tc>
          <w:tcPr>
            <w:tcW w:w="4531" w:type="dxa"/>
          </w:tcPr>
          <w:p w14:paraId="2202C9CD" w14:textId="77777777" w:rsidR="002E4DBB" w:rsidRPr="00D9600A" w:rsidRDefault="002E4DBB" w:rsidP="00830142">
            <w:pPr>
              <w:pStyle w:val="BodyText2"/>
              <w:ind w:firstLine="0"/>
              <w:rPr>
                <w:lang w:val="en-GB"/>
              </w:rPr>
            </w:pPr>
            <w:r w:rsidRPr="00D9600A">
              <w:rPr>
                <w:noProof/>
                <w:lang w:val="en-GB"/>
              </w:rPr>
              <w:drawing>
                <wp:inline distT="0" distB="0" distL="0" distR="0" wp14:anchorId="5CFE8FF2" wp14:editId="2CE527FB">
                  <wp:extent cx="2837758" cy="2425700"/>
                  <wp:effectExtent l="0" t="0" r="1270" b="0"/>
                  <wp:docPr id="1121726744" name="Picture 2" descr="The Listafjorden–Drangedal Fault Complex of the Agder–Telemark Lineament  Zone, southern Norway. A structural analysis ba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Listafjorden–Drangedal Fault Complex of the Agder–Telemark Lineament  Zone, southern Norway. A structural analysis bas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1769" cy="2429128"/>
                          </a:xfrm>
                          <a:prstGeom prst="rect">
                            <a:avLst/>
                          </a:prstGeom>
                          <a:noFill/>
                          <a:ln>
                            <a:noFill/>
                          </a:ln>
                        </pic:spPr>
                      </pic:pic>
                    </a:graphicData>
                  </a:graphic>
                </wp:inline>
              </w:drawing>
            </w:r>
          </w:p>
        </w:tc>
      </w:tr>
    </w:tbl>
    <w:p w14:paraId="66BD9893" w14:textId="11194D5F" w:rsidR="002E4DBB" w:rsidRPr="00D9600A" w:rsidRDefault="002E4DBB" w:rsidP="00F63AD9">
      <w:pPr>
        <w:pStyle w:val="FigureCaption"/>
        <w:jc w:val="both"/>
        <w:rPr>
          <w:lang w:val="en-GB"/>
        </w:rPr>
      </w:pPr>
      <w:r w:rsidRPr="00D9600A">
        <w:rPr>
          <w:lang w:val="en-GB"/>
        </w:rPr>
        <w:t xml:space="preserve">Fig. 1. Left: Geological map of SW Norway, showing the Hardangerfjord Shear Zone and other prominent shear zones in southwestern Norway; from Fossen and </w:t>
      </w:r>
      <w:proofErr w:type="spellStart"/>
      <w:r w:rsidRPr="00D9600A">
        <w:rPr>
          <w:lang w:val="en-GB"/>
        </w:rPr>
        <w:t>Hurich</w:t>
      </w:r>
      <w:proofErr w:type="spellEnd"/>
      <w:r w:rsidRPr="00D9600A">
        <w:rPr>
          <w:lang w:val="en-GB"/>
        </w:rPr>
        <w:t xml:space="preserve"> (2005). Right: the </w:t>
      </w:r>
      <w:proofErr w:type="spellStart"/>
      <w:r w:rsidRPr="00D9600A">
        <w:rPr>
          <w:lang w:val="en-GB"/>
        </w:rPr>
        <w:t>Listafjorden</w:t>
      </w:r>
      <w:proofErr w:type="spellEnd"/>
      <w:r w:rsidRPr="00D9600A">
        <w:rPr>
          <w:lang w:val="en-GB"/>
        </w:rPr>
        <w:t>–Drangedal Fault Complex of the Agder–Telemark Lineament Zone, southern Norway as described by Gabrielsen et al.</w:t>
      </w:r>
      <w:r w:rsidR="00C75FFC" w:rsidRPr="00D9600A">
        <w:rPr>
          <w:lang w:val="en-GB"/>
        </w:rPr>
        <w:t xml:space="preserve"> </w:t>
      </w:r>
      <w:r w:rsidRPr="00D9600A">
        <w:rPr>
          <w:lang w:val="en-GB"/>
        </w:rPr>
        <w:t>(2019).</w:t>
      </w:r>
    </w:p>
    <w:p w14:paraId="4B301F1C" w14:textId="62E1F556" w:rsidR="00586800" w:rsidRPr="00D9600A" w:rsidRDefault="00674CC4" w:rsidP="00F63AD9">
      <w:pPr>
        <w:pStyle w:val="BodyText2"/>
        <w:jc w:val="both"/>
        <w:rPr>
          <w:lang w:val="en-GB"/>
        </w:rPr>
      </w:pPr>
      <w:r w:rsidRPr="00D9600A">
        <w:rPr>
          <w:lang w:val="en-GB"/>
        </w:rPr>
        <w:t>W</w:t>
      </w:r>
      <w:r w:rsidR="00BD17C2" w:rsidRPr="00D9600A">
        <w:rPr>
          <w:lang w:val="en-GB"/>
        </w:rPr>
        <w:t>estern Norway is separated from the</w:t>
      </w:r>
      <w:r w:rsidR="00683FFE" w:rsidRPr="00D9600A">
        <w:rPr>
          <w:lang w:val="en-GB"/>
        </w:rPr>
        <w:t xml:space="preserve"> Norwegian continental</w:t>
      </w:r>
      <w:r w:rsidR="00BD17C2" w:rsidRPr="00D9600A">
        <w:rPr>
          <w:lang w:val="en-GB"/>
        </w:rPr>
        <w:t xml:space="preserve"> shelf by </w:t>
      </w:r>
      <w:r w:rsidR="00C34B04" w:rsidRPr="00D9600A">
        <w:rPr>
          <w:lang w:val="en-GB"/>
        </w:rPr>
        <w:t xml:space="preserve">the major Øygarden fault zone that runs NS. The </w:t>
      </w:r>
      <w:r w:rsidR="008A0B89" w:rsidRPr="00D9600A">
        <w:rPr>
          <w:lang w:val="en-GB"/>
        </w:rPr>
        <w:t xml:space="preserve">Øygarden Fracture zone </w:t>
      </w:r>
      <w:r w:rsidR="00C42315" w:rsidRPr="00D9600A">
        <w:rPr>
          <w:lang w:val="en-GB"/>
        </w:rPr>
        <w:t xml:space="preserve">is seismically active </w:t>
      </w:r>
      <w:r w:rsidR="00626BEC" w:rsidRPr="00D9600A">
        <w:rPr>
          <w:lang w:val="en-GB"/>
        </w:rPr>
        <w:t xml:space="preserve">(Fossen and </w:t>
      </w:r>
      <w:proofErr w:type="spellStart"/>
      <w:r w:rsidR="00626BEC" w:rsidRPr="00D9600A">
        <w:rPr>
          <w:lang w:val="en-GB"/>
        </w:rPr>
        <w:t>Rykkelid</w:t>
      </w:r>
      <w:proofErr w:type="spellEnd"/>
      <w:r w:rsidR="001C365E" w:rsidRPr="00D9600A">
        <w:rPr>
          <w:lang w:val="en-GB"/>
        </w:rPr>
        <w:t xml:space="preserve"> </w:t>
      </w:r>
      <w:r w:rsidR="001B7C6A" w:rsidRPr="00D9600A">
        <w:rPr>
          <w:lang w:val="en-GB"/>
        </w:rPr>
        <w:t>1990</w:t>
      </w:r>
      <w:r w:rsidR="001C365E" w:rsidRPr="00D9600A">
        <w:rPr>
          <w:lang w:val="en-GB"/>
        </w:rPr>
        <w:t xml:space="preserve">; Wiest et al. </w:t>
      </w:r>
      <w:r w:rsidR="00337AF0" w:rsidRPr="00D9600A">
        <w:rPr>
          <w:lang w:val="en-GB"/>
        </w:rPr>
        <w:t>2020</w:t>
      </w:r>
      <w:r w:rsidR="001B7C6A" w:rsidRPr="00D9600A">
        <w:rPr>
          <w:lang w:val="en-GB"/>
        </w:rPr>
        <w:t>)</w:t>
      </w:r>
      <w:r w:rsidR="00237E2F" w:rsidRPr="00D9600A">
        <w:rPr>
          <w:lang w:val="en-GB"/>
        </w:rPr>
        <w:t xml:space="preserve"> and </w:t>
      </w:r>
      <w:r w:rsidR="005A3F8B" w:rsidRPr="00D9600A">
        <w:rPr>
          <w:lang w:val="en-GB"/>
        </w:rPr>
        <w:t>constitutes</w:t>
      </w:r>
      <w:r w:rsidR="004C2E84" w:rsidRPr="00D9600A">
        <w:rPr>
          <w:lang w:val="en-GB"/>
        </w:rPr>
        <w:t xml:space="preserve"> a main structural boundary </w:t>
      </w:r>
      <w:r w:rsidR="001E069A" w:rsidRPr="00D9600A">
        <w:rPr>
          <w:lang w:val="en-GB"/>
        </w:rPr>
        <w:t>to</w:t>
      </w:r>
      <w:r w:rsidR="004C2E84" w:rsidRPr="00D9600A">
        <w:rPr>
          <w:lang w:val="en-GB"/>
        </w:rPr>
        <w:t xml:space="preserve"> the </w:t>
      </w:r>
      <w:proofErr w:type="spellStart"/>
      <w:r w:rsidR="004C2E84" w:rsidRPr="00D9600A">
        <w:rPr>
          <w:lang w:val="en-GB"/>
        </w:rPr>
        <w:t>Caledonide</w:t>
      </w:r>
      <w:proofErr w:type="spellEnd"/>
      <w:r w:rsidR="005A3F8B" w:rsidRPr="00D9600A">
        <w:rPr>
          <w:lang w:val="en-GB"/>
        </w:rPr>
        <w:t xml:space="preserve"> mountains</w:t>
      </w:r>
      <w:r w:rsidR="004C2E84" w:rsidRPr="00D9600A">
        <w:rPr>
          <w:lang w:val="en-GB"/>
        </w:rPr>
        <w:t xml:space="preserve"> rising </w:t>
      </w:r>
      <w:r w:rsidR="00C26CB8" w:rsidRPr="00D9600A">
        <w:rPr>
          <w:lang w:val="en-GB"/>
        </w:rPr>
        <w:t>east of</w:t>
      </w:r>
      <w:r w:rsidR="005A3F8B" w:rsidRPr="00D9600A">
        <w:rPr>
          <w:lang w:val="en-GB"/>
        </w:rPr>
        <w:t xml:space="preserve"> the</w:t>
      </w:r>
      <w:r w:rsidR="00C26CB8" w:rsidRPr="00D9600A">
        <w:rPr>
          <w:lang w:val="en-GB"/>
        </w:rPr>
        <w:t xml:space="preserve"> shelf</w:t>
      </w:r>
      <w:r w:rsidR="00683FFE" w:rsidRPr="00D9600A">
        <w:rPr>
          <w:lang w:val="en-GB"/>
        </w:rPr>
        <w:t xml:space="preserve"> (the Caledonian front is depicted in Fig. 2 </w:t>
      </w:r>
      <w:r w:rsidR="00E74F9D" w:rsidRPr="00D9600A">
        <w:rPr>
          <w:lang w:val="en-GB"/>
        </w:rPr>
        <w:t>in</w:t>
      </w:r>
      <w:r w:rsidR="00683FFE" w:rsidRPr="00D9600A">
        <w:rPr>
          <w:lang w:val="en-GB"/>
        </w:rPr>
        <w:t xml:space="preserve"> the main paper)</w:t>
      </w:r>
      <w:r w:rsidR="001B7C6A" w:rsidRPr="00D9600A">
        <w:rPr>
          <w:lang w:val="en-GB"/>
        </w:rPr>
        <w:t>.</w:t>
      </w:r>
      <w:r w:rsidR="00DC77BF" w:rsidRPr="00D9600A">
        <w:rPr>
          <w:lang w:val="en-GB"/>
        </w:rPr>
        <w:t xml:space="preserve"> </w:t>
      </w:r>
      <w:r w:rsidR="00806B2A" w:rsidRPr="00D9600A">
        <w:rPr>
          <w:lang w:val="en-GB"/>
        </w:rPr>
        <w:t xml:space="preserve">The listric and complex Øygarden structure </w:t>
      </w:r>
      <w:r w:rsidR="00D159C8" w:rsidRPr="00D9600A">
        <w:rPr>
          <w:lang w:val="en-GB"/>
        </w:rPr>
        <w:t xml:space="preserve">has also been of main concern for the petroleum </w:t>
      </w:r>
      <w:r w:rsidR="00D43069" w:rsidRPr="00D9600A">
        <w:rPr>
          <w:lang w:val="en-GB"/>
        </w:rPr>
        <w:t xml:space="preserve">industry </w:t>
      </w:r>
      <w:r w:rsidR="0060427E" w:rsidRPr="00D9600A">
        <w:rPr>
          <w:lang w:val="en-GB"/>
        </w:rPr>
        <w:t xml:space="preserve">with respect to </w:t>
      </w:r>
      <w:r w:rsidR="00D43069" w:rsidRPr="00D9600A">
        <w:rPr>
          <w:lang w:val="en-GB"/>
        </w:rPr>
        <w:t>pipeline crossings.</w:t>
      </w:r>
    </w:p>
    <w:p w14:paraId="101AB635" w14:textId="7CDFA512" w:rsidR="00DB24C7" w:rsidRPr="00D9600A" w:rsidRDefault="00DB24C7" w:rsidP="00F63AD9">
      <w:pPr>
        <w:pStyle w:val="BodyText2"/>
        <w:jc w:val="both"/>
        <w:rPr>
          <w:lang w:val="en-GB"/>
        </w:rPr>
      </w:pPr>
      <w:r w:rsidRPr="00D9600A">
        <w:rPr>
          <w:lang w:val="en-GB"/>
        </w:rPr>
        <w:t xml:space="preserve">Southern Norway is also </w:t>
      </w:r>
      <w:r w:rsidR="00806B2A" w:rsidRPr="00D9600A">
        <w:rPr>
          <w:lang w:val="en-GB"/>
        </w:rPr>
        <w:t>shaped</w:t>
      </w:r>
      <w:r w:rsidRPr="00D9600A">
        <w:rPr>
          <w:lang w:val="en-GB"/>
        </w:rPr>
        <w:t xml:space="preserve"> </w:t>
      </w:r>
      <w:r w:rsidR="00806B2A" w:rsidRPr="00D9600A">
        <w:rPr>
          <w:lang w:val="en-GB"/>
        </w:rPr>
        <w:t>between</w:t>
      </w:r>
      <w:r w:rsidRPr="00D9600A">
        <w:rPr>
          <w:lang w:val="en-GB"/>
        </w:rPr>
        <w:t xml:space="preserve"> two aborted rift structures</w:t>
      </w:r>
      <w:r w:rsidR="0088345F" w:rsidRPr="00D9600A">
        <w:rPr>
          <w:lang w:val="en-GB"/>
        </w:rPr>
        <w:t>: The Viking Graben (offshore) and the Oslo Graben</w:t>
      </w:r>
      <w:r w:rsidR="005F6ADC" w:rsidRPr="00D9600A">
        <w:rPr>
          <w:lang w:val="en-GB"/>
        </w:rPr>
        <w:t xml:space="preserve"> </w:t>
      </w:r>
      <w:r w:rsidR="0060427E" w:rsidRPr="00D9600A">
        <w:rPr>
          <w:lang w:val="en-GB"/>
        </w:rPr>
        <w:t xml:space="preserve">extending northwards from </w:t>
      </w:r>
      <w:r w:rsidR="005F6ADC" w:rsidRPr="00D9600A">
        <w:rPr>
          <w:lang w:val="en-GB"/>
        </w:rPr>
        <w:t xml:space="preserve">the </w:t>
      </w:r>
      <w:r w:rsidR="0088345F" w:rsidRPr="00D9600A">
        <w:rPr>
          <w:lang w:val="en-GB"/>
        </w:rPr>
        <w:t>Oslofjord</w:t>
      </w:r>
      <w:r w:rsidR="00446C92" w:rsidRPr="00D9600A">
        <w:rPr>
          <w:lang w:val="en-GB"/>
        </w:rPr>
        <w:t xml:space="preserve">. </w:t>
      </w:r>
      <w:r w:rsidR="0060427E" w:rsidRPr="00D9600A">
        <w:rPr>
          <w:lang w:val="en-GB"/>
        </w:rPr>
        <w:t>Failed rifts were identified by Johnson et al. (1994) as important source regions for earthquakes in Stable Continental Regions (SCR)</w:t>
      </w:r>
      <w:r w:rsidR="007047FA" w:rsidRPr="00D9600A">
        <w:rPr>
          <w:lang w:val="en-GB"/>
        </w:rPr>
        <w:t xml:space="preserve">, supported </w:t>
      </w:r>
      <w:r w:rsidR="00DE371B" w:rsidRPr="00D9600A">
        <w:rPr>
          <w:lang w:val="en-GB"/>
        </w:rPr>
        <w:t xml:space="preserve">also </w:t>
      </w:r>
      <w:r w:rsidR="007047FA" w:rsidRPr="00D9600A">
        <w:rPr>
          <w:lang w:val="en-GB"/>
        </w:rPr>
        <w:t xml:space="preserve">by </w:t>
      </w:r>
      <w:r w:rsidR="00470B05" w:rsidRPr="00D9600A">
        <w:rPr>
          <w:lang w:val="en-GB"/>
        </w:rPr>
        <w:t>observations from Norway</w:t>
      </w:r>
      <w:r w:rsidR="0060427E" w:rsidRPr="00D9600A">
        <w:rPr>
          <w:lang w:val="en-GB"/>
        </w:rPr>
        <w:t xml:space="preserve">. </w:t>
      </w:r>
      <w:r w:rsidR="00446C92" w:rsidRPr="00D9600A">
        <w:rPr>
          <w:lang w:val="en-GB"/>
        </w:rPr>
        <w:t>See</w:t>
      </w:r>
      <w:r w:rsidR="005F6ADC" w:rsidRPr="00D9600A">
        <w:rPr>
          <w:lang w:val="en-GB"/>
        </w:rPr>
        <w:t xml:space="preserve"> </w:t>
      </w:r>
      <w:r w:rsidR="0060427E" w:rsidRPr="00D9600A">
        <w:rPr>
          <w:lang w:val="en-GB"/>
        </w:rPr>
        <w:t xml:space="preserve">also </w:t>
      </w:r>
      <w:r w:rsidR="006B0DFF" w:rsidRPr="00D9600A">
        <w:rPr>
          <w:lang w:val="en-GB"/>
        </w:rPr>
        <w:t>Bungum et al.</w:t>
      </w:r>
      <w:r w:rsidR="00446C92" w:rsidRPr="00D9600A">
        <w:rPr>
          <w:lang w:val="en-GB"/>
        </w:rPr>
        <w:t xml:space="preserve"> (</w:t>
      </w:r>
      <w:r w:rsidR="006B0DFF" w:rsidRPr="00D9600A">
        <w:rPr>
          <w:lang w:val="en-GB"/>
        </w:rPr>
        <w:t>2009</w:t>
      </w:r>
      <w:r w:rsidR="00446C92" w:rsidRPr="00D9600A">
        <w:rPr>
          <w:lang w:val="en-GB"/>
        </w:rPr>
        <w:t xml:space="preserve">) and </w:t>
      </w:r>
      <w:r w:rsidR="005F6ADC" w:rsidRPr="00D9600A">
        <w:rPr>
          <w:lang w:val="en-GB"/>
        </w:rPr>
        <w:t xml:space="preserve">Ramberg et al. </w:t>
      </w:r>
      <w:r w:rsidR="00446C92" w:rsidRPr="00D9600A">
        <w:rPr>
          <w:lang w:val="en-GB"/>
        </w:rPr>
        <w:t>(</w:t>
      </w:r>
      <w:r w:rsidR="00A20752" w:rsidRPr="00D9600A">
        <w:rPr>
          <w:lang w:val="en-GB"/>
        </w:rPr>
        <w:t>2008</w:t>
      </w:r>
      <w:r w:rsidR="005F6ADC" w:rsidRPr="00D9600A">
        <w:rPr>
          <w:lang w:val="en-GB"/>
        </w:rPr>
        <w:t xml:space="preserve">) for the developments </w:t>
      </w:r>
      <w:r w:rsidR="00276B7E" w:rsidRPr="00D9600A">
        <w:rPr>
          <w:lang w:val="en-GB"/>
        </w:rPr>
        <w:t xml:space="preserve">of these structures that until today </w:t>
      </w:r>
      <w:r w:rsidR="00DE371B" w:rsidRPr="00D9600A">
        <w:rPr>
          <w:lang w:val="en-GB"/>
        </w:rPr>
        <w:t xml:space="preserve">reveal both </w:t>
      </w:r>
      <w:r w:rsidR="00601A20" w:rsidRPr="00D9600A">
        <w:rPr>
          <w:lang w:val="en-GB"/>
        </w:rPr>
        <w:t xml:space="preserve">seismic activity and </w:t>
      </w:r>
      <w:r w:rsidR="00276B7E" w:rsidRPr="00D9600A">
        <w:rPr>
          <w:lang w:val="en-GB"/>
        </w:rPr>
        <w:t>thinned crust.</w:t>
      </w:r>
      <w:r w:rsidR="006B0DFF" w:rsidRPr="00D9600A">
        <w:rPr>
          <w:lang w:val="en-GB"/>
        </w:rPr>
        <w:t xml:space="preserve"> </w:t>
      </w:r>
      <w:r w:rsidR="00E86D49" w:rsidRPr="00D9600A">
        <w:rPr>
          <w:lang w:val="en-GB"/>
        </w:rPr>
        <w:t>Two m</w:t>
      </w:r>
      <w:r w:rsidR="006B0DFF" w:rsidRPr="00D9600A">
        <w:rPr>
          <w:lang w:val="en-GB"/>
        </w:rPr>
        <w:t xml:space="preserve">ajor earthquakes </w:t>
      </w:r>
      <w:r w:rsidR="00E86D49" w:rsidRPr="00D9600A">
        <w:rPr>
          <w:lang w:val="en-GB"/>
        </w:rPr>
        <w:t xml:space="preserve">(1904 and 1927) </w:t>
      </w:r>
      <w:r w:rsidR="006B0DFF" w:rsidRPr="00D9600A">
        <w:rPr>
          <w:lang w:val="en-GB"/>
        </w:rPr>
        <w:t>are associated with the Oslo Graben and the Viking Graben structures</w:t>
      </w:r>
      <w:r w:rsidR="00E86D49" w:rsidRPr="00D9600A">
        <w:rPr>
          <w:lang w:val="en-GB"/>
        </w:rPr>
        <w:t xml:space="preserve"> as listed in the </w:t>
      </w:r>
      <w:r w:rsidR="00175D8A" w:rsidRPr="00D9600A">
        <w:rPr>
          <w:lang w:val="en-GB"/>
        </w:rPr>
        <w:t>main article</w:t>
      </w:r>
      <w:r w:rsidR="006B0DFF" w:rsidRPr="00D9600A">
        <w:rPr>
          <w:lang w:val="en-GB"/>
        </w:rPr>
        <w:t xml:space="preserve">. A more peculiar large earthquake took place in the Vøring Basin in 1988, in an area with almost no earlier seismicity (Byrkjeland et al. 2000), </w:t>
      </w:r>
      <w:r w:rsidR="0060427E" w:rsidRPr="00D9600A">
        <w:rPr>
          <w:lang w:val="en-GB"/>
        </w:rPr>
        <w:t xml:space="preserve">followed by </w:t>
      </w:r>
      <w:r w:rsidR="006B0DFF" w:rsidRPr="00D9600A">
        <w:rPr>
          <w:lang w:val="en-GB"/>
        </w:rPr>
        <w:t>an M 5.2 event in the north-eastern North Sea in 1989 (Hansen et al. 1989)</w:t>
      </w:r>
      <w:r w:rsidR="00054EDC" w:rsidRPr="00D9600A">
        <w:rPr>
          <w:lang w:val="en-GB"/>
        </w:rPr>
        <w:t>.</w:t>
      </w:r>
    </w:p>
    <w:p w14:paraId="5FF2F7CC" w14:textId="7C5610E4" w:rsidR="005A3A65" w:rsidRPr="00D9600A" w:rsidRDefault="00DB24C7" w:rsidP="00F63AD9">
      <w:pPr>
        <w:pStyle w:val="BodyText2"/>
        <w:jc w:val="both"/>
        <w:rPr>
          <w:lang w:val="en-GB"/>
        </w:rPr>
      </w:pPr>
      <w:r w:rsidRPr="00D9600A">
        <w:rPr>
          <w:lang w:val="en-GB"/>
        </w:rPr>
        <w:t xml:space="preserve">Northern Norway experienced </w:t>
      </w:r>
      <w:r w:rsidR="00276B7E" w:rsidRPr="00D9600A">
        <w:rPr>
          <w:lang w:val="en-GB"/>
        </w:rPr>
        <w:t xml:space="preserve">in 1819 </w:t>
      </w:r>
      <w:r w:rsidR="009662AA" w:rsidRPr="00D9600A">
        <w:rPr>
          <w:lang w:val="en-GB"/>
        </w:rPr>
        <w:t xml:space="preserve">(see </w:t>
      </w:r>
      <w:r w:rsidR="004F144F" w:rsidRPr="00D9600A">
        <w:rPr>
          <w:lang w:val="en-GB"/>
        </w:rPr>
        <w:t xml:space="preserve">Table 1 in the </w:t>
      </w:r>
      <w:r w:rsidR="009662AA" w:rsidRPr="00D9600A">
        <w:rPr>
          <w:lang w:val="en-GB"/>
        </w:rPr>
        <w:t xml:space="preserve">main </w:t>
      </w:r>
      <w:r w:rsidR="004F144F" w:rsidRPr="00D9600A">
        <w:rPr>
          <w:lang w:val="en-GB"/>
        </w:rPr>
        <w:t>paper</w:t>
      </w:r>
      <w:r w:rsidR="009662AA" w:rsidRPr="00D9600A">
        <w:rPr>
          <w:lang w:val="en-GB"/>
        </w:rPr>
        <w:t xml:space="preserve">) </w:t>
      </w:r>
      <w:r w:rsidR="00276B7E" w:rsidRPr="00D9600A">
        <w:rPr>
          <w:lang w:val="en-GB"/>
        </w:rPr>
        <w:t xml:space="preserve">the largest earthquake recorded </w:t>
      </w:r>
      <w:r w:rsidR="005B3C21" w:rsidRPr="00D9600A">
        <w:rPr>
          <w:lang w:val="en-GB"/>
        </w:rPr>
        <w:t xml:space="preserve">with fair precision in location and magnitude. </w:t>
      </w:r>
      <w:r w:rsidR="00E5799C" w:rsidRPr="00D9600A">
        <w:rPr>
          <w:lang w:val="en-GB"/>
        </w:rPr>
        <w:t xml:space="preserve">With basis in this historical record significant </w:t>
      </w:r>
      <w:r w:rsidR="00E5799C" w:rsidRPr="00D9600A">
        <w:rPr>
          <w:lang w:val="en-GB"/>
        </w:rPr>
        <w:lastRenderedPageBreak/>
        <w:t xml:space="preserve">studies were undertaken in northern Norway </w:t>
      </w:r>
      <w:r w:rsidR="005800BA" w:rsidRPr="00D9600A">
        <w:rPr>
          <w:lang w:val="en-GB"/>
        </w:rPr>
        <w:t xml:space="preserve">through the </w:t>
      </w:r>
      <w:r w:rsidR="00A4768F" w:rsidRPr="00D9600A">
        <w:rPr>
          <w:lang w:val="en-GB"/>
        </w:rPr>
        <w:t>NEONOR I and II projects (Olesen et al. 2013</w:t>
      </w:r>
      <w:r w:rsidR="006B5FF5" w:rsidRPr="00D9600A">
        <w:rPr>
          <w:lang w:val="en-GB"/>
        </w:rPr>
        <w:t xml:space="preserve">, </w:t>
      </w:r>
      <w:r w:rsidR="00A4768F" w:rsidRPr="00D9600A">
        <w:rPr>
          <w:lang w:val="en-GB"/>
        </w:rPr>
        <w:t xml:space="preserve">2018). </w:t>
      </w:r>
      <w:r w:rsidR="007B32E3" w:rsidRPr="00D9600A">
        <w:rPr>
          <w:lang w:val="en-GB"/>
        </w:rPr>
        <w:t xml:space="preserve">In the </w:t>
      </w:r>
      <w:r w:rsidR="005800BA" w:rsidRPr="00D9600A">
        <w:rPr>
          <w:lang w:val="en-GB"/>
        </w:rPr>
        <w:t xml:space="preserve">far </w:t>
      </w:r>
      <w:r w:rsidR="007B32E3" w:rsidRPr="00D9600A">
        <w:rPr>
          <w:lang w:val="en-GB"/>
        </w:rPr>
        <w:t>north (Nordland and Finmark), Olesen et al. (2013</w:t>
      </w:r>
      <w:r w:rsidR="006B5FF5" w:rsidRPr="00D9600A">
        <w:rPr>
          <w:lang w:val="en-GB"/>
        </w:rPr>
        <w:t>,</w:t>
      </w:r>
      <w:r w:rsidR="007B32E3" w:rsidRPr="00D9600A">
        <w:rPr>
          <w:lang w:val="en-GB"/>
        </w:rPr>
        <w:t xml:space="preserve"> 2018)</w:t>
      </w:r>
      <w:r w:rsidR="004F144F" w:rsidRPr="00D9600A">
        <w:rPr>
          <w:lang w:val="en-GB"/>
        </w:rPr>
        <w:t>, Olsen et al. (2022</w:t>
      </w:r>
      <w:r w:rsidR="006B5FF5" w:rsidRPr="00D9600A">
        <w:rPr>
          <w:lang w:val="en-GB"/>
        </w:rPr>
        <w:t>) and</w:t>
      </w:r>
      <w:r w:rsidR="006234EF" w:rsidRPr="00D9600A">
        <w:rPr>
          <w:lang w:val="en-GB"/>
        </w:rPr>
        <w:t xml:space="preserve"> Olsen and Olesen (2023) </w:t>
      </w:r>
      <w:r w:rsidR="007B32E3" w:rsidRPr="00D9600A">
        <w:rPr>
          <w:lang w:val="en-GB"/>
        </w:rPr>
        <w:t xml:space="preserve">have made </w:t>
      </w:r>
      <w:r w:rsidR="009D7754" w:rsidRPr="00D9600A">
        <w:rPr>
          <w:lang w:val="en-GB"/>
        </w:rPr>
        <w:t>groundbreaking</w:t>
      </w:r>
      <w:r w:rsidR="007B32E3" w:rsidRPr="00D9600A">
        <w:rPr>
          <w:lang w:val="en-GB"/>
        </w:rPr>
        <w:t xml:space="preserve"> mapping </w:t>
      </w:r>
      <w:r w:rsidR="006234EF" w:rsidRPr="00D9600A">
        <w:rPr>
          <w:lang w:val="en-GB"/>
        </w:rPr>
        <w:t xml:space="preserve">of </w:t>
      </w:r>
      <w:r w:rsidR="004F144F" w:rsidRPr="00D9600A">
        <w:rPr>
          <w:lang w:val="en-GB"/>
        </w:rPr>
        <w:t xml:space="preserve">postglacial </w:t>
      </w:r>
      <w:r w:rsidR="006234EF" w:rsidRPr="00D9600A">
        <w:rPr>
          <w:lang w:val="en-GB"/>
        </w:rPr>
        <w:t xml:space="preserve">structures that </w:t>
      </w:r>
      <w:r w:rsidR="004F144F" w:rsidRPr="00D9600A">
        <w:rPr>
          <w:lang w:val="en-GB"/>
        </w:rPr>
        <w:t xml:space="preserve">are suggested </w:t>
      </w:r>
      <w:r w:rsidR="006234EF" w:rsidRPr="00D9600A">
        <w:rPr>
          <w:lang w:val="en-GB"/>
        </w:rPr>
        <w:t xml:space="preserve">to </w:t>
      </w:r>
      <w:r w:rsidR="004F144F" w:rsidRPr="00D9600A">
        <w:rPr>
          <w:lang w:val="en-GB"/>
        </w:rPr>
        <w:t xml:space="preserve">have been </w:t>
      </w:r>
      <w:r w:rsidR="002E3D52" w:rsidRPr="00D9600A">
        <w:rPr>
          <w:lang w:val="en-GB"/>
        </w:rPr>
        <w:t xml:space="preserve">active </w:t>
      </w:r>
      <w:r w:rsidR="004F144F" w:rsidRPr="00D9600A">
        <w:rPr>
          <w:lang w:val="en-GB"/>
        </w:rPr>
        <w:t>as recent as 300-500 ybp</w:t>
      </w:r>
      <w:r w:rsidR="002E3D52" w:rsidRPr="00D9600A">
        <w:rPr>
          <w:lang w:val="en-GB"/>
        </w:rPr>
        <w:t>.</w:t>
      </w:r>
      <w:r w:rsidR="007233C5" w:rsidRPr="00D9600A">
        <w:rPr>
          <w:lang w:val="en-GB"/>
        </w:rPr>
        <w:t xml:space="preserve"> Fig. 2 shows the Holocene </w:t>
      </w:r>
      <w:r w:rsidR="007E7FC0" w:rsidRPr="00D9600A">
        <w:rPr>
          <w:lang w:val="en-GB"/>
        </w:rPr>
        <w:t>faults</w:t>
      </w:r>
      <w:r w:rsidR="00187E2D" w:rsidRPr="00D9600A">
        <w:rPr>
          <w:lang w:val="en-GB"/>
        </w:rPr>
        <w:t xml:space="preserve"> in northern Scandinavia</w:t>
      </w:r>
      <w:r w:rsidR="00EE6949" w:rsidRPr="00D9600A">
        <w:rPr>
          <w:lang w:val="en-GB"/>
        </w:rPr>
        <w:t xml:space="preserve">, including also the Stuoragurra </w:t>
      </w:r>
      <w:r w:rsidR="003773FE" w:rsidRPr="00D9600A">
        <w:rPr>
          <w:lang w:val="en-GB"/>
        </w:rPr>
        <w:t xml:space="preserve">reverse </w:t>
      </w:r>
      <w:r w:rsidR="007233C5" w:rsidRPr="00D9600A">
        <w:rPr>
          <w:lang w:val="en-GB"/>
        </w:rPr>
        <w:t xml:space="preserve">fault, </w:t>
      </w:r>
      <w:r w:rsidR="003773FE" w:rsidRPr="00D9600A">
        <w:rPr>
          <w:lang w:val="en-GB"/>
        </w:rPr>
        <w:t>with its surface deformation</w:t>
      </w:r>
      <w:r w:rsidR="00C87049" w:rsidRPr="00D9600A">
        <w:rPr>
          <w:lang w:val="en-GB"/>
        </w:rPr>
        <w:t>.</w:t>
      </w:r>
      <w:r w:rsidR="00911D4E" w:rsidRPr="00D9600A">
        <w:rPr>
          <w:lang w:val="en-GB"/>
        </w:rPr>
        <w:t xml:space="preserve"> </w:t>
      </w:r>
      <w:r w:rsidR="00193463" w:rsidRPr="00D9600A">
        <w:rPr>
          <w:lang w:val="en-GB"/>
        </w:rPr>
        <w:t xml:space="preserve">Stuoragurra </w:t>
      </w:r>
      <w:r w:rsidR="00DB176E" w:rsidRPr="00D9600A">
        <w:rPr>
          <w:lang w:val="en-GB"/>
        </w:rPr>
        <w:t xml:space="preserve">(Fig. 2) </w:t>
      </w:r>
      <w:r w:rsidR="00C87049" w:rsidRPr="00D9600A">
        <w:rPr>
          <w:lang w:val="en-GB"/>
        </w:rPr>
        <w:t xml:space="preserve">is one </w:t>
      </w:r>
      <w:r w:rsidR="00554C89" w:rsidRPr="00D9600A">
        <w:rPr>
          <w:lang w:val="en-GB"/>
        </w:rPr>
        <w:t xml:space="preserve">of </w:t>
      </w:r>
      <w:r w:rsidR="00911D4E" w:rsidRPr="00D9600A">
        <w:rPr>
          <w:lang w:val="en-GB"/>
        </w:rPr>
        <w:t xml:space="preserve">the many </w:t>
      </w:r>
      <w:r w:rsidR="008541FB" w:rsidRPr="00D9600A">
        <w:rPr>
          <w:lang w:val="en-GB"/>
        </w:rPr>
        <w:t xml:space="preserve">Holocene faults found </w:t>
      </w:r>
      <w:r w:rsidR="005A3A65" w:rsidRPr="00D9600A">
        <w:rPr>
          <w:lang w:val="en-GB"/>
        </w:rPr>
        <w:t xml:space="preserve">where </w:t>
      </w:r>
      <w:r w:rsidR="00D80FDE" w:rsidRPr="00D9600A">
        <w:rPr>
          <w:lang w:val="en-GB"/>
        </w:rPr>
        <w:t xml:space="preserve">a large </w:t>
      </w:r>
      <w:r w:rsidR="005A3A65" w:rsidRPr="00D9600A">
        <w:rPr>
          <w:lang w:val="en-GB"/>
        </w:rPr>
        <w:t>postglacial rupture has been documented</w:t>
      </w:r>
      <w:r w:rsidR="00DB176E" w:rsidRPr="00D9600A">
        <w:rPr>
          <w:lang w:val="en-GB"/>
        </w:rPr>
        <w:t>, and present</w:t>
      </w:r>
      <w:r w:rsidR="004F144F" w:rsidRPr="00D9600A">
        <w:rPr>
          <w:lang w:val="en-GB"/>
        </w:rPr>
        <w:t>-</w:t>
      </w:r>
      <w:r w:rsidR="00DB176E" w:rsidRPr="00D9600A">
        <w:rPr>
          <w:lang w:val="en-GB"/>
        </w:rPr>
        <w:t xml:space="preserve">day </w:t>
      </w:r>
      <w:r w:rsidR="00513B66" w:rsidRPr="00D9600A">
        <w:rPr>
          <w:lang w:val="en-GB"/>
        </w:rPr>
        <w:t>ea</w:t>
      </w:r>
      <w:r w:rsidR="005A3A65" w:rsidRPr="00D9600A">
        <w:rPr>
          <w:lang w:val="en-GB"/>
        </w:rPr>
        <w:t xml:space="preserve">rthquakes have been recorded in a linear zone about 30 km wide parallel to the </w:t>
      </w:r>
      <w:r w:rsidR="00554C89" w:rsidRPr="00D9600A">
        <w:rPr>
          <w:lang w:val="en-GB"/>
        </w:rPr>
        <w:t xml:space="preserve">Stuoragurra </w:t>
      </w:r>
      <w:r w:rsidR="005A3A65" w:rsidRPr="00D9600A">
        <w:rPr>
          <w:lang w:val="en-GB"/>
        </w:rPr>
        <w:t>fault (Bungum and Lindholm 1996)</w:t>
      </w:r>
      <w:r w:rsidR="00513B66" w:rsidRPr="00D9600A">
        <w:rPr>
          <w:lang w:val="en-GB"/>
        </w:rPr>
        <w:t xml:space="preserve">. </w:t>
      </w:r>
    </w:p>
    <w:p w14:paraId="3DACFBC5" w14:textId="0DA1FD0B" w:rsidR="002709F3" w:rsidRPr="00D9600A" w:rsidRDefault="002709F3" w:rsidP="00D751B5">
      <w:pPr>
        <w:pStyle w:val="BodyText2"/>
        <w:rPr>
          <w:lang w:val="en-GB"/>
        </w:rPr>
      </w:pPr>
    </w:p>
    <w:p w14:paraId="6F48B9EB" w14:textId="1AE8F9F6" w:rsidR="005A3A65" w:rsidRPr="00D9600A" w:rsidRDefault="002C3D61" w:rsidP="005A3A65">
      <w:pPr>
        <w:pStyle w:val="BodyText2"/>
        <w:rPr>
          <w:lang w:val="en-GB"/>
        </w:rPr>
      </w:pPr>
      <w:r w:rsidRPr="00D9600A">
        <w:rPr>
          <w:noProof/>
          <w:lang w:val="en-GB"/>
        </w:rPr>
        <w:drawing>
          <wp:inline distT="0" distB="0" distL="0" distR="0" wp14:anchorId="07123AD7" wp14:editId="1C4C6B8E">
            <wp:extent cx="4362450" cy="4097491"/>
            <wp:effectExtent l="0" t="0" r="0" b="0"/>
            <wp:docPr id="1327722728" name="Picture 1" descr="A map of the arc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722728" name="Picture 1" descr="A map of the arctic&#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66400" cy="4101201"/>
                    </a:xfrm>
                    <a:prstGeom prst="rect">
                      <a:avLst/>
                    </a:prstGeom>
                    <a:noFill/>
                    <a:ln>
                      <a:noFill/>
                    </a:ln>
                  </pic:spPr>
                </pic:pic>
              </a:graphicData>
            </a:graphic>
          </wp:inline>
        </w:drawing>
      </w:r>
    </w:p>
    <w:p w14:paraId="440AFAA0" w14:textId="25AF1CE4" w:rsidR="0091431F" w:rsidRPr="00D9600A" w:rsidRDefault="0091431F" w:rsidP="00F63AD9">
      <w:pPr>
        <w:pStyle w:val="FigureCaption"/>
        <w:jc w:val="both"/>
        <w:rPr>
          <w:lang w:val="en-GB"/>
        </w:rPr>
      </w:pPr>
      <w:r w:rsidRPr="00D9600A">
        <w:rPr>
          <w:lang w:val="en-GB"/>
        </w:rPr>
        <w:t xml:space="preserve">Fig. 2. Postglacial faults, topography, bathymetry, earthquakes during the period 1750–2011 and present-day uplift (mm/year) in northern and central Fennoscandia. P: </w:t>
      </w:r>
      <w:proofErr w:type="spellStart"/>
      <w:r w:rsidRPr="00D9600A">
        <w:rPr>
          <w:lang w:val="en-GB"/>
        </w:rPr>
        <w:t>Pärve</w:t>
      </w:r>
      <w:proofErr w:type="spellEnd"/>
      <w:r w:rsidRPr="00D9600A">
        <w:rPr>
          <w:lang w:val="en-GB"/>
        </w:rPr>
        <w:t xml:space="preserve"> fault complex; Ma and I: Stuoragurra fault complex</w:t>
      </w:r>
      <w:r w:rsidR="00ED1181" w:rsidRPr="00D9600A">
        <w:rPr>
          <w:lang w:val="en-GB"/>
        </w:rPr>
        <w:t xml:space="preserve"> (</w:t>
      </w:r>
      <w:r w:rsidRPr="00D9600A">
        <w:rPr>
          <w:lang w:val="en-GB"/>
        </w:rPr>
        <w:t>Olesen et al. 2022).</w:t>
      </w:r>
    </w:p>
    <w:p w14:paraId="5F788A04" w14:textId="170B7101" w:rsidR="00A522DD" w:rsidRPr="00D9600A" w:rsidRDefault="00A522DD" w:rsidP="00F63AD9">
      <w:pPr>
        <w:pStyle w:val="Heading2"/>
        <w:jc w:val="both"/>
      </w:pPr>
      <w:r w:rsidRPr="00D9600A">
        <w:t>Sources and directions of crustal stress</w:t>
      </w:r>
    </w:p>
    <w:p w14:paraId="0B3017DE" w14:textId="13541AFC" w:rsidR="00631E96" w:rsidRPr="00D9600A" w:rsidRDefault="00011561" w:rsidP="00F63AD9">
      <w:pPr>
        <w:pStyle w:val="BodyText2"/>
        <w:ind w:firstLine="0"/>
        <w:jc w:val="both"/>
        <w:rPr>
          <w:lang w:val="en-GB"/>
        </w:rPr>
      </w:pPr>
      <w:r w:rsidRPr="00D9600A">
        <w:rPr>
          <w:lang w:val="en-GB"/>
        </w:rPr>
        <w:t xml:space="preserve">The general (not Norway specific) quest for the source of stresses causing deformations in plate interiors was raised decades ago. Pioneering </w:t>
      </w:r>
      <w:r w:rsidR="006B79E3" w:rsidRPr="00D9600A">
        <w:rPr>
          <w:lang w:val="en-GB"/>
        </w:rPr>
        <w:t xml:space="preserve">modelling </w:t>
      </w:r>
      <w:r w:rsidRPr="00D9600A">
        <w:rPr>
          <w:lang w:val="en-GB"/>
        </w:rPr>
        <w:t xml:space="preserve">work on </w:t>
      </w:r>
      <w:r w:rsidR="006B79E3" w:rsidRPr="00D9600A">
        <w:rPr>
          <w:lang w:val="en-GB"/>
        </w:rPr>
        <w:t xml:space="preserve">the </w:t>
      </w:r>
      <w:r w:rsidRPr="00D9600A">
        <w:rPr>
          <w:lang w:val="en-GB"/>
        </w:rPr>
        <w:t>global distribution of crustal earthquake-driving stresses were published already from the mid 1970’s (Solomon et al.</w:t>
      </w:r>
      <w:r w:rsidR="00966A73" w:rsidRPr="00D9600A">
        <w:rPr>
          <w:lang w:val="en-GB"/>
        </w:rPr>
        <w:t xml:space="preserve"> </w:t>
      </w:r>
      <w:r w:rsidRPr="00D9600A">
        <w:rPr>
          <w:lang w:val="en-GB"/>
        </w:rPr>
        <w:t>1975; Richardson et al. 1979; Harper 1989), to be followed up for eastern North America by Adams (</w:t>
      </w:r>
      <w:r w:rsidR="00064D67" w:rsidRPr="00D9600A">
        <w:rPr>
          <w:lang w:val="en-GB"/>
        </w:rPr>
        <w:t>1989</w:t>
      </w:r>
      <w:r w:rsidRPr="00D9600A">
        <w:rPr>
          <w:lang w:val="en-GB"/>
        </w:rPr>
        <w:t xml:space="preserve">) and for Scandinavia by Stephansson et al. (1986), </w:t>
      </w:r>
      <w:proofErr w:type="spellStart"/>
      <w:r w:rsidRPr="00D9600A">
        <w:rPr>
          <w:lang w:val="en-GB"/>
        </w:rPr>
        <w:t>Slunga</w:t>
      </w:r>
      <w:proofErr w:type="spellEnd"/>
      <w:r w:rsidRPr="00D9600A">
        <w:rPr>
          <w:lang w:val="en-GB"/>
        </w:rPr>
        <w:t xml:space="preserve"> (1989</w:t>
      </w:r>
      <w:r w:rsidR="003962FE" w:rsidRPr="00D9600A">
        <w:rPr>
          <w:lang w:val="en-GB"/>
        </w:rPr>
        <w:t>, 1991</w:t>
      </w:r>
      <w:r w:rsidRPr="00D9600A">
        <w:rPr>
          <w:lang w:val="en-GB"/>
        </w:rPr>
        <w:t>), Bott (1991)</w:t>
      </w:r>
      <w:r w:rsidR="003962FE" w:rsidRPr="00D9600A">
        <w:rPr>
          <w:lang w:val="en-GB"/>
        </w:rPr>
        <w:t xml:space="preserve"> </w:t>
      </w:r>
      <w:r w:rsidR="0032253D" w:rsidRPr="00D9600A">
        <w:rPr>
          <w:lang w:val="en-GB"/>
        </w:rPr>
        <w:t xml:space="preserve">and </w:t>
      </w:r>
      <w:r w:rsidRPr="00D9600A">
        <w:rPr>
          <w:lang w:val="en-GB"/>
        </w:rPr>
        <w:t>Bungum et al. (1991)</w:t>
      </w:r>
      <w:r w:rsidR="002E4DBB" w:rsidRPr="00D9600A">
        <w:rPr>
          <w:lang w:val="en-GB"/>
        </w:rPr>
        <w:t>,</w:t>
      </w:r>
      <w:r w:rsidR="00E10D4E" w:rsidRPr="00D9600A">
        <w:rPr>
          <w:lang w:val="en-GB"/>
        </w:rPr>
        <w:t xml:space="preserve"> </w:t>
      </w:r>
      <w:r w:rsidRPr="00D9600A">
        <w:rPr>
          <w:lang w:val="en-GB"/>
        </w:rPr>
        <w:t xml:space="preserve">among many others. </w:t>
      </w:r>
    </w:p>
    <w:p w14:paraId="3D231DE7" w14:textId="29C8F0E4" w:rsidR="00011561" w:rsidRPr="00D9600A" w:rsidRDefault="00011561" w:rsidP="00F63AD9">
      <w:pPr>
        <w:pStyle w:val="BodyText2"/>
        <w:jc w:val="both"/>
        <w:rPr>
          <w:lang w:val="en-GB"/>
        </w:rPr>
      </w:pPr>
      <w:r w:rsidRPr="00D9600A">
        <w:rPr>
          <w:lang w:val="en-GB"/>
        </w:rPr>
        <w:t xml:space="preserve">For Norway, the sources of plate stress </w:t>
      </w:r>
      <w:r w:rsidR="00966A73" w:rsidRPr="00D9600A">
        <w:rPr>
          <w:lang w:val="en-GB"/>
        </w:rPr>
        <w:t>were</w:t>
      </w:r>
      <w:r w:rsidRPr="00D9600A">
        <w:rPr>
          <w:lang w:val="en-GB"/>
        </w:rPr>
        <w:t xml:space="preserve"> later elaborated on in several investigations (Fejerskov and Lindholm 2000; Muir Wood 2000; Fjeldskaar et al. 2000; Pascal and </w:t>
      </w:r>
      <w:proofErr w:type="spellStart"/>
      <w:r w:rsidRPr="00D9600A">
        <w:rPr>
          <w:lang w:val="en-GB"/>
        </w:rPr>
        <w:t>Cloetingh</w:t>
      </w:r>
      <w:proofErr w:type="spellEnd"/>
      <w:r w:rsidRPr="00D9600A">
        <w:rPr>
          <w:lang w:val="en-GB"/>
        </w:rPr>
        <w:t xml:space="preserve"> 2009; </w:t>
      </w:r>
      <w:r w:rsidRPr="00D9600A">
        <w:rPr>
          <w:lang w:val="en-GB"/>
        </w:rPr>
        <w:lastRenderedPageBreak/>
        <w:t xml:space="preserve">Olesen et al. 2013, 2018). The overall conclusion remains that plate-wide sources of stress (ridge push) will interact with regional and local sources, </w:t>
      </w:r>
      <w:r w:rsidR="002E4DBB" w:rsidRPr="00D9600A">
        <w:rPr>
          <w:lang w:val="en-GB"/>
        </w:rPr>
        <w:t xml:space="preserve">and weakness zones, </w:t>
      </w:r>
      <w:r w:rsidRPr="00D9600A">
        <w:rPr>
          <w:lang w:val="en-GB"/>
        </w:rPr>
        <w:t xml:space="preserve">including postglacial uplift, </w:t>
      </w:r>
      <w:r w:rsidR="00C920CE" w:rsidRPr="00D9600A">
        <w:rPr>
          <w:lang w:val="en-GB"/>
        </w:rPr>
        <w:t xml:space="preserve">topography, </w:t>
      </w:r>
      <w:r w:rsidRPr="00D9600A">
        <w:rPr>
          <w:lang w:val="en-GB"/>
        </w:rPr>
        <w:t xml:space="preserve">sedimentation and crustal inhomogeneities, as summarized in Fig. 3. Even when more earthquake focal mechanisms have refined </w:t>
      </w:r>
      <w:r w:rsidR="002E4DBB" w:rsidRPr="00D9600A">
        <w:rPr>
          <w:lang w:val="en-GB"/>
        </w:rPr>
        <w:t xml:space="preserve">this </w:t>
      </w:r>
      <w:r w:rsidR="00A374FD" w:rsidRPr="00D9600A">
        <w:rPr>
          <w:lang w:val="en-GB"/>
        </w:rPr>
        <w:t>first-order picture</w:t>
      </w:r>
      <w:r w:rsidRPr="00D9600A">
        <w:rPr>
          <w:lang w:val="en-GB"/>
        </w:rPr>
        <w:t xml:space="preserve">, the crustal stress directions summarized </w:t>
      </w:r>
      <w:r w:rsidR="00D74CD4" w:rsidRPr="00D9600A">
        <w:rPr>
          <w:lang w:val="en-GB"/>
        </w:rPr>
        <w:t xml:space="preserve">many years ago </w:t>
      </w:r>
      <w:r w:rsidRPr="00D9600A">
        <w:rPr>
          <w:lang w:val="en-GB"/>
        </w:rPr>
        <w:t>in Fig</w:t>
      </w:r>
      <w:r w:rsidR="00A374FD" w:rsidRPr="00D9600A">
        <w:rPr>
          <w:lang w:val="en-GB"/>
        </w:rPr>
        <w:t>.</w:t>
      </w:r>
      <w:r w:rsidRPr="00D9600A">
        <w:rPr>
          <w:lang w:val="en-GB"/>
        </w:rPr>
        <w:t xml:space="preserve"> 4 </w:t>
      </w:r>
      <w:r w:rsidR="00A374FD" w:rsidRPr="00D9600A">
        <w:rPr>
          <w:lang w:val="en-GB"/>
        </w:rPr>
        <w:t xml:space="preserve">still </w:t>
      </w:r>
      <w:r w:rsidRPr="00D9600A">
        <w:rPr>
          <w:lang w:val="en-GB"/>
        </w:rPr>
        <w:t>remain</w:t>
      </w:r>
      <w:r w:rsidR="00A4588B" w:rsidRPr="00D9600A">
        <w:rPr>
          <w:lang w:val="en-GB"/>
        </w:rPr>
        <w:t xml:space="preserve">s </w:t>
      </w:r>
      <w:r w:rsidRPr="00D9600A">
        <w:rPr>
          <w:lang w:val="en-GB"/>
        </w:rPr>
        <w:t xml:space="preserve">representative. </w:t>
      </w:r>
    </w:p>
    <w:p w14:paraId="2146F834" w14:textId="68038767" w:rsidR="00171259" w:rsidRPr="00D9600A" w:rsidRDefault="00171259" w:rsidP="00F63AD9">
      <w:pPr>
        <w:pStyle w:val="BodyText2"/>
        <w:jc w:val="both"/>
        <w:rPr>
          <w:lang w:val="en-GB"/>
        </w:rPr>
      </w:pPr>
      <w:r w:rsidRPr="00D9600A">
        <w:rPr>
          <w:lang w:val="en-GB"/>
        </w:rPr>
        <w:t xml:space="preserve">Even if a significant stress generation in Fennoscandia clearly relates to the postglacial uplift centred in the Bothnian Bay, at a current rate of about 9 mm/year, it is also clear that most of this stress is released </w:t>
      </w:r>
      <w:proofErr w:type="spellStart"/>
      <w:r w:rsidRPr="00D9600A">
        <w:rPr>
          <w:lang w:val="en-GB"/>
        </w:rPr>
        <w:t>aseismically</w:t>
      </w:r>
      <w:proofErr w:type="spellEnd"/>
      <w:r w:rsidRPr="00D9600A">
        <w:rPr>
          <w:lang w:val="en-GB"/>
        </w:rPr>
        <w:t xml:space="preserve"> (</w:t>
      </w:r>
      <w:proofErr w:type="spellStart"/>
      <w:r w:rsidRPr="00D9600A">
        <w:rPr>
          <w:lang w:val="en-GB"/>
        </w:rPr>
        <w:t>Slunga</w:t>
      </w:r>
      <w:proofErr w:type="spellEnd"/>
      <w:r w:rsidRPr="00D9600A">
        <w:rPr>
          <w:lang w:val="en-GB"/>
        </w:rPr>
        <w:t xml:space="preserve"> 1991).</w:t>
      </w:r>
      <w:r w:rsidR="008E1416" w:rsidRPr="00D9600A">
        <w:rPr>
          <w:sz w:val="23"/>
          <w:lang w:val="en-GB"/>
        </w:rPr>
        <w:t xml:space="preserve"> </w:t>
      </w:r>
      <w:r w:rsidR="00541162" w:rsidRPr="00D9600A">
        <w:rPr>
          <w:sz w:val="23"/>
          <w:lang w:val="en-GB"/>
        </w:rPr>
        <w:t xml:space="preserve"> </w:t>
      </w:r>
    </w:p>
    <w:p w14:paraId="3AAC9910" w14:textId="77777777" w:rsidR="00171259" w:rsidRPr="00D9600A" w:rsidRDefault="00171259" w:rsidP="00171259">
      <w:pPr>
        <w:jc w:val="center"/>
        <w:rPr>
          <w:sz w:val="23"/>
          <w:lang w:val="en-GB"/>
        </w:rPr>
      </w:pPr>
      <w:r w:rsidRPr="00D9600A">
        <w:rPr>
          <w:noProof/>
          <w:sz w:val="23"/>
          <w:lang w:val="en-GB"/>
        </w:rPr>
        <w:drawing>
          <wp:inline distT="0" distB="0" distL="0" distR="0" wp14:anchorId="7ACDD9F9" wp14:editId="18AFCDFE">
            <wp:extent cx="4247731" cy="2684750"/>
            <wp:effectExtent l="0" t="0" r="635" b="1905"/>
            <wp:docPr id="1627014955" name="Picture 6" descr="A diagram of stress-free str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014955" name="Picture 6" descr="A diagram of stress-free stress&#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90980" cy="2712085"/>
                    </a:xfrm>
                    <a:prstGeom prst="rect">
                      <a:avLst/>
                    </a:prstGeom>
                    <a:noFill/>
                    <a:ln>
                      <a:noFill/>
                    </a:ln>
                  </pic:spPr>
                </pic:pic>
              </a:graphicData>
            </a:graphic>
          </wp:inline>
        </w:drawing>
      </w:r>
    </w:p>
    <w:p w14:paraId="0A78E12B" w14:textId="43209787" w:rsidR="00171259" w:rsidRPr="00D9600A" w:rsidRDefault="00171259" w:rsidP="00171259">
      <w:pPr>
        <w:pStyle w:val="FigureCaption"/>
        <w:rPr>
          <w:lang w:val="en-GB"/>
        </w:rPr>
      </w:pPr>
      <w:r w:rsidRPr="00D9600A">
        <w:rPr>
          <w:lang w:val="en-GB"/>
        </w:rPr>
        <w:t>Fig. 3. Schematic presentation of the stress field components contributing to the present-day stress regime on the Nordland margin, applicable for most of mainland Norway (Gradmann et al. 2018).</w:t>
      </w:r>
    </w:p>
    <w:p w14:paraId="6E67D1B0" w14:textId="22C62FB8" w:rsidR="00E8411B" w:rsidRPr="00D9600A" w:rsidRDefault="00E8411B" w:rsidP="00F63AD9">
      <w:pPr>
        <w:pStyle w:val="BodyText2"/>
        <w:jc w:val="both"/>
        <w:rPr>
          <w:lang w:val="en-GB"/>
        </w:rPr>
      </w:pPr>
      <w:r w:rsidRPr="00D9600A">
        <w:rPr>
          <w:lang w:val="en-GB"/>
        </w:rPr>
        <w:t xml:space="preserve">While shear stress is a requirement for earthquake occurrence it is also clear that the deviatoric stresses in Norwegian regions are relatively small (Fejerskov and Lindholm, 2000; Pascal and </w:t>
      </w:r>
      <w:proofErr w:type="spellStart"/>
      <w:r w:rsidRPr="00D9600A">
        <w:rPr>
          <w:lang w:val="en-GB"/>
        </w:rPr>
        <w:t>Cloetingh</w:t>
      </w:r>
      <w:proofErr w:type="spellEnd"/>
      <w:r w:rsidRPr="00D9600A">
        <w:rPr>
          <w:lang w:val="en-GB"/>
        </w:rPr>
        <w:t xml:space="preserve">, 2009), and a prerequisite for earthquake occurrence is therefore weakened/lubricated faults. That question, related to the presence and importance of crustal fluids for seismicity in Norway, </w:t>
      </w:r>
      <w:r w:rsidR="00E14CDE" w:rsidRPr="00D9600A">
        <w:rPr>
          <w:lang w:val="en-GB"/>
        </w:rPr>
        <w:t xml:space="preserve">has been </w:t>
      </w:r>
      <w:r w:rsidR="00E91D24" w:rsidRPr="00D9600A">
        <w:rPr>
          <w:lang w:val="en-GB"/>
        </w:rPr>
        <w:t>addressed</w:t>
      </w:r>
      <w:r w:rsidR="004B1F09" w:rsidRPr="00D9600A">
        <w:rPr>
          <w:lang w:val="en-GB"/>
        </w:rPr>
        <w:t xml:space="preserve"> by many authors (Fjeldskaar et al. 2000)</w:t>
      </w:r>
      <w:r w:rsidR="00E91D24" w:rsidRPr="00D9600A">
        <w:rPr>
          <w:lang w:val="en-GB"/>
        </w:rPr>
        <w:t>, and</w:t>
      </w:r>
      <w:r w:rsidRPr="00D9600A">
        <w:rPr>
          <w:lang w:val="en-GB"/>
        </w:rPr>
        <w:t xml:space="preserve"> </w:t>
      </w:r>
      <w:r w:rsidR="00693A12" w:rsidRPr="00D9600A">
        <w:rPr>
          <w:lang w:val="en-GB"/>
        </w:rPr>
        <w:t>indicators of the importance of lubricated faults are found also in the many earthquake swarms</w:t>
      </w:r>
      <w:r w:rsidRPr="00D9600A">
        <w:rPr>
          <w:lang w:val="en-GB"/>
        </w:rPr>
        <w:t xml:space="preserve"> </w:t>
      </w:r>
      <w:r w:rsidR="00693A12" w:rsidRPr="00D9600A">
        <w:rPr>
          <w:lang w:val="en-GB"/>
        </w:rPr>
        <w:t>in Nordland</w:t>
      </w:r>
      <w:r w:rsidR="00CA2A62" w:rsidRPr="00D9600A">
        <w:rPr>
          <w:lang w:val="en-GB"/>
        </w:rPr>
        <w:t xml:space="preserve">, </w:t>
      </w:r>
      <w:r w:rsidR="00CA2C6D" w:rsidRPr="00D9600A">
        <w:rPr>
          <w:lang w:val="en-GB"/>
        </w:rPr>
        <w:t>where</w:t>
      </w:r>
      <w:r w:rsidR="00CA2A62" w:rsidRPr="00D9600A">
        <w:rPr>
          <w:lang w:val="en-GB"/>
        </w:rPr>
        <w:t xml:space="preserve"> </w:t>
      </w:r>
      <w:r w:rsidR="00541162" w:rsidRPr="00D9600A">
        <w:rPr>
          <w:lang w:val="en-GB"/>
        </w:rPr>
        <w:t>the possible relation</w:t>
      </w:r>
      <w:r w:rsidRPr="00D9600A">
        <w:rPr>
          <w:lang w:val="en-GB"/>
        </w:rPr>
        <w:t xml:space="preserve"> between intensity of snowmelt and seismicity </w:t>
      </w:r>
      <w:r w:rsidR="00CA2C6D" w:rsidRPr="00D9600A">
        <w:rPr>
          <w:lang w:val="en-GB"/>
        </w:rPr>
        <w:t xml:space="preserve">is </w:t>
      </w:r>
      <w:r w:rsidR="00541162" w:rsidRPr="00D9600A">
        <w:rPr>
          <w:lang w:val="en-GB"/>
        </w:rPr>
        <w:t xml:space="preserve">still unresolved </w:t>
      </w:r>
      <w:r w:rsidRPr="00D9600A">
        <w:rPr>
          <w:lang w:val="en-GB"/>
        </w:rPr>
        <w:t>(Bungum et al. 1979; Atakan et al. 1994</w:t>
      </w:r>
      <w:r w:rsidR="008D1D50" w:rsidRPr="00D9600A">
        <w:rPr>
          <w:lang w:val="en-GB"/>
        </w:rPr>
        <w:t xml:space="preserve">; </w:t>
      </w:r>
      <w:r w:rsidR="009C41D3" w:rsidRPr="00D9600A">
        <w:rPr>
          <w:lang w:val="en-GB"/>
        </w:rPr>
        <w:t>v</w:t>
      </w:r>
      <w:r w:rsidR="00091C75" w:rsidRPr="00D9600A">
        <w:rPr>
          <w:lang w:val="en-GB"/>
        </w:rPr>
        <w:t xml:space="preserve">an </w:t>
      </w:r>
      <w:proofErr w:type="spellStart"/>
      <w:r w:rsidR="008D1D50" w:rsidRPr="00D9600A">
        <w:rPr>
          <w:lang w:val="en-GB"/>
        </w:rPr>
        <w:t>Laaten</w:t>
      </w:r>
      <w:proofErr w:type="spellEnd"/>
      <w:r w:rsidR="008D1D50" w:rsidRPr="00D9600A">
        <w:rPr>
          <w:lang w:val="en-GB"/>
        </w:rPr>
        <w:t xml:space="preserve"> et al. 2023</w:t>
      </w:r>
      <w:r w:rsidR="008009FA" w:rsidRPr="00D9600A">
        <w:rPr>
          <w:lang w:val="en-GB"/>
        </w:rPr>
        <w:t>; Ueda et al. 2024</w:t>
      </w:r>
      <w:r w:rsidRPr="00D9600A">
        <w:rPr>
          <w:lang w:val="en-GB"/>
        </w:rPr>
        <w:t xml:space="preserve">). </w:t>
      </w:r>
    </w:p>
    <w:p w14:paraId="24DF1568" w14:textId="77777777" w:rsidR="00D26004" w:rsidRPr="00D9600A" w:rsidRDefault="00D26004" w:rsidP="00D26004">
      <w:pPr>
        <w:pStyle w:val="BodyText2"/>
        <w:ind w:firstLine="709"/>
        <w:jc w:val="center"/>
        <w:rPr>
          <w:lang w:val="en-GB"/>
        </w:rPr>
      </w:pPr>
      <w:r w:rsidRPr="00D9600A">
        <w:rPr>
          <w:rFonts w:ascii="Calibri" w:hAnsi="Calibri"/>
          <w:noProof/>
          <w:szCs w:val="22"/>
          <w:lang w:val="en-GB"/>
        </w:rPr>
        <w:lastRenderedPageBreak/>
        <w:drawing>
          <wp:inline distT="0" distB="0" distL="0" distR="0" wp14:anchorId="309CD77C" wp14:editId="0C036E17">
            <wp:extent cx="2898000" cy="2988000"/>
            <wp:effectExtent l="0" t="0" r="0" b="3175"/>
            <wp:docPr id="16072017" name="Picture 160720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98000" cy="2988000"/>
                    </a:xfrm>
                    <a:prstGeom prst="rect">
                      <a:avLst/>
                    </a:prstGeom>
                    <a:noFill/>
                    <a:ln>
                      <a:noFill/>
                    </a:ln>
                  </pic:spPr>
                </pic:pic>
              </a:graphicData>
            </a:graphic>
          </wp:inline>
        </w:drawing>
      </w:r>
    </w:p>
    <w:p w14:paraId="1D44F44D" w14:textId="227ACFD1" w:rsidR="00D26004" w:rsidRPr="00D9600A" w:rsidRDefault="00D26004" w:rsidP="00D26004">
      <w:pPr>
        <w:pStyle w:val="FigureCaption"/>
        <w:jc w:val="both"/>
        <w:rPr>
          <w:lang w:val="en-GB"/>
        </w:rPr>
      </w:pPr>
      <w:r w:rsidRPr="00D9600A">
        <w:rPr>
          <w:lang w:val="en-GB"/>
        </w:rPr>
        <w:t>Fig</w:t>
      </w:r>
      <w:r w:rsidR="008009FA" w:rsidRPr="00D9600A">
        <w:rPr>
          <w:lang w:val="en-GB"/>
        </w:rPr>
        <w:t>.</w:t>
      </w:r>
      <w:r w:rsidRPr="00D9600A">
        <w:rPr>
          <w:lang w:val="en-GB"/>
        </w:rPr>
        <w:t xml:space="preserve"> 4. Current stress trajectories </w:t>
      </w:r>
      <w:r w:rsidR="007B501E" w:rsidRPr="00D9600A">
        <w:rPr>
          <w:lang w:val="en-GB"/>
        </w:rPr>
        <w:t xml:space="preserve">based on earthquake focal mechanisms and borehole breakouts </w:t>
      </w:r>
      <w:r w:rsidRPr="00D9600A">
        <w:rPr>
          <w:lang w:val="en-GB"/>
        </w:rPr>
        <w:t>plotted with rose diagrams from regionally clustered earthquake focal mechanisms and in-situ measurements in offshore boreholes</w:t>
      </w:r>
      <w:r w:rsidR="00ED1181" w:rsidRPr="00D9600A">
        <w:rPr>
          <w:lang w:val="en-GB"/>
        </w:rPr>
        <w:t xml:space="preserve"> (</w:t>
      </w:r>
      <w:r w:rsidRPr="00D9600A">
        <w:rPr>
          <w:lang w:val="en-GB"/>
        </w:rPr>
        <w:t>Lindholm et al.</w:t>
      </w:r>
      <w:r w:rsidR="00ED1181" w:rsidRPr="00D9600A">
        <w:rPr>
          <w:lang w:val="en-GB"/>
        </w:rPr>
        <w:t xml:space="preserve"> </w:t>
      </w:r>
      <w:r w:rsidRPr="00D9600A">
        <w:rPr>
          <w:lang w:val="en-GB"/>
        </w:rPr>
        <w:t>2000).</w:t>
      </w:r>
    </w:p>
    <w:p w14:paraId="11F59354" w14:textId="635A5D4C" w:rsidR="00336BC2" w:rsidRPr="00D9600A" w:rsidRDefault="00CC7737" w:rsidP="00F63AD9">
      <w:pPr>
        <w:pStyle w:val="BodyText2"/>
        <w:jc w:val="both"/>
        <w:rPr>
          <w:lang w:val="en-GB"/>
        </w:rPr>
      </w:pPr>
      <w:r w:rsidRPr="00D9600A">
        <w:rPr>
          <w:lang w:val="en-GB"/>
        </w:rPr>
        <w:t xml:space="preserve">How closely related </w:t>
      </w:r>
      <w:r w:rsidR="002A7F6D" w:rsidRPr="00D9600A">
        <w:rPr>
          <w:lang w:val="en-GB"/>
        </w:rPr>
        <w:t xml:space="preserve">is the observed seismicity to the stress field? </w:t>
      </w:r>
      <w:r w:rsidRPr="00D9600A">
        <w:rPr>
          <w:lang w:val="en-GB"/>
        </w:rPr>
        <w:t>For</w:t>
      </w:r>
      <w:r w:rsidR="00D26004" w:rsidRPr="00D9600A">
        <w:rPr>
          <w:lang w:val="en-GB"/>
        </w:rPr>
        <w:t xml:space="preserve"> the last two decades there has been a close cooperation </w:t>
      </w:r>
      <w:r w:rsidR="00CC0264" w:rsidRPr="00D9600A">
        <w:rPr>
          <w:lang w:val="en-GB"/>
        </w:rPr>
        <w:t>around this question</w:t>
      </w:r>
      <w:r w:rsidR="00D26004" w:rsidRPr="00D9600A">
        <w:rPr>
          <w:lang w:val="en-GB"/>
        </w:rPr>
        <w:t xml:space="preserve"> between NORSAR and the national geologic (NGU) and geodetic (SK) surveys</w:t>
      </w:r>
      <w:r w:rsidR="00DB4D7C" w:rsidRPr="00D9600A">
        <w:rPr>
          <w:lang w:val="en-GB"/>
        </w:rPr>
        <w:t>, with</w:t>
      </w:r>
      <w:r w:rsidR="009A2E0C" w:rsidRPr="00D9600A">
        <w:rPr>
          <w:lang w:val="en-GB"/>
        </w:rPr>
        <w:t xml:space="preserve"> </w:t>
      </w:r>
      <w:r w:rsidR="00336BC2" w:rsidRPr="00D9600A">
        <w:rPr>
          <w:lang w:val="en-GB"/>
        </w:rPr>
        <w:t xml:space="preserve">results documented in </w:t>
      </w:r>
      <w:proofErr w:type="spellStart"/>
      <w:r w:rsidR="00336BC2" w:rsidRPr="00D9600A">
        <w:rPr>
          <w:lang w:val="en-GB"/>
        </w:rPr>
        <w:t>Dehls</w:t>
      </w:r>
      <w:proofErr w:type="spellEnd"/>
      <w:r w:rsidR="00336BC2" w:rsidRPr="00D9600A">
        <w:rPr>
          <w:lang w:val="en-GB"/>
        </w:rPr>
        <w:t xml:space="preserve"> et al. </w:t>
      </w:r>
      <w:r w:rsidR="00336BC2" w:rsidRPr="006F0927">
        <w:rPr>
          <w:lang w:val="nb-NO"/>
        </w:rPr>
        <w:t>(2000), Kierulf et al. (2014), Keiding et al. (2015), Janutyte and Lindholm (2017)</w:t>
      </w:r>
      <w:r w:rsidR="0082201E" w:rsidRPr="006F0927">
        <w:rPr>
          <w:lang w:val="nb-NO"/>
        </w:rPr>
        <w:t>,</w:t>
      </w:r>
      <w:r w:rsidR="00336BC2" w:rsidRPr="006F0927">
        <w:rPr>
          <w:lang w:val="nb-NO"/>
        </w:rPr>
        <w:t xml:space="preserve"> Janutyte et al. </w:t>
      </w:r>
      <w:r w:rsidR="0082201E" w:rsidRPr="00D9600A">
        <w:rPr>
          <w:lang w:val="en-GB"/>
        </w:rPr>
        <w:t>(</w:t>
      </w:r>
      <w:r w:rsidR="00336BC2" w:rsidRPr="00D9600A">
        <w:rPr>
          <w:lang w:val="en-GB"/>
        </w:rPr>
        <w:t>2017</w:t>
      </w:r>
      <w:r w:rsidR="0082201E" w:rsidRPr="00D9600A">
        <w:rPr>
          <w:lang w:val="en-GB"/>
        </w:rPr>
        <w:t xml:space="preserve">) and </w:t>
      </w:r>
      <w:r w:rsidR="00336BC2" w:rsidRPr="00D9600A">
        <w:rPr>
          <w:lang w:val="en-GB"/>
        </w:rPr>
        <w:t xml:space="preserve">Olesen et al. </w:t>
      </w:r>
      <w:r w:rsidR="0082201E" w:rsidRPr="00D9600A">
        <w:rPr>
          <w:lang w:val="en-GB"/>
        </w:rPr>
        <w:t>(</w:t>
      </w:r>
      <w:r w:rsidR="00336BC2" w:rsidRPr="00D9600A">
        <w:rPr>
          <w:lang w:val="en-GB"/>
        </w:rPr>
        <w:t>2018).</w:t>
      </w:r>
    </w:p>
    <w:p w14:paraId="31192CBA" w14:textId="4D990E53" w:rsidR="00171259" w:rsidRPr="00D9600A" w:rsidRDefault="00E54148" w:rsidP="00F63AD9">
      <w:pPr>
        <w:pStyle w:val="Heading2"/>
        <w:jc w:val="both"/>
      </w:pPr>
      <w:r w:rsidRPr="00D9600A">
        <w:t>Post-glacial earthquakes</w:t>
      </w:r>
    </w:p>
    <w:p w14:paraId="446FAC01" w14:textId="6B961648" w:rsidR="00CA0240" w:rsidRPr="00D9600A" w:rsidRDefault="00E54148" w:rsidP="00F63AD9">
      <w:pPr>
        <w:pStyle w:val="BodyText2"/>
        <w:ind w:firstLine="0"/>
        <w:jc w:val="both"/>
        <w:rPr>
          <w:lang w:val="en-GB"/>
        </w:rPr>
      </w:pPr>
      <w:r w:rsidRPr="00D9600A">
        <w:rPr>
          <w:lang w:val="en-GB"/>
        </w:rPr>
        <w:t>T</w:t>
      </w:r>
      <w:r w:rsidR="001C4BAE" w:rsidRPr="00D9600A">
        <w:rPr>
          <w:lang w:val="en-GB"/>
        </w:rPr>
        <w:t xml:space="preserve">he burst of large-magnitude paleoseismic events </w:t>
      </w:r>
      <w:r w:rsidR="00CA0240" w:rsidRPr="00D9600A">
        <w:rPr>
          <w:lang w:val="en-GB"/>
        </w:rPr>
        <w:t xml:space="preserve">in Fennoscandia </w:t>
      </w:r>
      <w:r w:rsidR="001C4BAE" w:rsidRPr="00D9600A">
        <w:rPr>
          <w:lang w:val="en-GB"/>
        </w:rPr>
        <w:t xml:space="preserve">following the deglaciation in Holocene </w:t>
      </w:r>
      <w:r w:rsidR="005B4813" w:rsidRPr="00D9600A">
        <w:rPr>
          <w:lang w:val="en-GB"/>
        </w:rPr>
        <w:t xml:space="preserve">(see Fig. 2) </w:t>
      </w:r>
      <w:r w:rsidR="001C4BAE" w:rsidRPr="00D9600A">
        <w:rPr>
          <w:lang w:val="en-GB"/>
        </w:rPr>
        <w:t>represents a</w:t>
      </w:r>
      <w:r w:rsidR="00254D13" w:rsidRPr="00D9600A">
        <w:rPr>
          <w:lang w:val="en-GB"/>
        </w:rPr>
        <w:t>n important</w:t>
      </w:r>
      <w:r w:rsidR="00171259" w:rsidRPr="00D9600A">
        <w:rPr>
          <w:lang w:val="en-GB"/>
        </w:rPr>
        <w:t xml:space="preserve"> </w:t>
      </w:r>
      <w:r w:rsidR="00D11E83" w:rsidRPr="00D9600A">
        <w:rPr>
          <w:lang w:val="en-GB"/>
        </w:rPr>
        <w:t>background</w:t>
      </w:r>
      <w:r w:rsidR="00171259" w:rsidRPr="00D9600A">
        <w:rPr>
          <w:lang w:val="en-GB"/>
        </w:rPr>
        <w:t xml:space="preserve"> </w:t>
      </w:r>
      <w:r w:rsidR="001C4BAE" w:rsidRPr="00D9600A">
        <w:rPr>
          <w:lang w:val="en-GB"/>
        </w:rPr>
        <w:t>for</w:t>
      </w:r>
      <w:r w:rsidR="00171259" w:rsidRPr="00D9600A">
        <w:rPr>
          <w:lang w:val="en-GB"/>
        </w:rPr>
        <w:t xml:space="preserve"> </w:t>
      </w:r>
      <w:r w:rsidR="008C3AAF" w:rsidRPr="00D9600A">
        <w:rPr>
          <w:lang w:val="en-GB"/>
        </w:rPr>
        <w:t xml:space="preserve">the recurrence of </w:t>
      </w:r>
      <w:r w:rsidR="00171259" w:rsidRPr="00D9600A">
        <w:rPr>
          <w:lang w:val="en-GB"/>
        </w:rPr>
        <w:t>large</w:t>
      </w:r>
      <w:r w:rsidR="008C3AAF" w:rsidRPr="00D9600A">
        <w:rPr>
          <w:lang w:val="en-GB"/>
        </w:rPr>
        <w:t xml:space="preserve"> </w:t>
      </w:r>
      <w:r w:rsidR="00171259" w:rsidRPr="00D9600A">
        <w:rPr>
          <w:lang w:val="en-GB"/>
        </w:rPr>
        <w:t>earthquake</w:t>
      </w:r>
      <w:r w:rsidR="008C3AAF" w:rsidRPr="00D9600A">
        <w:rPr>
          <w:lang w:val="en-GB"/>
        </w:rPr>
        <w:t>s</w:t>
      </w:r>
      <w:r w:rsidR="00254D13" w:rsidRPr="00D9600A">
        <w:rPr>
          <w:lang w:val="en-GB"/>
        </w:rPr>
        <w:t xml:space="preserve"> in Fennoscandia also toda</w:t>
      </w:r>
      <w:r w:rsidR="00760670" w:rsidRPr="00D9600A">
        <w:rPr>
          <w:lang w:val="en-GB"/>
        </w:rPr>
        <w:t>y</w:t>
      </w:r>
      <w:r w:rsidR="00171259" w:rsidRPr="00D9600A">
        <w:rPr>
          <w:lang w:val="en-GB"/>
        </w:rPr>
        <w:t xml:space="preserve">, as recently summarized and discussed in detail by Eldholm </w:t>
      </w:r>
      <w:r w:rsidR="00DC1BA0" w:rsidRPr="00D9600A">
        <w:rPr>
          <w:lang w:val="en-GB"/>
        </w:rPr>
        <w:t xml:space="preserve">and </w:t>
      </w:r>
      <w:r w:rsidR="00171259" w:rsidRPr="00D9600A">
        <w:rPr>
          <w:lang w:val="en-GB"/>
        </w:rPr>
        <w:t xml:space="preserve">Bungum (2021) and Bungum </w:t>
      </w:r>
      <w:r w:rsidR="00DC1BA0" w:rsidRPr="00D9600A">
        <w:rPr>
          <w:lang w:val="en-GB"/>
        </w:rPr>
        <w:t xml:space="preserve">and </w:t>
      </w:r>
      <w:r w:rsidR="00171259" w:rsidRPr="00D9600A">
        <w:rPr>
          <w:lang w:val="en-GB"/>
        </w:rPr>
        <w:t xml:space="preserve">Eldholm (2022). What was found there was that a much larger region than previously assumed has been subjected to </w:t>
      </w:r>
      <w:r w:rsidR="008C3AAF" w:rsidRPr="00D9600A">
        <w:rPr>
          <w:lang w:val="en-GB"/>
        </w:rPr>
        <w:t>the</w:t>
      </w:r>
      <w:r w:rsidR="00CA0240" w:rsidRPr="00D9600A">
        <w:rPr>
          <w:lang w:val="en-GB"/>
        </w:rPr>
        <w:t>se</w:t>
      </w:r>
      <w:r w:rsidR="008C3AAF" w:rsidRPr="00D9600A">
        <w:rPr>
          <w:lang w:val="en-GB"/>
        </w:rPr>
        <w:t xml:space="preserve"> </w:t>
      </w:r>
      <w:r w:rsidR="00171259" w:rsidRPr="00D9600A">
        <w:rPr>
          <w:lang w:val="en-GB"/>
        </w:rPr>
        <w:t xml:space="preserve">spectacular events. </w:t>
      </w:r>
      <w:r w:rsidR="00D1298C" w:rsidRPr="00D9600A">
        <w:rPr>
          <w:lang w:val="en-GB"/>
        </w:rPr>
        <w:t xml:space="preserve">Both the </w:t>
      </w:r>
      <w:proofErr w:type="spellStart"/>
      <w:r w:rsidR="00D1298C" w:rsidRPr="00D9600A">
        <w:rPr>
          <w:lang w:val="en-GB"/>
        </w:rPr>
        <w:t>Stuoragurra</w:t>
      </w:r>
      <w:proofErr w:type="spellEnd"/>
      <w:r w:rsidR="00D1298C" w:rsidRPr="00D9600A">
        <w:rPr>
          <w:lang w:val="en-GB"/>
        </w:rPr>
        <w:t xml:space="preserve"> and the </w:t>
      </w:r>
      <w:proofErr w:type="spellStart"/>
      <w:r w:rsidR="00D1298C" w:rsidRPr="00D9600A">
        <w:rPr>
          <w:lang w:val="en-GB"/>
        </w:rPr>
        <w:t>Pärve</w:t>
      </w:r>
      <w:proofErr w:type="spellEnd"/>
      <w:r w:rsidR="00D1298C" w:rsidRPr="00D9600A">
        <w:rPr>
          <w:lang w:val="en-GB"/>
        </w:rPr>
        <w:t xml:space="preserve"> fault</w:t>
      </w:r>
      <w:r w:rsidR="00331FC1" w:rsidRPr="00D9600A">
        <w:rPr>
          <w:lang w:val="en-GB"/>
        </w:rPr>
        <w:t xml:space="preserve"> in Sweden have been the sites of Holocene 7+ magnitude earthquakes</w:t>
      </w:r>
      <w:r w:rsidR="009E5159" w:rsidRPr="00D9600A">
        <w:rPr>
          <w:lang w:val="en-GB"/>
        </w:rPr>
        <w:t>, h</w:t>
      </w:r>
      <w:r w:rsidR="00171259" w:rsidRPr="00D9600A">
        <w:rPr>
          <w:lang w:val="en-GB"/>
        </w:rPr>
        <w:t xml:space="preserve">owever, an important qualification was noted by Bungum et al. (2005), who found that earthquakes up to M7 could have occurred </w:t>
      </w:r>
      <w:r w:rsidR="009E5159" w:rsidRPr="00D9600A">
        <w:rPr>
          <w:lang w:val="en-GB"/>
        </w:rPr>
        <w:t xml:space="preserve">also </w:t>
      </w:r>
      <w:r w:rsidR="00171259" w:rsidRPr="00D9600A">
        <w:rPr>
          <w:lang w:val="en-GB"/>
        </w:rPr>
        <w:t xml:space="preserve">in Norwegian offshore regions without breaking the surface. </w:t>
      </w:r>
    </w:p>
    <w:p w14:paraId="64E975EE" w14:textId="275B1696" w:rsidR="00171259" w:rsidRPr="00D9600A" w:rsidRDefault="00171259" w:rsidP="00F63AD9">
      <w:pPr>
        <w:pStyle w:val="BodyText2"/>
        <w:jc w:val="both"/>
        <w:rPr>
          <w:lang w:val="en-GB"/>
        </w:rPr>
      </w:pPr>
      <w:r w:rsidRPr="00D9600A">
        <w:rPr>
          <w:lang w:val="en-GB"/>
        </w:rPr>
        <w:t>Another important unresolved question is to which extent the present seismicity is still driven by postglacial rebound, where Bungum et al. (2010) concluded that such influence is likely to be small. Finally</w:t>
      </w:r>
      <w:r w:rsidR="00AC0805" w:rsidRPr="00D9600A">
        <w:rPr>
          <w:lang w:val="en-GB"/>
        </w:rPr>
        <w:t>,</w:t>
      </w:r>
      <w:r w:rsidRPr="00D9600A">
        <w:rPr>
          <w:lang w:val="en-GB"/>
        </w:rPr>
        <w:t xml:space="preserve"> Eldholm and Bungum (2021) found that a lot of uncertainty still prevails around the dating of the postglacial events in Fennoscandia, but also that some of </w:t>
      </w:r>
      <w:r w:rsidR="007134C5" w:rsidRPr="00D9600A">
        <w:rPr>
          <w:lang w:val="en-GB"/>
        </w:rPr>
        <w:t>the assumed</w:t>
      </w:r>
      <w:r w:rsidRPr="00D9600A">
        <w:rPr>
          <w:lang w:val="en-GB"/>
        </w:rPr>
        <w:t xml:space="preserve"> dates </w:t>
      </w:r>
      <w:r w:rsidR="007134C5" w:rsidRPr="00D9600A">
        <w:rPr>
          <w:lang w:val="en-GB"/>
        </w:rPr>
        <w:t>could be</w:t>
      </w:r>
      <w:r w:rsidRPr="00D9600A">
        <w:rPr>
          <w:lang w:val="en-GB"/>
        </w:rPr>
        <w:t xml:space="preserve"> much younger that previously assumed. A noteworthy case here is the Stuoragurra Fault Complex in Northern Norway where the latest trenching results from NGU (Olsen et al., 2022; Olsen </w:t>
      </w:r>
      <w:r w:rsidR="00E83542" w:rsidRPr="00D9600A">
        <w:rPr>
          <w:lang w:val="en-GB"/>
        </w:rPr>
        <w:t xml:space="preserve">and </w:t>
      </w:r>
      <w:r w:rsidRPr="00D9600A">
        <w:rPr>
          <w:lang w:val="en-GB"/>
        </w:rPr>
        <w:t xml:space="preserve">Olesen 2023) indicate increasingly younger dates, now as recent as 300-500 years ago and with M&gt;6.5. If these results can be supported and corroborated through further </w:t>
      </w:r>
      <w:r w:rsidR="00CA0240" w:rsidRPr="00D9600A">
        <w:rPr>
          <w:lang w:val="en-GB"/>
        </w:rPr>
        <w:t>studies,</w:t>
      </w:r>
      <w:r w:rsidRPr="00D9600A">
        <w:rPr>
          <w:lang w:val="en-GB"/>
        </w:rPr>
        <w:t xml:space="preserve"> it may be necessary to revisit our present understanding of the seismicity of Fennoscandia.</w:t>
      </w:r>
    </w:p>
    <w:p w14:paraId="5C070465" w14:textId="6C7E5254" w:rsidR="0001210F" w:rsidRPr="00D9600A" w:rsidRDefault="0001210F" w:rsidP="00F63AD9">
      <w:pPr>
        <w:pStyle w:val="Heading2"/>
        <w:jc w:val="both"/>
      </w:pPr>
      <w:r w:rsidRPr="00D9600A">
        <w:lastRenderedPageBreak/>
        <w:t>T</w:t>
      </w:r>
      <w:r w:rsidR="00DB4D7C" w:rsidRPr="00D9600A">
        <w:t>he</w:t>
      </w:r>
      <w:r w:rsidRPr="00D9600A">
        <w:t xml:space="preserve"> </w:t>
      </w:r>
      <w:r w:rsidR="001520AD" w:rsidRPr="00D9600A">
        <w:t>Svalbard</w:t>
      </w:r>
      <w:r w:rsidR="00DB4D7C" w:rsidRPr="00D9600A">
        <w:t xml:space="preserve"> archipelago</w:t>
      </w:r>
    </w:p>
    <w:p w14:paraId="7A7493DA" w14:textId="50428CDF" w:rsidR="00E54148" w:rsidRPr="00D9600A" w:rsidRDefault="00E54148" w:rsidP="00F63AD9">
      <w:pPr>
        <w:pStyle w:val="BodyText1"/>
        <w:jc w:val="both"/>
        <w:rPr>
          <w:lang w:val="en-GB"/>
        </w:rPr>
      </w:pPr>
      <w:r w:rsidRPr="00D9600A">
        <w:rPr>
          <w:lang w:val="en-GB"/>
        </w:rPr>
        <w:t>The earthquake record for the Svalbard archipelago is much shorter than for mainland Norway, and even today the number of seismic monitoring stations is sparse, in particular in the northern areas. Also the geological mapping was sparse until recently, and mainly focused on the coal mining on Spitsbergen. For the Svalbard archipelago the Storfjorden Fault zone and the Nordaustlandet in the north (Bungum et al.</w:t>
      </w:r>
      <w:r w:rsidR="00D202C9" w:rsidRPr="00D9600A">
        <w:rPr>
          <w:lang w:val="en-GB"/>
        </w:rPr>
        <w:t xml:space="preserve"> </w:t>
      </w:r>
      <w:r w:rsidRPr="00D9600A">
        <w:rPr>
          <w:lang w:val="en-GB"/>
        </w:rPr>
        <w:t>1982; Mitchell et al.</w:t>
      </w:r>
      <w:r w:rsidR="00D202C9" w:rsidRPr="00D9600A">
        <w:rPr>
          <w:lang w:val="en-GB"/>
        </w:rPr>
        <w:t xml:space="preserve"> </w:t>
      </w:r>
      <w:r w:rsidRPr="00D9600A">
        <w:rPr>
          <w:lang w:val="en-GB"/>
        </w:rPr>
        <w:t xml:space="preserve">1990; </w:t>
      </w:r>
      <w:proofErr w:type="spellStart"/>
      <w:r w:rsidRPr="00D9600A">
        <w:rPr>
          <w:lang w:val="en-GB"/>
        </w:rPr>
        <w:t>Pirli</w:t>
      </w:r>
      <w:proofErr w:type="spellEnd"/>
      <w:r w:rsidRPr="00D9600A">
        <w:rPr>
          <w:lang w:val="en-GB"/>
        </w:rPr>
        <w:t xml:space="preserve"> et al.</w:t>
      </w:r>
      <w:r w:rsidR="00D202C9" w:rsidRPr="00D9600A">
        <w:rPr>
          <w:lang w:val="en-GB"/>
        </w:rPr>
        <w:t xml:space="preserve"> </w:t>
      </w:r>
      <w:r w:rsidRPr="00D9600A">
        <w:rPr>
          <w:lang w:val="en-GB"/>
        </w:rPr>
        <w:t>2010; Dallmann</w:t>
      </w:r>
      <w:r w:rsidR="00D202C9" w:rsidRPr="00D9600A">
        <w:rPr>
          <w:lang w:val="en-GB"/>
        </w:rPr>
        <w:t xml:space="preserve"> </w:t>
      </w:r>
      <w:r w:rsidRPr="00D9600A">
        <w:rPr>
          <w:lang w:val="en-GB"/>
        </w:rPr>
        <w:t xml:space="preserve">2015) stands out through enhanced earthquake activity together with the Hopen activity. See Fig. 1 in the main document. The </w:t>
      </w:r>
      <w:proofErr w:type="spellStart"/>
      <w:r w:rsidRPr="00D9600A">
        <w:rPr>
          <w:lang w:val="en-GB"/>
        </w:rPr>
        <w:t>Knipovitch</w:t>
      </w:r>
      <w:proofErr w:type="spellEnd"/>
      <w:r w:rsidRPr="00D9600A">
        <w:rPr>
          <w:lang w:val="en-GB"/>
        </w:rPr>
        <w:t xml:space="preserve"> section of the mid-Atlantic spreading ridge is highly active, but largely confined west of the Svalbard shelf. The main structures of Svalbard are prominent, but with the Storfjorden exception, it is not easy to assign specific earthquakes or enhanced seismicity to these structures.</w:t>
      </w:r>
    </w:p>
    <w:p w14:paraId="26DF8B14" w14:textId="39E0A707" w:rsidR="009657EB" w:rsidRPr="00D9600A" w:rsidRDefault="009657EB" w:rsidP="00F63AD9">
      <w:pPr>
        <w:pStyle w:val="BodyText2"/>
        <w:jc w:val="both"/>
        <w:rPr>
          <w:lang w:val="en-GB"/>
        </w:rPr>
      </w:pPr>
      <w:r w:rsidRPr="00D9600A">
        <w:rPr>
          <w:lang w:val="en-GB"/>
        </w:rPr>
        <w:t xml:space="preserve">Two </w:t>
      </w:r>
      <w:r w:rsidR="00CA0240" w:rsidRPr="00D9600A">
        <w:rPr>
          <w:lang w:val="en-GB"/>
        </w:rPr>
        <w:t xml:space="preserve">area </w:t>
      </w:r>
      <w:r w:rsidRPr="00D9600A">
        <w:rPr>
          <w:lang w:val="en-GB"/>
        </w:rPr>
        <w:t>zonations</w:t>
      </w:r>
      <w:r w:rsidR="00CA0240" w:rsidRPr="00D9600A">
        <w:rPr>
          <w:lang w:val="en-GB"/>
        </w:rPr>
        <w:t>, as used for Norway,</w:t>
      </w:r>
      <w:r w:rsidRPr="00D9600A">
        <w:rPr>
          <w:lang w:val="en-GB"/>
        </w:rPr>
        <w:t xml:space="preserve"> </w:t>
      </w:r>
      <w:r w:rsidR="00964BB3" w:rsidRPr="00D9600A">
        <w:rPr>
          <w:lang w:val="en-GB"/>
        </w:rPr>
        <w:t xml:space="preserve">were established also for </w:t>
      </w:r>
      <w:r w:rsidRPr="00D9600A">
        <w:rPr>
          <w:lang w:val="en-GB"/>
        </w:rPr>
        <w:t>the Svalbard archipelag</w:t>
      </w:r>
      <w:r w:rsidR="00F44397" w:rsidRPr="00D9600A">
        <w:rPr>
          <w:lang w:val="en-GB"/>
        </w:rPr>
        <w:t xml:space="preserve">o and included in the computational model. </w:t>
      </w:r>
      <w:r w:rsidR="00370261" w:rsidRPr="00D9600A">
        <w:rPr>
          <w:lang w:val="en-GB"/>
        </w:rPr>
        <w:t>These are shown in</w:t>
      </w:r>
      <w:r w:rsidR="00F44397" w:rsidRPr="00D9600A">
        <w:rPr>
          <w:lang w:val="en-GB"/>
        </w:rPr>
        <w:t xml:space="preserve"> Fig. </w:t>
      </w:r>
      <w:r w:rsidR="00521D10" w:rsidRPr="00D9600A">
        <w:rPr>
          <w:lang w:val="en-GB"/>
        </w:rPr>
        <w:t>5</w:t>
      </w:r>
      <w:r w:rsidR="00F44397" w:rsidRPr="00D9600A">
        <w:rPr>
          <w:lang w:val="en-GB"/>
        </w:rPr>
        <w:t>.</w:t>
      </w:r>
    </w:p>
    <w:p w14:paraId="1466AB30" w14:textId="77777777" w:rsidR="001520AD" w:rsidRPr="00D9600A" w:rsidRDefault="001520AD" w:rsidP="001520AD">
      <w:pPr>
        <w:pStyle w:val="BodyText1"/>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8"/>
      </w:tblGrid>
      <w:tr w:rsidR="009657EB" w:rsidRPr="00D9600A" w14:paraId="79944FC2" w14:textId="77777777" w:rsidTr="00AE12C6">
        <w:tc>
          <w:tcPr>
            <w:tcW w:w="4529" w:type="dxa"/>
          </w:tcPr>
          <w:p w14:paraId="7D4C0111" w14:textId="1052604E" w:rsidR="009657EB" w:rsidRPr="00D9600A" w:rsidRDefault="002A000D" w:rsidP="00171259">
            <w:pPr>
              <w:pStyle w:val="BodyText2"/>
              <w:ind w:firstLine="0"/>
              <w:rPr>
                <w:lang w:val="en-GB"/>
              </w:rPr>
            </w:pPr>
            <w:r w:rsidRPr="00D9600A">
              <w:rPr>
                <w:noProof/>
                <w:lang w:val="en-GB"/>
              </w:rPr>
              <w:drawing>
                <wp:inline distT="0" distB="0" distL="0" distR="0" wp14:anchorId="43455D5D" wp14:editId="571B95CA">
                  <wp:extent cx="2734840" cy="3085790"/>
                  <wp:effectExtent l="0" t="0" r="8890" b="635"/>
                  <wp:docPr id="14832" name="Picture 14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3475" cy="3095533"/>
                          </a:xfrm>
                          <a:prstGeom prst="rect">
                            <a:avLst/>
                          </a:prstGeom>
                          <a:noFill/>
                          <a:ln>
                            <a:noFill/>
                          </a:ln>
                        </pic:spPr>
                      </pic:pic>
                    </a:graphicData>
                  </a:graphic>
                </wp:inline>
              </w:drawing>
            </w:r>
          </w:p>
        </w:tc>
        <w:tc>
          <w:tcPr>
            <w:tcW w:w="4533" w:type="dxa"/>
          </w:tcPr>
          <w:p w14:paraId="67D1E03C" w14:textId="02A4A02F" w:rsidR="009657EB" w:rsidRPr="00D9600A" w:rsidRDefault="003A7C54" w:rsidP="00171259">
            <w:pPr>
              <w:pStyle w:val="BodyText2"/>
              <w:ind w:firstLine="0"/>
              <w:rPr>
                <w:lang w:val="en-GB"/>
              </w:rPr>
            </w:pPr>
            <w:r w:rsidRPr="00D9600A">
              <w:rPr>
                <w:noProof/>
                <w:lang w:val="en-GB"/>
              </w:rPr>
              <w:drawing>
                <wp:inline distT="0" distB="0" distL="0" distR="0" wp14:anchorId="00A1E227" wp14:editId="5D6D92B0">
                  <wp:extent cx="2746933" cy="3099435"/>
                  <wp:effectExtent l="0" t="0" r="0" b="5715"/>
                  <wp:docPr id="14834" name="Picture 14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3039" cy="3106325"/>
                          </a:xfrm>
                          <a:prstGeom prst="rect">
                            <a:avLst/>
                          </a:prstGeom>
                          <a:noFill/>
                          <a:ln>
                            <a:noFill/>
                          </a:ln>
                        </pic:spPr>
                      </pic:pic>
                    </a:graphicData>
                  </a:graphic>
                </wp:inline>
              </w:drawing>
            </w:r>
          </w:p>
        </w:tc>
      </w:tr>
    </w:tbl>
    <w:p w14:paraId="629DD526" w14:textId="65D82917" w:rsidR="0001210F" w:rsidRPr="00D9600A" w:rsidRDefault="005C3532" w:rsidP="00657793">
      <w:pPr>
        <w:pStyle w:val="FigureCaption"/>
        <w:jc w:val="both"/>
        <w:rPr>
          <w:lang w:val="en-GB"/>
        </w:rPr>
      </w:pPr>
      <w:r w:rsidRPr="00D9600A">
        <w:rPr>
          <w:lang w:val="en-GB"/>
        </w:rPr>
        <w:t xml:space="preserve">Figure </w:t>
      </w:r>
      <w:r w:rsidR="00521D10" w:rsidRPr="00D9600A">
        <w:rPr>
          <w:lang w:val="en-GB"/>
        </w:rPr>
        <w:t>5</w:t>
      </w:r>
      <w:r w:rsidRPr="00D9600A">
        <w:rPr>
          <w:lang w:val="en-GB"/>
        </w:rPr>
        <w:t xml:space="preserve">. The two zonation models for the Svalbard archipelago and surroundings </w:t>
      </w:r>
      <w:r w:rsidR="00657793" w:rsidRPr="00D9600A">
        <w:rPr>
          <w:lang w:val="en-GB"/>
        </w:rPr>
        <w:t>used in the computational model.</w:t>
      </w:r>
    </w:p>
    <w:p w14:paraId="3D260D97" w14:textId="31C7435F" w:rsidR="005C3382" w:rsidRPr="00D9600A" w:rsidRDefault="00F97D98" w:rsidP="00F63AD9">
      <w:pPr>
        <w:pStyle w:val="Heading1"/>
        <w:jc w:val="both"/>
        <w:rPr>
          <w:lang w:val="en-GB"/>
        </w:rPr>
      </w:pPr>
      <w:r w:rsidRPr="00D9600A">
        <w:rPr>
          <w:lang w:val="en-GB"/>
        </w:rPr>
        <w:t>Vertical motion spectra</w:t>
      </w:r>
    </w:p>
    <w:p w14:paraId="23C812C6" w14:textId="0BCFCE40" w:rsidR="00B1582B" w:rsidRPr="00D9600A" w:rsidRDefault="00B1582B" w:rsidP="00F63AD9">
      <w:pPr>
        <w:pStyle w:val="BodyText1"/>
        <w:jc w:val="both"/>
        <w:rPr>
          <w:lang w:val="en-GB"/>
        </w:rPr>
      </w:pPr>
      <w:r w:rsidRPr="00D9600A">
        <w:rPr>
          <w:lang w:val="en-GB"/>
        </w:rPr>
        <w:t>Given that the selected GMPEs do not provide solutions for vertical motions, those can be assessed, if needed, only through the application of specific V/H relations. There are regulatory guidelines for this, but none that are directly applicable to our target region. An empirical V/H relation is available for Norway</w:t>
      </w:r>
      <w:r w:rsidR="00F06299" w:rsidRPr="00D9600A">
        <w:rPr>
          <w:lang w:val="en-GB"/>
        </w:rPr>
        <w:t xml:space="preserve"> (</w:t>
      </w:r>
      <w:r w:rsidRPr="00D9600A">
        <w:rPr>
          <w:lang w:val="en-GB"/>
        </w:rPr>
        <w:t>NORSAR and Risk Engineering</w:t>
      </w:r>
      <w:r w:rsidR="00563BC1" w:rsidRPr="00D9600A">
        <w:rPr>
          <w:lang w:val="en-GB"/>
        </w:rPr>
        <w:t xml:space="preserve"> </w:t>
      </w:r>
      <w:r w:rsidRPr="00D9600A">
        <w:rPr>
          <w:lang w:val="en-GB"/>
        </w:rPr>
        <w:t>1991)</w:t>
      </w:r>
      <w:r w:rsidR="00563BC1" w:rsidRPr="00D9600A">
        <w:rPr>
          <w:lang w:val="en-GB"/>
        </w:rPr>
        <w:t>,</w:t>
      </w:r>
      <w:r w:rsidR="00F06299" w:rsidRPr="00D9600A">
        <w:rPr>
          <w:lang w:val="en-GB"/>
        </w:rPr>
        <w:t xml:space="preserve"> however, </w:t>
      </w:r>
      <w:r w:rsidRPr="00D9600A">
        <w:rPr>
          <w:lang w:val="en-GB"/>
        </w:rPr>
        <w:t>based entirely on weak motions. Since an update of that study would be beyond the scope of this study we went instead for a review of published V/H relations, including GA11</w:t>
      </w:r>
      <w:r w:rsidR="00421D74" w:rsidRPr="00D9600A">
        <w:rPr>
          <w:lang w:val="en-GB"/>
        </w:rPr>
        <w:t xml:space="preserve"> (</w:t>
      </w:r>
      <w:proofErr w:type="spellStart"/>
      <w:r w:rsidR="00421D74" w:rsidRPr="00D9600A">
        <w:rPr>
          <w:lang w:val="en-GB"/>
        </w:rPr>
        <w:t>Gülerce</w:t>
      </w:r>
      <w:proofErr w:type="spellEnd"/>
      <w:r w:rsidR="00421D74" w:rsidRPr="00D9600A">
        <w:rPr>
          <w:lang w:val="en-GB"/>
        </w:rPr>
        <w:t xml:space="preserve"> and Abrahamson 2011</w:t>
      </w:r>
      <w:r w:rsidRPr="00D9600A">
        <w:rPr>
          <w:lang w:val="en-GB"/>
        </w:rPr>
        <w:t>), ASA14</w:t>
      </w:r>
      <w:r w:rsidR="00421D74" w:rsidRPr="00D9600A">
        <w:rPr>
          <w:lang w:val="en-GB"/>
        </w:rPr>
        <w:t xml:space="preserve"> (Akkar et al. 2014</w:t>
      </w:r>
      <w:r w:rsidRPr="00D9600A">
        <w:rPr>
          <w:lang w:val="en-GB"/>
        </w:rPr>
        <w:t>), and BAK11</w:t>
      </w:r>
      <w:r w:rsidR="00312D6B" w:rsidRPr="00D9600A">
        <w:rPr>
          <w:lang w:val="en-GB"/>
        </w:rPr>
        <w:t xml:space="preserve"> (Bommer et al. 2011</w:t>
      </w:r>
      <w:r w:rsidRPr="00D9600A">
        <w:rPr>
          <w:lang w:val="en-GB"/>
        </w:rPr>
        <w:t xml:space="preserve">), as shown in Fig. </w:t>
      </w:r>
      <w:r w:rsidR="00347016" w:rsidRPr="00D9600A">
        <w:rPr>
          <w:lang w:val="en-GB"/>
        </w:rPr>
        <w:t>6</w:t>
      </w:r>
      <w:r w:rsidRPr="00D9600A">
        <w:rPr>
          <w:lang w:val="en-GB"/>
        </w:rPr>
        <w:t>, where also some empirical relations are shown, including the old one from Norway.</w:t>
      </w:r>
    </w:p>
    <w:p w14:paraId="4D84FBFD" w14:textId="4310C4A1" w:rsidR="00B1582B" w:rsidRPr="00D9600A" w:rsidRDefault="00B1582B" w:rsidP="00F63AD9">
      <w:pPr>
        <w:pStyle w:val="BodyText2"/>
        <w:jc w:val="both"/>
        <w:rPr>
          <w:lang w:val="en-GB"/>
        </w:rPr>
      </w:pPr>
      <w:r w:rsidRPr="00D9600A">
        <w:rPr>
          <w:lang w:val="en-GB"/>
        </w:rPr>
        <w:t>After a more detailed assessment of these relations</w:t>
      </w:r>
      <w:r w:rsidR="00CB34B3" w:rsidRPr="00D9600A">
        <w:rPr>
          <w:lang w:val="en-GB"/>
        </w:rPr>
        <w:t>,</w:t>
      </w:r>
      <w:r w:rsidRPr="00D9600A">
        <w:rPr>
          <w:lang w:val="en-GB"/>
        </w:rPr>
        <w:t xml:space="preserve"> it was concluded that we would recommend using the average curve from Fig. </w:t>
      </w:r>
      <w:r w:rsidR="00347016" w:rsidRPr="00D9600A">
        <w:rPr>
          <w:lang w:val="en-GB"/>
        </w:rPr>
        <w:t>6</w:t>
      </w:r>
      <w:r w:rsidRPr="00D9600A">
        <w:rPr>
          <w:lang w:val="en-GB"/>
        </w:rPr>
        <w:t xml:space="preserve"> as a V/H model for our target region. It is</w:t>
      </w:r>
      <w:r w:rsidR="00994056" w:rsidRPr="00D9600A">
        <w:rPr>
          <w:lang w:val="en-GB"/>
        </w:rPr>
        <w:t xml:space="preserve">, however, </w:t>
      </w:r>
      <w:r w:rsidRPr="00D9600A">
        <w:rPr>
          <w:lang w:val="en-GB"/>
        </w:rPr>
        <w:t xml:space="preserve">important to </w:t>
      </w:r>
      <w:r w:rsidRPr="00D9600A">
        <w:rPr>
          <w:lang w:val="en-GB"/>
        </w:rPr>
        <w:lastRenderedPageBreak/>
        <w:t>note that this relation is independent of both magnitude and distance, a</w:t>
      </w:r>
      <w:r w:rsidR="00370261" w:rsidRPr="00D9600A">
        <w:rPr>
          <w:lang w:val="en-GB"/>
        </w:rPr>
        <w:t xml:space="preserve"> potentially</w:t>
      </w:r>
      <w:r w:rsidR="00DC7D15" w:rsidRPr="00D9600A">
        <w:rPr>
          <w:lang w:val="en-GB"/>
        </w:rPr>
        <w:t xml:space="preserve"> important</w:t>
      </w:r>
      <w:r w:rsidRPr="00D9600A">
        <w:rPr>
          <w:lang w:val="en-GB"/>
        </w:rPr>
        <w:t xml:space="preserve"> refinement that would require better regional data and moreover is not called for in this study.</w:t>
      </w:r>
    </w:p>
    <w:p w14:paraId="71475D72" w14:textId="77777777" w:rsidR="00196FA0" w:rsidRPr="00D9600A" w:rsidRDefault="00196FA0" w:rsidP="00B1582B">
      <w:pPr>
        <w:pStyle w:val="BodyText2"/>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6"/>
        <w:gridCol w:w="5586"/>
      </w:tblGrid>
      <w:tr w:rsidR="004F609C" w:rsidRPr="00D9600A" w14:paraId="13885D5E" w14:textId="77777777" w:rsidTr="00AE12C6">
        <w:tc>
          <w:tcPr>
            <w:tcW w:w="2972" w:type="dxa"/>
          </w:tcPr>
          <w:p w14:paraId="6653D19F" w14:textId="586D456E" w:rsidR="004F609C" w:rsidRPr="00D9600A" w:rsidRDefault="004F609C" w:rsidP="00B1582B">
            <w:pPr>
              <w:pStyle w:val="BodyText2"/>
              <w:ind w:firstLine="0"/>
              <w:rPr>
                <w:lang w:val="en-GB"/>
              </w:rPr>
            </w:pPr>
            <w:r w:rsidRPr="00D9600A">
              <w:rPr>
                <w:noProof/>
                <w:lang w:val="en-GB"/>
              </w:rPr>
              <w:drawing>
                <wp:inline distT="0" distB="0" distL="0" distR="0" wp14:anchorId="730D6646" wp14:editId="4F37E2DD">
                  <wp:extent cx="2076983" cy="1587500"/>
                  <wp:effectExtent l="0" t="0" r="0" b="0"/>
                  <wp:docPr id="98321049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06345" cy="1609942"/>
                          </a:xfrm>
                          <a:prstGeom prst="rect">
                            <a:avLst/>
                          </a:prstGeom>
                          <a:noFill/>
                          <a:ln>
                            <a:noFill/>
                          </a:ln>
                        </pic:spPr>
                      </pic:pic>
                    </a:graphicData>
                  </a:graphic>
                </wp:inline>
              </w:drawing>
            </w:r>
          </w:p>
        </w:tc>
        <w:tc>
          <w:tcPr>
            <w:tcW w:w="6090" w:type="dxa"/>
          </w:tcPr>
          <w:tbl>
            <w:tblPr>
              <w:tblW w:w="0" w:type="auto"/>
              <w:tblInd w:w="118" w:type="dxa"/>
              <w:tblCellMar>
                <w:left w:w="0" w:type="dxa"/>
                <w:right w:w="0" w:type="dxa"/>
              </w:tblCellMar>
              <w:tblLook w:val="0000" w:firstRow="0" w:lastRow="0" w:firstColumn="0" w:lastColumn="0" w:noHBand="0" w:noVBand="0"/>
            </w:tblPr>
            <w:tblGrid>
              <w:gridCol w:w="448"/>
              <w:gridCol w:w="624"/>
              <w:gridCol w:w="530"/>
              <w:gridCol w:w="601"/>
              <w:gridCol w:w="554"/>
              <w:gridCol w:w="547"/>
              <w:gridCol w:w="538"/>
              <w:gridCol w:w="554"/>
              <w:gridCol w:w="368"/>
              <w:gridCol w:w="478"/>
            </w:tblGrid>
            <w:tr w:rsidR="00984506" w:rsidRPr="00D9600A" w14:paraId="22D2CC79" w14:textId="77777777" w:rsidTr="003C14EB">
              <w:trPr>
                <w:trHeight w:val="178"/>
              </w:trPr>
              <w:tc>
                <w:tcPr>
                  <w:tcW w:w="522" w:type="dxa"/>
                  <w:tcBorders>
                    <w:top w:val="single" w:sz="4" w:space="0" w:color="000000"/>
                    <w:left w:val="single" w:sz="4" w:space="0" w:color="000000"/>
                    <w:bottom w:val="single" w:sz="4" w:space="0" w:color="000000"/>
                    <w:right w:val="single" w:sz="4" w:space="0" w:color="000000"/>
                  </w:tcBorders>
                </w:tcPr>
                <w:p w14:paraId="7A92790D"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b/>
                      <w:spacing w:val="-10"/>
                      <w:kern w:val="0"/>
                      <w:sz w:val="16"/>
                      <w:lang w:val="en-GB"/>
                    </w:rPr>
                  </w:pPr>
                  <w:r w:rsidRPr="00D9600A">
                    <w:rPr>
                      <w:rFonts w:ascii="Calibri" w:hAnsi="Calibri"/>
                      <w:b/>
                      <w:spacing w:val="-10"/>
                      <w:kern w:val="0"/>
                      <w:sz w:val="16"/>
                      <w:lang w:val="en-GB"/>
                    </w:rPr>
                    <w:t>T</w:t>
                  </w:r>
                </w:p>
              </w:tc>
              <w:tc>
                <w:tcPr>
                  <w:tcW w:w="681" w:type="dxa"/>
                  <w:tcBorders>
                    <w:top w:val="single" w:sz="4" w:space="0" w:color="000000"/>
                    <w:left w:val="single" w:sz="4" w:space="0" w:color="000000"/>
                    <w:bottom w:val="single" w:sz="4" w:space="0" w:color="000000"/>
                    <w:right w:val="single" w:sz="4" w:space="0" w:color="000000"/>
                  </w:tcBorders>
                </w:tcPr>
                <w:p w14:paraId="603ACE4C"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b/>
                      <w:spacing w:val="-4"/>
                      <w:kern w:val="0"/>
                      <w:sz w:val="16"/>
                      <w:lang w:val="en-GB"/>
                    </w:rPr>
                  </w:pPr>
                  <w:r w:rsidRPr="00D9600A">
                    <w:rPr>
                      <w:rFonts w:ascii="Calibri" w:hAnsi="Calibri"/>
                      <w:b/>
                      <w:spacing w:val="-4"/>
                      <w:kern w:val="0"/>
                      <w:sz w:val="16"/>
                      <w:lang w:val="en-GB"/>
                    </w:rPr>
                    <w:t>EMP</w:t>
                  </w:r>
                </w:p>
              </w:tc>
              <w:tc>
                <w:tcPr>
                  <w:tcW w:w="1400" w:type="dxa"/>
                  <w:gridSpan w:val="2"/>
                  <w:tcBorders>
                    <w:top w:val="single" w:sz="4" w:space="0" w:color="000000"/>
                    <w:left w:val="single" w:sz="4" w:space="0" w:color="000000"/>
                    <w:bottom w:val="single" w:sz="4" w:space="0" w:color="000000"/>
                    <w:right w:val="single" w:sz="4" w:space="0" w:color="000000"/>
                  </w:tcBorders>
                </w:tcPr>
                <w:p w14:paraId="4B092D13"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b/>
                      <w:spacing w:val="-4"/>
                      <w:kern w:val="0"/>
                      <w:sz w:val="16"/>
                      <w:lang w:val="en-GB"/>
                    </w:rPr>
                  </w:pPr>
                  <w:r w:rsidRPr="00D9600A">
                    <w:rPr>
                      <w:rFonts w:ascii="Calibri" w:hAnsi="Calibri"/>
                      <w:b/>
                      <w:spacing w:val="-4"/>
                      <w:kern w:val="0"/>
                      <w:sz w:val="16"/>
                      <w:lang w:val="en-GB"/>
                    </w:rPr>
                    <w:t>EMP</w:t>
                  </w:r>
                </w:p>
              </w:tc>
              <w:tc>
                <w:tcPr>
                  <w:tcW w:w="1400" w:type="dxa"/>
                  <w:gridSpan w:val="2"/>
                  <w:tcBorders>
                    <w:top w:val="single" w:sz="4" w:space="0" w:color="000000"/>
                    <w:left w:val="single" w:sz="4" w:space="0" w:color="000000"/>
                    <w:bottom w:val="single" w:sz="4" w:space="0" w:color="000000"/>
                    <w:right w:val="single" w:sz="4" w:space="0" w:color="000000"/>
                  </w:tcBorders>
                </w:tcPr>
                <w:p w14:paraId="3A130838"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b/>
                      <w:spacing w:val="-4"/>
                      <w:kern w:val="0"/>
                      <w:sz w:val="16"/>
                      <w:lang w:val="en-GB"/>
                    </w:rPr>
                  </w:pPr>
                  <w:r w:rsidRPr="00D9600A">
                    <w:rPr>
                      <w:rFonts w:ascii="Calibri" w:hAnsi="Calibri"/>
                      <w:b/>
                      <w:spacing w:val="-4"/>
                      <w:kern w:val="0"/>
                      <w:sz w:val="16"/>
                      <w:lang w:val="en-GB"/>
                    </w:rPr>
                    <w:t>GA11</w:t>
                  </w:r>
                </w:p>
              </w:tc>
              <w:tc>
                <w:tcPr>
                  <w:tcW w:w="1386" w:type="dxa"/>
                  <w:gridSpan w:val="2"/>
                  <w:tcBorders>
                    <w:top w:val="single" w:sz="4" w:space="0" w:color="000000"/>
                    <w:left w:val="single" w:sz="4" w:space="0" w:color="000000"/>
                    <w:bottom w:val="single" w:sz="4" w:space="0" w:color="000000"/>
                    <w:right w:val="single" w:sz="4" w:space="0" w:color="000000"/>
                  </w:tcBorders>
                </w:tcPr>
                <w:p w14:paraId="072F2FC7"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b/>
                      <w:spacing w:val="-2"/>
                      <w:kern w:val="0"/>
                      <w:sz w:val="16"/>
                      <w:lang w:val="en-GB"/>
                    </w:rPr>
                  </w:pPr>
                  <w:r w:rsidRPr="00D9600A">
                    <w:rPr>
                      <w:rFonts w:ascii="Calibri" w:hAnsi="Calibri"/>
                      <w:b/>
                      <w:spacing w:val="-2"/>
                      <w:kern w:val="0"/>
                      <w:sz w:val="16"/>
                      <w:lang w:val="en-GB"/>
                    </w:rPr>
                    <w:t>ASA14</w:t>
                  </w:r>
                </w:p>
              </w:tc>
              <w:tc>
                <w:tcPr>
                  <w:tcW w:w="417" w:type="dxa"/>
                  <w:tcBorders>
                    <w:top w:val="single" w:sz="4" w:space="0" w:color="000000"/>
                    <w:left w:val="single" w:sz="4" w:space="0" w:color="000000"/>
                    <w:bottom w:val="single" w:sz="4" w:space="0" w:color="000000"/>
                    <w:right w:val="single" w:sz="4" w:space="0" w:color="000000"/>
                  </w:tcBorders>
                </w:tcPr>
                <w:p w14:paraId="38489A31"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b/>
                      <w:spacing w:val="-4"/>
                      <w:kern w:val="0"/>
                      <w:sz w:val="16"/>
                      <w:lang w:val="en-GB"/>
                    </w:rPr>
                  </w:pPr>
                  <w:r w:rsidRPr="00D9600A">
                    <w:rPr>
                      <w:rFonts w:ascii="Calibri" w:hAnsi="Calibri"/>
                      <w:b/>
                      <w:spacing w:val="-4"/>
                      <w:kern w:val="0"/>
                      <w:sz w:val="16"/>
                      <w:lang w:val="en-GB"/>
                    </w:rPr>
                    <w:t>AVE</w:t>
                  </w:r>
                </w:p>
              </w:tc>
              <w:tc>
                <w:tcPr>
                  <w:tcW w:w="588" w:type="dxa"/>
                  <w:tcBorders>
                    <w:top w:val="single" w:sz="4" w:space="0" w:color="000000"/>
                    <w:left w:val="single" w:sz="4" w:space="0" w:color="000000"/>
                    <w:bottom w:val="single" w:sz="4" w:space="0" w:color="000000"/>
                    <w:right w:val="single" w:sz="4" w:space="0" w:color="000000"/>
                  </w:tcBorders>
                </w:tcPr>
                <w:p w14:paraId="54502CC8"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b/>
                      <w:spacing w:val="-4"/>
                      <w:kern w:val="0"/>
                      <w:sz w:val="16"/>
                      <w:lang w:val="en-GB"/>
                    </w:rPr>
                  </w:pPr>
                  <w:r w:rsidRPr="00D9600A">
                    <w:rPr>
                      <w:rFonts w:ascii="Calibri" w:hAnsi="Calibri"/>
                      <w:b/>
                      <w:spacing w:val="-4"/>
                      <w:kern w:val="0"/>
                      <w:sz w:val="16"/>
                      <w:lang w:val="en-GB"/>
                    </w:rPr>
                    <w:t>STD</w:t>
                  </w:r>
                </w:p>
              </w:tc>
            </w:tr>
            <w:tr w:rsidR="00984506" w:rsidRPr="00D9600A" w14:paraId="24367B4F" w14:textId="77777777" w:rsidTr="003C14EB">
              <w:trPr>
                <w:trHeight w:val="178"/>
              </w:trPr>
              <w:tc>
                <w:tcPr>
                  <w:tcW w:w="522" w:type="dxa"/>
                  <w:tcBorders>
                    <w:top w:val="single" w:sz="4" w:space="0" w:color="000000"/>
                    <w:left w:val="single" w:sz="4" w:space="0" w:color="000000"/>
                    <w:bottom w:val="single" w:sz="4" w:space="0" w:color="000000"/>
                    <w:right w:val="single" w:sz="4" w:space="0" w:color="000000"/>
                  </w:tcBorders>
                </w:tcPr>
                <w:p w14:paraId="0BFB134E"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b/>
                      <w:spacing w:val="-2"/>
                      <w:kern w:val="0"/>
                      <w:sz w:val="16"/>
                      <w:lang w:val="en-GB"/>
                    </w:rPr>
                  </w:pPr>
                  <w:r w:rsidRPr="00D9600A">
                    <w:rPr>
                      <w:rFonts w:ascii="Calibri" w:hAnsi="Calibri"/>
                      <w:b/>
                      <w:spacing w:val="-2"/>
                      <w:kern w:val="0"/>
                      <w:sz w:val="16"/>
                      <w:lang w:val="en-GB"/>
                    </w:rPr>
                    <w:t>(sec)</w:t>
                  </w:r>
                </w:p>
              </w:tc>
              <w:tc>
                <w:tcPr>
                  <w:tcW w:w="681" w:type="dxa"/>
                  <w:tcBorders>
                    <w:top w:val="single" w:sz="4" w:space="0" w:color="000000"/>
                    <w:left w:val="single" w:sz="4" w:space="0" w:color="000000"/>
                    <w:bottom w:val="single" w:sz="4" w:space="0" w:color="000000"/>
                    <w:right w:val="single" w:sz="4" w:space="0" w:color="000000"/>
                  </w:tcBorders>
                </w:tcPr>
                <w:p w14:paraId="3A20468B"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b/>
                      <w:spacing w:val="-2"/>
                      <w:kern w:val="0"/>
                      <w:sz w:val="16"/>
                      <w:lang w:val="en-GB"/>
                    </w:rPr>
                  </w:pPr>
                  <w:r w:rsidRPr="00D9600A">
                    <w:rPr>
                      <w:rFonts w:ascii="Calibri" w:hAnsi="Calibri"/>
                      <w:b/>
                      <w:spacing w:val="-2"/>
                      <w:kern w:val="0"/>
                      <w:sz w:val="16"/>
                      <w:lang w:val="en-GB"/>
                    </w:rPr>
                    <w:t>Norway</w:t>
                  </w:r>
                </w:p>
              </w:tc>
              <w:tc>
                <w:tcPr>
                  <w:tcW w:w="664" w:type="dxa"/>
                  <w:tcBorders>
                    <w:top w:val="single" w:sz="4" w:space="0" w:color="000000"/>
                    <w:left w:val="single" w:sz="4" w:space="0" w:color="000000"/>
                    <w:bottom w:val="single" w:sz="4" w:space="0" w:color="000000"/>
                    <w:right w:val="single" w:sz="4" w:space="0" w:color="000000"/>
                  </w:tcBorders>
                </w:tcPr>
                <w:p w14:paraId="033F069C"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b/>
                      <w:kern w:val="0"/>
                      <w:sz w:val="16"/>
                      <w:lang w:val="en-GB"/>
                    </w:rPr>
                  </w:pPr>
                  <w:r w:rsidRPr="00D9600A">
                    <w:rPr>
                      <w:rFonts w:ascii="Calibri" w:hAnsi="Calibri"/>
                      <w:b/>
                      <w:kern w:val="0"/>
                      <w:sz w:val="16"/>
                      <w:lang w:val="en-GB"/>
                    </w:rPr>
                    <w:t>US East</w:t>
                  </w:r>
                </w:p>
              </w:tc>
              <w:tc>
                <w:tcPr>
                  <w:tcW w:w="736" w:type="dxa"/>
                  <w:tcBorders>
                    <w:top w:val="single" w:sz="4" w:space="0" w:color="000000"/>
                    <w:left w:val="single" w:sz="4" w:space="0" w:color="000000"/>
                    <w:bottom w:val="single" w:sz="4" w:space="0" w:color="000000"/>
                    <w:right w:val="single" w:sz="4" w:space="0" w:color="000000"/>
                  </w:tcBorders>
                </w:tcPr>
                <w:p w14:paraId="23ED466C"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b/>
                      <w:kern w:val="0"/>
                      <w:sz w:val="16"/>
                      <w:lang w:val="en-GB"/>
                    </w:rPr>
                  </w:pPr>
                  <w:r w:rsidRPr="00D9600A">
                    <w:rPr>
                      <w:rFonts w:ascii="Calibri" w:hAnsi="Calibri"/>
                      <w:b/>
                      <w:kern w:val="0"/>
                      <w:sz w:val="16"/>
                      <w:lang w:val="en-GB"/>
                    </w:rPr>
                    <w:t>US West</w:t>
                  </w:r>
                </w:p>
              </w:tc>
              <w:tc>
                <w:tcPr>
                  <w:tcW w:w="705" w:type="dxa"/>
                  <w:tcBorders>
                    <w:top w:val="single" w:sz="4" w:space="0" w:color="000000"/>
                    <w:left w:val="single" w:sz="4" w:space="0" w:color="000000"/>
                    <w:bottom w:val="single" w:sz="4" w:space="0" w:color="000000"/>
                    <w:right w:val="single" w:sz="4" w:space="0" w:color="000000"/>
                  </w:tcBorders>
                </w:tcPr>
                <w:p w14:paraId="60B3561B"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b/>
                      <w:spacing w:val="-2"/>
                      <w:kern w:val="0"/>
                      <w:sz w:val="16"/>
                      <w:lang w:val="en-GB"/>
                    </w:rPr>
                  </w:pPr>
                  <w:r w:rsidRPr="00D9600A">
                    <w:rPr>
                      <w:rFonts w:ascii="Calibri" w:hAnsi="Calibri"/>
                      <w:b/>
                      <w:spacing w:val="-2"/>
                      <w:kern w:val="0"/>
                      <w:sz w:val="16"/>
                      <w:lang w:val="en-GB"/>
                    </w:rPr>
                    <w:t>M5-R15</w:t>
                  </w:r>
                </w:p>
              </w:tc>
              <w:tc>
                <w:tcPr>
                  <w:tcW w:w="695" w:type="dxa"/>
                  <w:tcBorders>
                    <w:top w:val="single" w:sz="4" w:space="0" w:color="000000"/>
                    <w:left w:val="single" w:sz="4" w:space="0" w:color="000000"/>
                    <w:bottom w:val="single" w:sz="4" w:space="0" w:color="000000"/>
                    <w:right w:val="single" w:sz="4" w:space="0" w:color="000000"/>
                  </w:tcBorders>
                </w:tcPr>
                <w:p w14:paraId="5AFB357B"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b/>
                      <w:spacing w:val="-2"/>
                      <w:kern w:val="0"/>
                      <w:sz w:val="16"/>
                      <w:lang w:val="en-GB"/>
                    </w:rPr>
                  </w:pPr>
                  <w:r w:rsidRPr="00D9600A">
                    <w:rPr>
                      <w:rFonts w:ascii="Calibri" w:hAnsi="Calibri"/>
                      <w:b/>
                      <w:spacing w:val="-2"/>
                      <w:kern w:val="0"/>
                      <w:sz w:val="16"/>
                      <w:lang w:val="en-GB"/>
                    </w:rPr>
                    <w:t>M6-R40</w:t>
                  </w:r>
                </w:p>
              </w:tc>
              <w:tc>
                <w:tcPr>
                  <w:tcW w:w="681" w:type="dxa"/>
                  <w:tcBorders>
                    <w:top w:val="single" w:sz="4" w:space="0" w:color="000000"/>
                    <w:left w:val="single" w:sz="4" w:space="0" w:color="000000"/>
                    <w:bottom w:val="single" w:sz="4" w:space="0" w:color="000000"/>
                    <w:right w:val="single" w:sz="4" w:space="0" w:color="000000"/>
                  </w:tcBorders>
                </w:tcPr>
                <w:p w14:paraId="723F8A32"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b/>
                      <w:spacing w:val="-2"/>
                      <w:kern w:val="0"/>
                      <w:sz w:val="16"/>
                      <w:lang w:val="en-GB"/>
                    </w:rPr>
                  </w:pPr>
                  <w:r w:rsidRPr="00D9600A">
                    <w:rPr>
                      <w:rFonts w:ascii="Calibri" w:hAnsi="Calibri"/>
                      <w:b/>
                      <w:spacing w:val="-2"/>
                      <w:kern w:val="0"/>
                      <w:sz w:val="16"/>
                      <w:lang w:val="en-GB"/>
                    </w:rPr>
                    <w:t>M5-R15</w:t>
                  </w:r>
                </w:p>
              </w:tc>
              <w:tc>
                <w:tcPr>
                  <w:tcW w:w="705" w:type="dxa"/>
                  <w:tcBorders>
                    <w:top w:val="single" w:sz="4" w:space="0" w:color="000000"/>
                    <w:left w:val="single" w:sz="4" w:space="0" w:color="000000"/>
                    <w:bottom w:val="single" w:sz="4" w:space="0" w:color="000000"/>
                    <w:right w:val="single" w:sz="4" w:space="0" w:color="000000"/>
                  </w:tcBorders>
                </w:tcPr>
                <w:p w14:paraId="0AA58A31"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b/>
                      <w:spacing w:val="-2"/>
                      <w:kern w:val="0"/>
                      <w:sz w:val="16"/>
                      <w:lang w:val="en-GB"/>
                    </w:rPr>
                  </w:pPr>
                  <w:r w:rsidRPr="00D9600A">
                    <w:rPr>
                      <w:rFonts w:ascii="Calibri" w:hAnsi="Calibri"/>
                      <w:b/>
                      <w:spacing w:val="-2"/>
                      <w:kern w:val="0"/>
                      <w:sz w:val="16"/>
                      <w:lang w:val="en-GB"/>
                    </w:rPr>
                    <w:t>M6-R40</w:t>
                  </w:r>
                </w:p>
              </w:tc>
              <w:tc>
                <w:tcPr>
                  <w:tcW w:w="417" w:type="dxa"/>
                  <w:tcBorders>
                    <w:top w:val="single" w:sz="4" w:space="0" w:color="000000"/>
                    <w:left w:val="single" w:sz="4" w:space="0" w:color="000000"/>
                    <w:bottom w:val="single" w:sz="4" w:space="0" w:color="000000"/>
                    <w:right w:val="single" w:sz="4" w:space="0" w:color="000000"/>
                  </w:tcBorders>
                </w:tcPr>
                <w:p w14:paraId="0BB32E2E" w14:textId="77777777" w:rsidR="00984506" w:rsidRPr="00D9600A" w:rsidRDefault="00984506" w:rsidP="00984506">
                  <w:pPr>
                    <w:kinsoku w:val="0"/>
                    <w:overflowPunct w:val="0"/>
                    <w:autoSpaceDE w:val="0"/>
                    <w:autoSpaceDN w:val="0"/>
                    <w:adjustRightInd w:val="0"/>
                    <w:spacing w:after="0" w:line="240" w:lineRule="auto"/>
                    <w:jc w:val="center"/>
                    <w:rPr>
                      <w:rFonts w:ascii="Times New Roman" w:hAnsi="Times New Roman"/>
                      <w:kern w:val="0"/>
                      <w:sz w:val="16"/>
                      <w:lang w:val="en-GB"/>
                    </w:rPr>
                  </w:pPr>
                </w:p>
              </w:tc>
              <w:tc>
                <w:tcPr>
                  <w:tcW w:w="588" w:type="dxa"/>
                  <w:tcBorders>
                    <w:top w:val="single" w:sz="4" w:space="0" w:color="000000"/>
                    <w:left w:val="single" w:sz="4" w:space="0" w:color="000000"/>
                    <w:bottom w:val="single" w:sz="4" w:space="0" w:color="000000"/>
                    <w:right w:val="single" w:sz="4" w:space="0" w:color="000000"/>
                  </w:tcBorders>
                </w:tcPr>
                <w:p w14:paraId="73FF4CE9" w14:textId="77777777" w:rsidR="00984506" w:rsidRPr="00D9600A" w:rsidRDefault="00984506" w:rsidP="00984506">
                  <w:pPr>
                    <w:kinsoku w:val="0"/>
                    <w:overflowPunct w:val="0"/>
                    <w:autoSpaceDE w:val="0"/>
                    <w:autoSpaceDN w:val="0"/>
                    <w:adjustRightInd w:val="0"/>
                    <w:spacing w:after="0" w:line="240" w:lineRule="auto"/>
                    <w:jc w:val="center"/>
                    <w:rPr>
                      <w:rFonts w:ascii="Times New Roman" w:hAnsi="Times New Roman"/>
                      <w:kern w:val="0"/>
                      <w:sz w:val="16"/>
                      <w:lang w:val="en-GB"/>
                    </w:rPr>
                  </w:pPr>
                </w:p>
              </w:tc>
            </w:tr>
            <w:tr w:rsidR="00984506" w:rsidRPr="00D9600A" w14:paraId="61BCE0DB" w14:textId="77777777" w:rsidTr="003C14EB">
              <w:trPr>
                <w:trHeight w:val="193"/>
              </w:trPr>
              <w:tc>
                <w:tcPr>
                  <w:tcW w:w="522" w:type="dxa"/>
                  <w:tcBorders>
                    <w:top w:val="single" w:sz="4" w:space="0" w:color="000000"/>
                    <w:left w:val="single" w:sz="4" w:space="0" w:color="000000"/>
                    <w:bottom w:val="none" w:sz="6" w:space="0" w:color="auto"/>
                    <w:right w:val="single" w:sz="4" w:space="0" w:color="000000"/>
                  </w:tcBorders>
                </w:tcPr>
                <w:p w14:paraId="5925587E"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0.01</w:t>
                  </w:r>
                </w:p>
              </w:tc>
              <w:tc>
                <w:tcPr>
                  <w:tcW w:w="681" w:type="dxa"/>
                  <w:tcBorders>
                    <w:top w:val="single" w:sz="4" w:space="0" w:color="000000"/>
                    <w:left w:val="single" w:sz="4" w:space="0" w:color="000000"/>
                    <w:bottom w:val="none" w:sz="6" w:space="0" w:color="auto"/>
                    <w:right w:val="single" w:sz="4" w:space="0" w:color="000000"/>
                  </w:tcBorders>
                </w:tcPr>
                <w:p w14:paraId="08C0CEF7"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0.70</w:t>
                  </w:r>
                </w:p>
              </w:tc>
              <w:tc>
                <w:tcPr>
                  <w:tcW w:w="664" w:type="dxa"/>
                  <w:tcBorders>
                    <w:top w:val="single" w:sz="4" w:space="0" w:color="000000"/>
                    <w:left w:val="single" w:sz="4" w:space="0" w:color="000000"/>
                    <w:bottom w:val="none" w:sz="6" w:space="0" w:color="auto"/>
                    <w:right w:val="single" w:sz="4" w:space="0" w:color="000000"/>
                  </w:tcBorders>
                </w:tcPr>
                <w:p w14:paraId="67D09080"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0.68</w:t>
                  </w:r>
                </w:p>
              </w:tc>
              <w:tc>
                <w:tcPr>
                  <w:tcW w:w="736" w:type="dxa"/>
                  <w:tcBorders>
                    <w:top w:val="single" w:sz="4" w:space="0" w:color="000000"/>
                    <w:left w:val="single" w:sz="4" w:space="0" w:color="000000"/>
                    <w:bottom w:val="none" w:sz="6" w:space="0" w:color="auto"/>
                    <w:right w:val="single" w:sz="4" w:space="0" w:color="000000"/>
                  </w:tcBorders>
                </w:tcPr>
                <w:p w14:paraId="4744763C"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0.64</w:t>
                  </w:r>
                </w:p>
              </w:tc>
              <w:tc>
                <w:tcPr>
                  <w:tcW w:w="705" w:type="dxa"/>
                  <w:tcBorders>
                    <w:top w:val="single" w:sz="4" w:space="0" w:color="000000"/>
                    <w:left w:val="single" w:sz="4" w:space="0" w:color="000000"/>
                    <w:bottom w:val="none" w:sz="6" w:space="0" w:color="auto"/>
                    <w:right w:val="single" w:sz="4" w:space="0" w:color="000000"/>
                  </w:tcBorders>
                </w:tcPr>
                <w:p w14:paraId="2878BFAE"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0.63</w:t>
                  </w:r>
                </w:p>
              </w:tc>
              <w:tc>
                <w:tcPr>
                  <w:tcW w:w="695" w:type="dxa"/>
                  <w:tcBorders>
                    <w:top w:val="single" w:sz="4" w:space="0" w:color="000000"/>
                    <w:left w:val="single" w:sz="4" w:space="0" w:color="000000"/>
                    <w:bottom w:val="none" w:sz="6" w:space="0" w:color="auto"/>
                    <w:right w:val="single" w:sz="4" w:space="0" w:color="000000"/>
                  </w:tcBorders>
                </w:tcPr>
                <w:p w14:paraId="3B5E2E8F"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0.58</w:t>
                  </w:r>
                </w:p>
              </w:tc>
              <w:tc>
                <w:tcPr>
                  <w:tcW w:w="681" w:type="dxa"/>
                  <w:tcBorders>
                    <w:top w:val="single" w:sz="4" w:space="0" w:color="000000"/>
                    <w:left w:val="single" w:sz="4" w:space="0" w:color="000000"/>
                    <w:bottom w:val="none" w:sz="6" w:space="0" w:color="auto"/>
                    <w:right w:val="single" w:sz="4" w:space="0" w:color="000000"/>
                  </w:tcBorders>
                </w:tcPr>
                <w:p w14:paraId="272CEE34"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0.60</w:t>
                  </w:r>
                </w:p>
              </w:tc>
              <w:tc>
                <w:tcPr>
                  <w:tcW w:w="705" w:type="dxa"/>
                  <w:tcBorders>
                    <w:top w:val="single" w:sz="4" w:space="0" w:color="000000"/>
                    <w:left w:val="single" w:sz="4" w:space="0" w:color="000000"/>
                    <w:bottom w:val="none" w:sz="6" w:space="0" w:color="auto"/>
                    <w:right w:val="single" w:sz="4" w:space="0" w:color="000000"/>
                  </w:tcBorders>
                </w:tcPr>
                <w:p w14:paraId="01BB1AF5"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0.63</w:t>
                  </w:r>
                </w:p>
              </w:tc>
              <w:tc>
                <w:tcPr>
                  <w:tcW w:w="417" w:type="dxa"/>
                  <w:tcBorders>
                    <w:top w:val="single" w:sz="4" w:space="0" w:color="000000"/>
                    <w:left w:val="single" w:sz="4" w:space="0" w:color="000000"/>
                    <w:bottom w:val="none" w:sz="6" w:space="0" w:color="auto"/>
                    <w:right w:val="single" w:sz="4" w:space="0" w:color="000000"/>
                  </w:tcBorders>
                </w:tcPr>
                <w:p w14:paraId="0205E939"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0.64</w:t>
                  </w:r>
                </w:p>
              </w:tc>
              <w:tc>
                <w:tcPr>
                  <w:tcW w:w="588" w:type="dxa"/>
                  <w:tcBorders>
                    <w:top w:val="single" w:sz="4" w:space="0" w:color="000000"/>
                    <w:left w:val="single" w:sz="4" w:space="0" w:color="000000"/>
                    <w:bottom w:val="none" w:sz="6" w:space="0" w:color="auto"/>
                    <w:right w:val="single" w:sz="4" w:space="0" w:color="000000"/>
                  </w:tcBorders>
                </w:tcPr>
                <w:p w14:paraId="37D0D660"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0.04</w:t>
                  </w:r>
                </w:p>
              </w:tc>
            </w:tr>
            <w:tr w:rsidR="00984506" w:rsidRPr="00D9600A" w14:paraId="1EE5915F" w14:textId="77777777" w:rsidTr="003C14EB">
              <w:trPr>
                <w:trHeight w:val="178"/>
              </w:trPr>
              <w:tc>
                <w:tcPr>
                  <w:tcW w:w="522" w:type="dxa"/>
                  <w:tcBorders>
                    <w:top w:val="none" w:sz="6" w:space="0" w:color="auto"/>
                    <w:left w:val="single" w:sz="4" w:space="0" w:color="000000"/>
                    <w:bottom w:val="none" w:sz="6" w:space="0" w:color="auto"/>
                    <w:right w:val="single" w:sz="4" w:space="0" w:color="000000"/>
                  </w:tcBorders>
                </w:tcPr>
                <w:p w14:paraId="260B2EC4"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0.02</w:t>
                  </w:r>
                </w:p>
              </w:tc>
              <w:tc>
                <w:tcPr>
                  <w:tcW w:w="681" w:type="dxa"/>
                  <w:tcBorders>
                    <w:top w:val="none" w:sz="6" w:space="0" w:color="auto"/>
                    <w:left w:val="single" w:sz="4" w:space="0" w:color="000000"/>
                    <w:bottom w:val="none" w:sz="6" w:space="0" w:color="auto"/>
                    <w:right w:val="single" w:sz="4" w:space="0" w:color="000000"/>
                  </w:tcBorders>
                </w:tcPr>
                <w:p w14:paraId="160DDCB0"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0.70</w:t>
                  </w:r>
                </w:p>
              </w:tc>
              <w:tc>
                <w:tcPr>
                  <w:tcW w:w="664" w:type="dxa"/>
                  <w:tcBorders>
                    <w:top w:val="none" w:sz="6" w:space="0" w:color="auto"/>
                    <w:left w:val="single" w:sz="4" w:space="0" w:color="000000"/>
                    <w:bottom w:val="none" w:sz="6" w:space="0" w:color="auto"/>
                    <w:right w:val="single" w:sz="4" w:space="0" w:color="000000"/>
                  </w:tcBorders>
                </w:tcPr>
                <w:p w14:paraId="2CD80A5B"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0.68</w:t>
                  </w:r>
                </w:p>
              </w:tc>
              <w:tc>
                <w:tcPr>
                  <w:tcW w:w="736" w:type="dxa"/>
                  <w:tcBorders>
                    <w:top w:val="none" w:sz="6" w:space="0" w:color="auto"/>
                    <w:left w:val="single" w:sz="4" w:space="0" w:color="000000"/>
                    <w:bottom w:val="none" w:sz="6" w:space="0" w:color="auto"/>
                    <w:right w:val="single" w:sz="4" w:space="0" w:color="000000"/>
                  </w:tcBorders>
                </w:tcPr>
                <w:p w14:paraId="7712044C"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0.66</w:t>
                  </w:r>
                </w:p>
              </w:tc>
              <w:tc>
                <w:tcPr>
                  <w:tcW w:w="705" w:type="dxa"/>
                  <w:tcBorders>
                    <w:top w:val="none" w:sz="6" w:space="0" w:color="auto"/>
                    <w:left w:val="single" w:sz="4" w:space="0" w:color="000000"/>
                    <w:bottom w:val="none" w:sz="6" w:space="0" w:color="auto"/>
                    <w:right w:val="single" w:sz="4" w:space="0" w:color="000000"/>
                  </w:tcBorders>
                </w:tcPr>
                <w:p w14:paraId="093BBD24"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0.63</w:t>
                  </w:r>
                </w:p>
              </w:tc>
              <w:tc>
                <w:tcPr>
                  <w:tcW w:w="695" w:type="dxa"/>
                  <w:tcBorders>
                    <w:top w:val="none" w:sz="6" w:space="0" w:color="auto"/>
                    <w:left w:val="single" w:sz="4" w:space="0" w:color="000000"/>
                    <w:bottom w:val="none" w:sz="6" w:space="0" w:color="auto"/>
                    <w:right w:val="single" w:sz="4" w:space="0" w:color="000000"/>
                  </w:tcBorders>
                </w:tcPr>
                <w:p w14:paraId="53D3C659"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0.58</w:t>
                  </w:r>
                </w:p>
              </w:tc>
              <w:tc>
                <w:tcPr>
                  <w:tcW w:w="681" w:type="dxa"/>
                  <w:tcBorders>
                    <w:top w:val="none" w:sz="6" w:space="0" w:color="auto"/>
                    <w:left w:val="single" w:sz="4" w:space="0" w:color="000000"/>
                    <w:bottom w:val="none" w:sz="6" w:space="0" w:color="auto"/>
                    <w:right w:val="single" w:sz="4" w:space="0" w:color="000000"/>
                  </w:tcBorders>
                </w:tcPr>
                <w:p w14:paraId="7E6D2DFA"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0.62</w:t>
                  </w:r>
                </w:p>
              </w:tc>
              <w:tc>
                <w:tcPr>
                  <w:tcW w:w="705" w:type="dxa"/>
                  <w:tcBorders>
                    <w:top w:val="none" w:sz="6" w:space="0" w:color="auto"/>
                    <w:left w:val="single" w:sz="4" w:space="0" w:color="000000"/>
                    <w:bottom w:val="none" w:sz="6" w:space="0" w:color="auto"/>
                    <w:right w:val="single" w:sz="4" w:space="0" w:color="000000"/>
                  </w:tcBorders>
                </w:tcPr>
                <w:p w14:paraId="3D89D45E"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0.64</w:t>
                  </w:r>
                </w:p>
              </w:tc>
              <w:tc>
                <w:tcPr>
                  <w:tcW w:w="417" w:type="dxa"/>
                  <w:tcBorders>
                    <w:top w:val="none" w:sz="6" w:space="0" w:color="auto"/>
                    <w:left w:val="single" w:sz="4" w:space="0" w:color="000000"/>
                    <w:bottom w:val="none" w:sz="6" w:space="0" w:color="auto"/>
                    <w:right w:val="single" w:sz="4" w:space="0" w:color="000000"/>
                  </w:tcBorders>
                </w:tcPr>
                <w:p w14:paraId="6BA5006C"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0.64</w:t>
                  </w:r>
                </w:p>
              </w:tc>
              <w:tc>
                <w:tcPr>
                  <w:tcW w:w="588" w:type="dxa"/>
                  <w:tcBorders>
                    <w:top w:val="none" w:sz="6" w:space="0" w:color="auto"/>
                    <w:left w:val="single" w:sz="4" w:space="0" w:color="000000"/>
                    <w:bottom w:val="none" w:sz="6" w:space="0" w:color="auto"/>
                    <w:right w:val="single" w:sz="4" w:space="0" w:color="000000"/>
                  </w:tcBorders>
                </w:tcPr>
                <w:p w14:paraId="340E2D1D"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0.04</w:t>
                  </w:r>
                </w:p>
              </w:tc>
            </w:tr>
            <w:tr w:rsidR="00984506" w:rsidRPr="00D9600A" w14:paraId="5547819B" w14:textId="77777777" w:rsidTr="003C14EB">
              <w:trPr>
                <w:trHeight w:val="180"/>
              </w:trPr>
              <w:tc>
                <w:tcPr>
                  <w:tcW w:w="522" w:type="dxa"/>
                  <w:tcBorders>
                    <w:top w:val="none" w:sz="6" w:space="0" w:color="auto"/>
                    <w:left w:val="single" w:sz="4" w:space="0" w:color="000000"/>
                    <w:bottom w:val="none" w:sz="6" w:space="0" w:color="auto"/>
                    <w:right w:val="single" w:sz="4" w:space="0" w:color="000000"/>
                  </w:tcBorders>
                </w:tcPr>
                <w:p w14:paraId="6806A933"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0.03</w:t>
                  </w:r>
                </w:p>
              </w:tc>
              <w:tc>
                <w:tcPr>
                  <w:tcW w:w="681" w:type="dxa"/>
                  <w:tcBorders>
                    <w:top w:val="none" w:sz="6" w:space="0" w:color="auto"/>
                    <w:left w:val="single" w:sz="4" w:space="0" w:color="000000"/>
                    <w:bottom w:val="none" w:sz="6" w:space="0" w:color="auto"/>
                    <w:right w:val="single" w:sz="4" w:space="0" w:color="000000"/>
                  </w:tcBorders>
                </w:tcPr>
                <w:p w14:paraId="6295F280"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0.70</w:t>
                  </w:r>
                </w:p>
              </w:tc>
              <w:tc>
                <w:tcPr>
                  <w:tcW w:w="664" w:type="dxa"/>
                  <w:tcBorders>
                    <w:top w:val="none" w:sz="6" w:space="0" w:color="auto"/>
                    <w:left w:val="single" w:sz="4" w:space="0" w:color="000000"/>
                    <w:bottom w:val="none" w:sz="6" w:space="0" w:color="auto"/>
                    <w:right w:val="single" w:sz="4" w:space="0" w:color="000000"/>
                  </w:tcBorders>
                </w:tcPr>
                <w:p w14:paraId="2D8504B3"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0.74</w:t>
                  </w:r>
                </w:p>
              </w:tc>
              <w:tc>
                <w:tcPr>
                  <w:tcW w:w="736" w:type="dxa"/>
                  <w:tcBorders>
                    <w:top w:val="none" w:sz="6" w:space="0" w:color="auto"/>
                    <w:left w:val="single" w:sz="4" w:space="0" w:color="000000"/>
                    <w:bottom w:val="none" w:sz="6" w:space="0" w:color="auto"/>
                    <w:right w:val="single" w:sz="4" w:space="0" w:color="000000"/>
                  </w:tcBorders>
                </w:tcPr>
                <w:p w14:paraId="63120597"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0.71</w:t>
                  </w:r>
                </w:p>
              </w:tc>
              <w:tc>
                <w:tcPr>
                  <w:tcW w:w="705" w:type="dxa"/>
                  <w:tcBorders>
                    <w:top w:val="none" w:sz="6" w:space="0" w:color="auto"/>
                    <w:left w:val="single" w:sz="4" w:space="0" w:color="000000"/>
                    <w:bottom w:val="none" w:sz="6" w:space="0" w:color="auto"/>
                    <w:right w:val="single" w:sz="4" w:space="0" w:color="000000"/>
                  </w:tcBorders>
                </w:tcPr>
                <w:p w14:paraId="456D6565"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0.67</w:t>
                  </w:r>
                </w:p>
              </w:tc>
              <w:tc>
                <w:tcPr>
                  <w:tcW w:w="695" w:type="dxa"/>
                  <w:tcBorders>
                    <w:top w:val="none" w:sz="6" w:space="0" w:color="auto"/>
                    <w:left w:val="single" w:sz="4" w:space="0" w:color="000000"/>
                    <w:bottom w:val="none" w:sz="6" w:space="0" w:color="auto"/>
                    <w:right w:val="single" w:sz="4" w:space="0" w:color="000000"/>
                  </w:tcBorders>
                </w:tcPr>
                <w:p w14:paraId="10D7B0FB"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0.61</w:t>
                  </w:r>
                </w:p>
              </w:tc>
              <w:tc>
                <w:tcPr>
                  <w:tcW w:w="681" w:type="dxa"/>
                  <w:tcBorders>
                    <w:top w:val="none" w:sz="6" w:space="0" w:color="auto"/>
                    <w:left w:val="single" w:sz="4" w:space="0" w:color="000000"/>
                    <w:bottom w:val="none" w:sz="6" w:space="0" w:color="auto"/>
                    <w:right w:val="single" w:sz="4" w:space="0" w:color="000000"/>
                  </w:tcBorders>
                </w:tcPr>
                <w:p w14:paraId="3DAD4621"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0.67</w:t>
                  </w:r>
                </w:p>
              </w:tc>
              <w:tc>
                <w:tcPr>
                  <w:tcW w:w="705" w:type="dxa"/>
                  <w:tcBorders>
                    <w:top w:val="none" w:sz="6" w:space="0" w:color="auto"/>
                    <w:left w:val="single" w:sz="4" w:space="0" w:color="000000"/>
                    <w:bottom w:val="none" w:sz="6" w:space="0" w:color="auto"/>
                    <w:right w:val="single" w:sz="4" w:space="0" w:color="000000"/>
                  </w:tcBorders>
                </w:tcPr>
                <w:p w14:paraId="3B683BA0"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0.66</w:t>
                  </w:r>
                </w:p>
              </w:tc>
              <w:tc>
                <w:tcPr>
                  <w:tcW w:w="417" w:type="dxa"/>
                  <w:tcBorders>
                    <w:top w:val="none" w:sz="6" w:space="0" w:color="auto"/>
                    <w:left w:val="single" w:sz="4" w:space="0" w:color="000000"/>
                    <w:bottom w:val="none" w:sz="6" w:space="0" w:color="auto"/>
                    <w:right w:val="single" w:sz="4" w:space="0" w:color="000000"/>
                  </w:tcBorders>
                </w:tcPr>
                <w:p w14:paraId="28C44896"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0.68</w:t>
                  </w:r>
                </w:p>
              </w:tc>
              <w:tc>
                <w:tcPr>
                  <w:tcW w:w="588" w:type="dxa"/>
                  <w:tcBorders>
                    <w:top w:val="none" w:sz="6" w:space="0" w:color="auto"/>
                    <w:left w:val="single" w:sz="4" w:space="0" w:color="000000"/>
                    <w:bottom w:val="none" w:sz="6" w:space="0" w:color="auto"/>
                    <w:right w:val="single" w:sz="4" w:space="0" w:color="000000"/>
                  </w:tcBorders>
                </w:tcPr>
                <w:p w14:paraId="0D2165B5"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0.04</w:t>
                  </w:r>
                </w:p>
              </w:tc>
            </w:tr>
            <w:tr w:rsidR="00984506" w:rsidRPr="00D9600A" w14:paraId="6D6512F9" w14:textId="77777777" w:rsidTr="003C14EB">
              <w:trPr>
                <w:trHeight w:val="180"/>
              </w:trPr>
              <w:tc>
                <w:tcPr>
                  <w:tcW w:w="522" w:type="dxa"/>
                  <w:tcBorders>
                    <w:top w:val="none" w:sz="6" w:space="0" w:color="auto"/>
                    <w:left w:val="single" w:sz="4" w:space="0" w:color="000000"/>
                    <w:bottom w:val="none" w:sz="6" w:space="0" w:color="auto"/>
                    <w:right w:val="single" w:sz="4" w:space="0" w:color="000000"/>
                  </w:tcBorders>
                </w:tcPr>
                <w:p w14:paraId="334401A2"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0.05</w:t>
                  </w:r>
                </w:p>
              </w:tc>
              <w:tc>
                <w:tcPr>
                  <w:tcW w:w="681" w:type="dxa"/>
                  <w:tcBorders>
                    <w:top w:val="none" w:sz="6" w:space="0" w:color="auto"/>
                    <w:left w:val="single" w:sz="4" w:space="0" w:color="000000"/>
                    <w:bottom w:val="none" w:sz="6" w:space="0" w:color="auto"/>
                    <w:right w:val="single" w:sz="4" w:space="0" w:color="000000"/>
                  </w:tcBorders>
                </w:tcPr>
                <w:p w14:paraId="52FF7406"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0.70</w:t>
                  </w:r>
                </w:p>
              </w:tc>
              <w:tc>
                <w:tcPr>
                  <w:tcW w:w="664" w:type="dxa"/>
                  <w:tcBorders>
                    <w:top w:val="none" w:sz="6" w:space="0" w:color="auto"/>
                    <w:left w:val="single" w:sz="4" w:space="0" w:color="000000"/>
                    <w:bottom w:val="none" w:sz="6" w:space="0" w:color="auto"/>
                    <w:right w:val="single" w:sz="4" w:space="0" w:color="000000"/>
                  </w:tcBorders>
                </w:tcPr>
                <w:p w14:paraId="2D12F1A8"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0.64</w:t>
                  </w:r>
                </w:p>
              </w:tc>
              <w:tc>
                <w:tcPr>
                  <w:tcW w:w="736" w:type="dxa"/>
                  <w:tcBorders>
                    <w:top w:val="none" w:sz="6" w:space="0" w:color="auto"/>
                    <w:left w:val="single" w:sz="4" w:space="0" w:color="000000"/>
                    <w:bottom w:val="none" w:sz="6" w:space="0" w:color="auto"/>
                    <w:right w:val="single" w:sz="4" w:space="0" w:color="000000"/>
                  </w:tcBorders>
                </w:tcPr>
                <w:p w14:paraId="4ACD8DF3"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0.70</w:t>
                  </w:r>
                </w:p>
              </w:tc>
              <w:tc>
                <w:tcPr>
                  <w:tcW w:w="705" w:type="dxa"/>
                  <w:tcBorders>
                    <w:top w:val="none" w:sz="6" w:space="0" w:color="auto"/>
                    <w:left w:val="single" w:sz="4" w:space="0" w:color="000000"/>
                    <w:bottom w:val="none" w:sz="6" w:space="0" w:color="auto"/>
                    <w:right w:val="single" w:sz="4" w:space="0" w:color="000000"/>
                  </w:tcBorders>
                </w:tcPr>
                <w:p w14:paraId="4ACB8DE6"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0.71</w:t>
                  </w:r>
                </w:p>
              </w:tc>
              <w:tc>
                <w:tcPr>
                  <w:tcW w:w="695" w:type="dxa"/>
                  <w:tcBorders>
                    <w:top w:val="none" w:sz="6" w:space="0" w:color="auto"/>
                    <w:left w:val="single" w:sz="4" w:space="0" w:color="000000"/>
                    <w:bottom w:val="none" w:sz="6" w:space="0" w:color="auto"/>
                    <w:right w:val="single" w:sz="4" w:space="0" w:color="000000"/>
                  </w:tcBorders>
                </w:tcPr>
                <w:p w14:paraId="7E0F9C99"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0.60</w:t>
                  </w:r>
                </w:p>
              </w:tc>
              <w:tc>
                <w:tcPr>
                  <w:tcW w:w="681" w:type="dxa"/>
                  <w:tcBorders>
                    <w:top w:val="none" w:sz="6" w:space="0" w:color="auto"/>
                    <w:left w:val="single" w:sz="4" w:space="0" w:color="000000"/>
                    <w:bottom w:val="none" w:sz="6" w:space="0" w:color="auto"/>
                    <w:right w:val="single" w:sz="4" w:space="0" w:color="000000"/>
                  </w:tcBorders>
                </w:tcPr>
                <w:p w14:paraId="37F796F0"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0.67</w:t>
                  </w:r>
                </w:p>
              </w:tc>
              <w:tc>
                <w:tcPr>
                  <w:tcW w:w="705" w:type="dxa"/>
                  <w:tcBorders>
                    <w:top w:val="none" w:sz="6" w:space="0" w:color="auto"/>
                    <w:left w:val="single" w:sz="4" w:space="0" w:color="000000"/>
                    <w:bottom w:val="none" w:sz="6" w:space="0" w:color="auto"/>
                    <w:right w:val="single" w:sz="4" w:space="0" w:color="000000"/>
                  </w:tcBorders>
                </w:tcPr>
                <w:p w14:paraId="30664AAF"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0.67</w:t>
                  </w:r>
                </w:p>
              </w:tc>
              <w:tc>
                <w:tcPr>
                  <w:tcW w:w="417" w:type="dxa"/>
                  <w:tcBorders>
                    <w:top w:val="none" w:sz="6" w:space="0" w:color="auto"/>
                    <w:left w:val="single" w:sz="4" w:space="0" w:color="000000"/>
                    <w:bottom w:val="none" w:sz="6" w:space="0" w:color="auto"/>
                    <w:right w:val="single" w:sz="4" w:space="0" w:color="000000"/>
                  </w:tcBorders>
                </w:tcPr>
                <w:p w14:paraId="5F4BD8B7"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0.67</w:t>
                  </w:r>
                </w:p>
              </w:tc>
              <w:tc>
                <w:tcPr>
                  <w:tcW w:w="588" w:type="dxa"/>
                  <w:tcBorders>
                    <w:top w:val="none" w:sz="6" w:space="0" w:color="auto"/>
                    <w:left w:val="single" w:sz="4" w:space="0" w:color="000000"/>
                    <w:bottom w:val="none" w:sz="6" w:space="0" w:color="auto"/>
                    <w:right w:val="single" w:sz="4" w:space="0" w:color="000000"/>
                  </w:tcBorders>
                </w:tcPr>
                <w:p w14:paraId="7BC5C6B5"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0.03</w:t>
                  </w:r>
                </w:p>
              </w:tc>
            </w:tr>
            <w:tr w:rsidR="00984506" w:rsidRPr="00D9600A" w14:paraId="10D93D82" w14:textId="77777777" w:rsidTr="003C14EB">
              <w:trPr>
                <w:trHeight w:val="178"/>
              </w:trPr>
              <w:tc>
                <w:tcPr>
                  <w:tcW w:w="522" w:type="dxa"/>
                  <w:tcBorders>
                    <w:top w:val="none" w:sz="6" w:space="0" w:color="auto"/>
                    <w:left w:val="single" w:sz="4" w:space="0" w:color="000000"/>
                    <w:bottom w:val="none" w:sz="6" w:space="0" w:color="auto"/>
                    <w:right w:val="single" w:sz="4" w:space="0" w:color="000000"/>
                  </w:tcBorders>
                </w:tcPr>
                <w:p w14:paraId="5995D929"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0.10</w:t>
                  </w:r>
                </w:p>
              </w:tc>
              <w:tc>
                <w:tcPr>
                  <w:tcW w:w="681" w:type="dxa"/>
                  <w:tcBorders>
                    <w:top w:val="none" w:sz="6" w:space="0" w:color="auto"/>
                    <w:left w:val="single" w:sz="4" w:space="0" w:color="000000"/>
                    <w:bottom w:val="none" w:sz="6" w:space="0" w:color="auto"/>
                    <w:right w:val="single" w:sz="4" w:space="0" w:color="000000"/>
                  </w:tcBorders>
                </w:tcPr>
                <w:p w14:paraId="64B8D9BA"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0.70</w:t>
                  </w:r>
                </w:p>
              </w:tc>
              <w:tc>
                <w:tcPr>
                  <w:tcW w:w="664" w:type="dxa"/>
                  <w:tcBorders>
                    <w:top w:val="none" w:sz="6" w:space="0" w:color="auto"/>
                    <w:left w:val="single" w:sz="4" w:space="0" w:color="000000"/>
                    <w:bottom w:val="none" w:sz="6" w:space="0" w:color="auto"/>
                    <w:right w:val="single" w:sz="4" w:space="0" w:color="000000"/>
                  </w:tcBorders>
                </w:tcPr>
                <w:p w14:paraId="22859AA0"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0.63</w:t>
                  </w:r>
                </w:p>
              </w:tc>
              <w:tc>
                <w:tcPr>
                  <w:tcW w:w="736" w:type="dxa"/>
                  <w:tcBorders>
                    <w:top w:val="none" w:sz="6" w:space="0" w:color="auto"/>
                    <w:left w:val="single" w:sz="4" w:space="0" w:color="000000"/>
                    <w:bottom w:val="none" w:sz="6" w:space="0" w:color="auto"/>
                    <w:right w:val="single" w:sz="4" w:space="0" w:color="000000"/>
                  </w:tcBorders>
                </w:tcPr>
                <w:p w14:paraId="7A89AEBC"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0.57</w:t>
                  </w:r>
                </w:p>
              </w:tc>
              <w:tc>
                <w:tcPr>
                  <w:tcW w:w="705" w:type="dxa"/>
                  <w:tcBorders>
                    <w:top w:val="none" w:sz="6" w:space="0" w:color="auto"/>
                    <w:left w:val="single" w:sz="4" w:space="0" w:color="000000"/>
                    <w:bottom w:val="none" w:sz="6" w:space="0" w:color="auto"/>
                    <w:right w:val="single" w:sz="4" w:space="0" w:color="000000"/>
                  </w:tcBorders>
                </w:tcPr>
                <w:p w14:paraId="0F014E7F"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0.60</w:t>
                  </w:r>
                </w:p>
              </w:tc>
              <w:tc>
                <w:tcPr>
                  <w:tcW w:w="695" w:type="dxa"/>
                  <w:tcBorders>
                    <w:top w:val="none" w:sz="6" w:space="0" w:color="auto"/>
                    <w:left w:val="single" w:sz="4" w:space="0" w:color="000000"/>
                    <w:bottom w:val="none" w:sz="6" w:space="0" w:color="auto"/>
                    <w:right w:val="single" w:sz="4" w:space="0" w:color="000000"/>
                  </w:tcBorders>
                </w:tcPr>
                <w:p w14:paraId="402D1CB4"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0.59</w:t>
                  </w:r>
                </w:p>
              </w:tc>
              <w:tc>
                <w:tcPr>
                  <w:tcW w:w="681" w:type="dxa"/>
                  <w:tcBorders>
                    <w:top w:val="none" w:sz="6" w:space="0" w:color="auto"/>
                    <w:left w:val="single" w:sz="4" w:space="0" w:color="000000"/>
                    <w:bottom w:val="none" w:sz="6" w:space="0" w:color="auto"/>
                    <w:right w:val="single" w:sz="4" w:space="0" w:color="000000"/>
                  </w:tcBorders>
                </w:tcPr>
                <w:p w14:paraId="1DB2F292"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0.54</w:t>
                  </w:r>
                </w:p>
              </w:tc>
              <w:tc>
                <w:tcPr>
                  <w:tcW w:w="705" w:type="dxa"/>
                  <w:tcBorders>
                    <w:top w:val="none" w:sz="6" w:space="0" w:color="auto"/>
                    <w:left w:val="single" w:sz="4" w:space="0" w:color="000000"/>
                    <w:bottom w:val="none" w:sz="6" w:space="0" w:color="auto"/>
                    <w:right w:val="single" w:sz="4" w:space="0" w:color="000000"/>
                  </w:tcBorders>
                </w:tcPr>
                <w:p w14:paraId="751081F5"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0.62</w:t>
                  </w:r>
                </w:p>
              </w:tc>
              <w:tc>
                <w:tcPr>
                  <w:tcW w:w="417" w:type="dxa"/>
                  <w:tcBorders>
                    <w:top w:val="none" w:sz="6" w:space="0" w:color="auto"/>
                    <w:left w:val="single" w:sz="4" w:space="0" w:color="000000"/>
                    <w:bottom w:val="none" w:sz="6" w:space="0" w:color="auto"/>
                    <w:right w:val="single" w:sz="4" w:space="0" w:color="000000"/>
                  </w:tcBorders>
                </w:tcPr>
                <w:p w14:paraId="155699AE"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0.61</w:t>
                  </w:r>
                </w:p>
              </w:tc>
              <w:tc>
                <w:tcPr>
                  <w:tcW w:w="588" w:type="dxa"/>
                  <w:tcBorders>
                    <w:top w:val="none" w:sz="6" w:space="0" w:color="auto"/>
                    <w:left w:val="single" w:sz="4" w:space="0" w:color="000000"/>
                    <w:bottom w:val="none" w:sz="6" w:space="0" w:color="auto"/>
                    <w:right w:val="single" w:sz="4" w:space="0" w:color="000000"/>
                  </w:tcBorders>
                </w:tcPr>
                <w:p w14:paraId="36525D7C"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0.05</w:t>
                  </w:r>
                </w:p>
              </w:tc>
            </w:tr>
            <w:tr w:rsidR="00984506" w:rsidRPr="00D9600A" w14:paraId="45AD65DC" w14:textId="77777777" w:rsidTr="003C14EB">
              <w:trPr>
                <w:trHeight w:val="178"/>
              </w:trPr>
              <w:tc>
                <w:tcPr>
                  <w:tcW w:w="522" w:type="dxa"/>
                  <w:tcBorders>
                    <w:top w:val="none" w:sz="6" w:space="0" w:color="auto"/>
                    <w:left w:val="single" w:sz="4" w:space="0" w:color="000000"/>
                    <w:bottom w:val="none" w:sz="6" w:space="0" w:color="auto"/>
                    <w:right w:val="single" w:sz="4" w:space="0" w:color="000000"/>
                  </w:tcBorders>
                </w:tcPr>
                <w:p w14:paraId="7919676F"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0.20</w:t>
                  </w:r>
                </w:p>
              </w:tc>
              <w:tc>
                <w:tcPr>
                  <w:tcW w:w="681" w:type="dxa"/>
                  <w:tcBorders>
                    <w:top w:val="none" w:sz="6" w:space="0" w:color="auto"/>
                    <w:left w:val="single" w:sz="4" w:space="0" w:color="000000"/>
                    <w:bottom w:val="none" w:sz="6" w:space="0" w:color="auto"/>
                    <w:right w:val="single" w:sz="4" w:space="0" w:color="000000"/>
                  </w:tcBorders>
                </w:tcPr>
                <w:p w14:paraId="5EA20AE7"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0.70</w:t>
                  </w:r>
                </w:p>
              </w:tc>
              <w:tc>
                <w:tcPr>
                  <w:tcW w:w="664" w:type="dxa"/>
                  <w:tcBorders>
                    <w:top w:val="none" w:sz="6" w:space="0" w:color="auto"/>
                    <w:left w:val="single" w:sz="4" w:space="0" w:color="000000"/>
                    <w:bottom w:val="none" w:sz="6" w:space="0" w:color="auto"/>
                    <w:right w:val="single" w:sz="4" w:space="0" w:color="000000"/>
                  </w:tcBorders>
                </w:tcPr>
                <w:p w14:paraId="09892A3F"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0.69</w:t>
                  </w:r>
                </w:p>
              </w:tc>
              <w:tc>
                <w:tcPr>
                  <w:tcW w:w="736" w:type="dxa"/>
                  <w:tcBorders>
                    <w:top w:val="none" w:sz="6" w:space="0" w:color="auto"/>
                    <w:left w:val="single" w:sz="4" w:space="0" w:color="000000"/>
                    <w:bottom w:val="none" w:sz="6" w:space="0" w:color="auto"/>
                    <w:right w:val="single" w:sz="4" w:space="0" w:color="000000"/>
                  </w:tcBorders>
                </w:tcPr>
                <w:p w14:paraId="6E265CB2"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0.55</w:t>
                  </w:r>
                </w:p>
              </w:tc>
              <w:tc>
                <w:tcPr>
                  <w:tcW w:w="705" w:type="dxa"/>
                  <w:tcBorders>
                    <w:top w:val="none" w:sz="6" w:space="0" w:color="auto"/>
                    <w:left w:val="single" w:sz="4" w:space="0" w:color="000000"/>
                    <w:bottom w:val="none" w:sz="6" w:space="0" w:color="auto"/>
                    <w:right w:val="single" w:sz="4" w:space="0" w:color="000000"/>
                  </w:tcBorders>
                </w:tcPr>
                <w:p w14:paraId="50BF0024"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0.52</w:t>
                  </w:r>
                </w:p>
              </w:tc>
              <w:tc>
                <w:tcPr>
                  <w:tcW w:w="695" w:type="dxa"/>
                  <w:tcBorders>
                    <w:top w:val="none" w:sz="6" w:space="0" w:color="auto"/>
                    <w:left w:val="single" w:sz="4" w:space="0" w:color="000000"/>
                    <w:bottom w:val="none" w:sz="6" w:space="0" w:color="auto"/>
                    <w:right w:val="single" w:sz="4" w:space="0" w:color="000000"/>
                  </w:tcBorders>
                </w:tcPr>
                <w:p w14:paraId="4A753913"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0.56</w:t>
                  </w:r>
                </w:p>
              </w:tc>
              <w:tc>
                <w:tcPr>
                  <w:tcW w:w="681" w:type="dxa"/>
                  <w:tcBorders>
                    <w:top w:val="none" w:sz="6" w:space="0" w:color="auto"/>
                    <w:left w:val="single" w:sz="4" w:space="0" w:color="000000"/>
                    <w:bottom w:val="none" w:sz="6" w:space="0" w:color="auto"/>
                    <w:right w:val="single" w:sz="4" w:space="0" w:color="000000"/>
                  </w:tcBorders>
                </w:tcPr>
                <w:p w14:paraId="0E1B5922"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0.50</w:t>
                  </w:r>
                </w:p>
              </w:tc>
              <w:tc>
                <w:tcPr>
                  <w:tcW w:w="705" w:type="dxa"/>
                  <w:tcBorders>
                    <w:top w:val="none" w:sz="6" w:space="0" w:color="auto"/>
                    <w:left w:val="single" w:sz="4" w:space="0" w:color="000000"/>
                    <w:bottom w:val="none" w:sz="6" w:space="0" w:color="auto"/>
                    <w:right w:val="single" w:sz="4" w:space="0" w:color="000000"/>
                  </w:tcBorders>
                </w:tcPr>
                <w:p w14:paraId="4A372EEA"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0.56</w:t>
                  </w:r>
                </w:p>
              </w:tc>
              <w:tc>
                <w:tcPr>
                  <w:tcW w:w="417" w:type="dxa"/>
                  <w:tcBorders>
                    <w:top w:val="none" w:sz="6" w:space="0" w:color="auto"/>
                    <w:left w:val="single" w:sz="4" w:space="0" w:color="000000"/>
                    <w:bottom w:val="none" w:sz="6" w:space="0" w:color="auto"/>
                    <w:right w:val="single" w:sz="4" w:space="0" w:color="000000"/>
                  </w:tcBorders>
                </w:tcPr>
                <w:p w14:paraId="420F9E60"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0.58</w:t>
                  </w:r>
                </w:p>
              </w:tc>
              <w:tc>
                <w:tcPr>
                  <w:tcW w:w="588" w:type="dxa"/>
                  <w:tcBorders>
                    <w:top w:val="none" w:sz="6" w:space="0" w:color="auto"/>
                    <w:left w:val="single" w:sz="4" w:space="0" w:color="000000"/>
                    <w:bottom w:val="none" w:sz="6" w:space="0" w:color="auto"/>
                    <w:right w:val="single" w:sz="4" w:space="0" w:color="000000"/>
                  </w:tcBorders>
                </w:tcPr>
                <w:p w14:paraId="6C3B9AC5"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0.07</w:t>
                  </w:r>
                </w:p>
              </w:tc>
            </w:tr>
            <w:tr w:rsidR="00984506" w:rsidRPr="00D9600A" w14:paraId="62C073CB" w14:textId="77777777" w:rsidTr="003C14EB">
              <w:trPr>
                <w:trHeight w:val="180"/>
              </w:trPr>
              <w:tc>
                <w:tcPr>
                  <w:tcW w:w="522" w:type="dxa"/>
                  <w:tcBorders>
                    <w:top w:val="none" w:sz="6" w:space="0" w:color="auto"/>
                    <w:left w:val="single" w:sz="4" w:space="0" w:color="000000"/>
                    <w:bottom w:val="none" w:sz="6" w:space="0" w:color="auto"/>
                    <w:right w:val="single" w:sz="4" w:space="0" w:color="000000"/>
                  </w:tcBorders>
                </w:tcPr>
                <w:p w14:paraId="28299126"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0.40</w:t>
                  </w:r>
                </w:p>
              </w:tc>
              <w:tc>
                <w:tcPr>
                  <w:tcW w:w="681" w:type="dxa"/>
                  <w:tcBorders>
                    <w:top w:val="none" w:sz="6" w:space="0" w:color="auto"/>
                    <w:left w:val="single" w:sz="4" w:space="0" w:color="000000"/>
                    <w:bottom w:val="none" w:sz="6" w:space="0" w:color="auto"/>
                    <w:right w:val="single" w:sz="4" w:space="0" w:color="000000"/>
                  </w:tcBorders>
                </w:tcPr>
                <w:p w14:paraId="5DB22BAE"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0.74</w:t>
                  </w:r>
                </w:p>
              </w:tc>
              <w:tc>
                <w:tcPr>
                  <w:tcW w:w="664" w:type="dxa"/>
                  <w:tcBorders>
                    <w:top w:val="none" w:sz="6" w:space="0" w:color="auto"/>
                    <w:left w:val="single" w:sz="4" w:space="0" w:color="000000"/>
                    <w:bottom w:val="none" w:sz="6" w:space="0" w:color="auto"/>
                    <w:right w:val="single" w:sz="4" w:space="0" w:color="000000"/>
                  </w:tcBorders>
                </w:tcPr>
                <w:p w14:paraId="174299FD"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0.76</w:t>
                  </w:r>
                </w:p>
              </w:tc>
              <w:tc>
                <w:tcPr>
                  <w:tcW w:w="736" w:type="dxa"/>
                  <w:tcBorders>
                    <w:top w:val="none" w:sz="6" w:space="0" w:color="auto"/>
                    <w:left w:val="single" w:sz="4" w:space="0" w:color="000000"/>
                    <w:bottom w:val="none" w:sz="6" w:space="0" w:color="auto"/>
                    <w:right w:val="single" w:sz="4" w:space="0" w:color="000000"/>
                  </w:tcBorders>
                </w:tcPr>
                <w:p w14:paraId="711A4856"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0.63</w:t>
                  </w:r>
                </w:p>
              </w:tc>
              <w:tc>
                <w:tcPr>
                  <w:tcW w:w="705" w:type="dxa"/>
                  <w:tcBorders>
                    <w:top w:val="none" w:sz="6" w:space="0" w:color="auto"/>
                    <w:left w:val="single" w:sz="4" w:space="0" w:color="000000"/>
                    <w:bottom w:val="none" w:sz="6" w:space="0" w:color="auto"/>
                    <w:right w:val="single" w:sz="4" w:space="0" w:color="000000"/>
                  </w:tcBorders>
                </w:tcPr>
                <w:p w14:paraId="18560BBF"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0.65</w:t>
                  </w:r>
                </w:p>
              </w:tc>
              <w:tc>
                <w:tcPr>
                  <w:tcW w:w="695" w:type="dxa"/>
                  <w:tcBorders>
                    <w:top w:val="none" w:sz="6" w:space="0" w:color="auto"/>
                    <w:left w:val="single" w:sz="4" w:space="0" w:color="000000"/>
                    <w:bottom w:val="none" w:sz="6" w:space="0" w:color="auto"/>
                    <w:right w:val="single" w:sz="4" w:space="0" w:color="000000"/>
                  </w:tcBorders>
                </w:tcPr>
                <w:p w14:paraId="380D65A5"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0.66</w:t>
                  </w:r>
                </w:p>
              </w:tc>
              <w:tc>
                <w:tcPr>
                  <w:tcW w:w="681" w:type="dxa"/>
                  <w:tcBorders>
                    <w:top w:val="none" w:sz="6" w:space="0" w:color="auto"/>
                    <w:left w:val="single" w:sz="4" w:space="0" w:color="000000"/>
                    <w:bottom w:val="none" w:sz="6" w:space="0" w:color="auto"/>
                    <w:right w:val="single" w:sz="4" w:space="0" w:color="000000"/>
                  </w:tcBorders>
                </w:tcPr>
                <w:p w14:paraId="75013AD0"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0.57</w:t>
                  </w:r>
                </w:p>
              </w:tc>
              <w:tc>
                <w:tcPr>
                  <w:tcW w:w="705" w:type="dxa"/>
                  <w:tcBorders>
                    <w:top w:val="none" w:sz="6" w:space="0" w:color="auto"/>
                    <w:left w:val="single" w:sz="4" w:space="0" w:color="000000"/>
                    <w:bottom w:val="none" w:sz="6" w:space="0" w:color="auto"/>
                    <w:right w:val="single" w:sz="4" w:space="0" w:color="000000"/>
                  </w:tcBorders>
                </w:tcPr>
                <w:p w14:paraId="4B3A2F87"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0.63</w:t>
                  </w:r>
                </w:p>
              </w:tc>
              <w:tc>
                <w:tcPr>
                  <w:tcW w:w="417" w:type="dxa"/>
                  <w:tcBorders>
                    <w:top w:val="none" w:sz="6" w:space="0" w:color="auto"/>
                    <w:left w:val="single" w:sz="4" w:space="0" w:color="000000"/>
                    <w:bottom w:val="none" w:sz="6" w:space="0" w:color="auto"/>
                    <w:right w:val="single" w:sz="4" w:space="0" w:color="000000"/>
                  </w:tcBorders>
                </w:tcPr>
                <w:p w14:paraId="123E3286"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0.66</w:t>
                  </w:r>
                </w:p>
              </w:tc>
              <w:tc>
                <w:tcPr>
                  <w:tcW w:w="588" w:type="dxa"/>
                  <w:tcBorders>
                    <w:top w:val="none" w:sz="6" w:space="0" w:color="auto"/>
                    <w:left w:val="single" w:sz="4" w:space="0" w:color="000000"/>
                    <w:bottom w:val="none" w:sz="6" w:space="0" w:color="auto"/>
                    <w:right w:val="single" w:sz="4" w:space="0" w:color="000000"/>
                  </w:tcBorders>
                </w:tcPr>
                <w:p w14:paraId="77250868"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0.06</w:t>
                  </w:r>
                </w:p>
              </w:tc>
            </w:tr>
            <w:tr w:rsidR="00984506" w:rsidRPr="00D9600A" w14:paraId="597D22A1" w14:textId="77777777" w:rsidTr="003C14EB">
              <w:trPr>
                <w:trHeight w:val="180"/>
              </w:trPr>
              <w:tc>
                <w:tcPr>
                  <w:tcW w:w="522" w:type="dxa"/>
                  <w:tcBorders>
                    <w:top w:val="none" w:sz="6" w:space="0" w:color="auto"/>
                    <w:left w:val="single" w:sz="4" w:space="0" w:color="000000"/>
                    <w:bottom w:val="none" w:sz="6" w:space="0" w:color="auto"/>
                    <w:right w:val="single" w:sz="4" w:space="0" w:color="000000"/>
                  </w:tcBorders>
                </w:tcPr>
                <w:p w14:paraId="0C270FE3"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1.00</w:t>
                  </w:r>
                </w:p>
              </w:tc>
              <w:tc>
                <w:tcPr>
                  <w:tcW w:w="681" w:type="dxa"/>
                  <w:tcBorders>
                    <w:top w:val="none" w:sz="6" w:space="0" w:color="auto"/>
                    <w:left w:val="single" w:sz="4" w:space="0" w:color="000000"/>
                    <w:bottom w:val="none" w:sz="6" w:space="0" w:color="auto"/>
                    <w:right w:val="single" w:sz="4" w:space="0" w:color="000000"/>
                  </w:tcBorders>
                </w:tcPr>
                <w:p w14:paraId="51992279"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0.90</w:t>
                  </w:r>
                </w:p>
              </w:tc>
              <w:tc>
                <w:tcPr>
                  <w:tcW w:w="664" w:type="dxa"/>
                  <w:tcBorders>
                    <w:top w:val="none" w:sz="6" w:space="0" w:color="auto"/>
                    <w:left w:val="single" w:sz="4" w:space="0" w:color="000000"/>
                    <w:bottom w:val="none" w:sz="6" w:space="0" w:color="auto"/>
                    <w:right w:val="single" w:sz="4" w:space="0" w:color="000000"/>
                  </w:tcBorders>
                </w:tcPr>
                <w:p w14:paraId="7ACC5FD5"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0.84</w:t>
                  </w:r>
                </w:p>
              </w:tc>
              <w:tc>
                <w:tcPr>
                  <w:tcW w:w="736" w:type="dxa"/>
                  <w:tcBorders>
                    <w:top w:val="none" w:sz="6" w:space="0" w:color="auto"/>
                    <w:left w:val="single" w:sz="4" w:space="0" w:color="000000"/>
                    <w:bottom w:val="none" w:sz="6" w:space="0" w:color="auto"/>
                    <w:right w:val="single" w:sz="4" w:space="0" w:color="000000"/>
                  </w:tcBorders>
                </w:tcPr>
                <w:p w14:paraId="0D857374"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0.67</w:t>
                  </w:r>
                </w:p>
              </w:tc>
              <w:tc>
                <w:tcPr>
                  <w:tcW w:w="705" w:type="dxa"/>
                  <w:tcBorders>
                    <w:top w:val="none" w:sz="6" w:space="0" w:color="auto"/>
                    <w:left w:val="single" w:sz="4" w:space="0" w:color="000000"/>
                    <w:bottom w:val="none" w:sz="6" w:space="0" w:color="auto"/>
                    <w:right w:val="single" w:sz="4" w:space="0" w:color="000000"/>
                  </w:tcBorders>
                </w:tcPr>
                <w:p w14:paraId="53AAF365"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0.72</w:t>
                  </w:r>
                </w:p>
              </w:tc>
              <w:tc>
                <w:tcPr>
                  <w:tcW w:w="695" w:type="dxa"/>
                  <w:tcBorders>
                    <w:top w:val="none" w:sz="6" w:space="0" w:color="auto"/>
                    <w:left w:val="single" w:sz="4" w:space="0" w:color="000000"/>
                    <w:bottom w:val="none" w:sz="6" w:space="0" w:color="auto"/>
                    <w:right w:val="single" w:sz="4" w:space="0" w:color="000000"/>
                  </w:tcBorders>
                </w:tcPr>
                <w:p w14:paraId="604843C1"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0.72</w:t>
                  </w:r>
                </w:p>
              </w:tc>
              <w:tc>
                <w:tcPr>
                  <w:tcW w:w="681" w:type="dxa"/>
                  <w:tcBorders>
                    <w:top w:val="none" w:sz="6" w:space="0" w:color="auto"/>
                    <w:left w:val="single" w:sz="4" w:space="0" w:color="000000"/>
                    <w:bottom w:val="none" w:sz="6" w:space="0" w:color="auto"/>
                    <w:right w:val="single" w:sz="4" w:space="0" w:color="000000"/>
                  </w:tcBorders>
                </w:tcPr>
                <w:p w14:paraId="4F5C29B1"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0.73</w:t>
                  </w:r>
                </w:p>
              </w:tc>
              <w:tc>
                <w:tcPr>
                  <w:tcW w:w="705" w:type="dxa"/>
                  <w:tcBorders>
                    <w:top w:val="none" w:sz="6" w:space="0" w:color="auto"/>
                    <w:left w:val="single" w:sz="4" w:space="0" w:color="000000"/>
                    <w:bottom w:val="none" w:sz="6" w:space="0" w:color="auto"/>
                    <w:right w:val="single" w:sz="4" w:space="0" w:color="000000"/>
                  </w:tcBorders>
                </w:tcPr>
                <w:p w14:paraId="1DB83854"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0.82</w:t>
                  </w:r>
                </w:p>
              </w:tc>
              <w:tc>
                <w:tcPr>
                  <w:tcW w:w="417" w:type="dxa"/>
                  <w:tcBorders>
                    <w:top w:val="none" w:sz="6" w:space="0" w:color="auto"/>
                    <w:left w:val="single" w:sz="4" w:space="0" w:color="000000"/>
                    <w:bottom w:val="none" w:sz="6" w:space="0" w:color="auto"/>
                    <w:right w:val="single" w:sz="4" w:space="0" w:color="000000"/>
                  </w:tcBorders>
                </w:tcPr>
                <w:p w14:paraId="3F55BDDD"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0.77</w:t>
                  </w:r>
                </w:p>
              </w:tc>
              <w:tc>
                <w:tcPr>
                  <w:tcW w:w="588" w:type="dxa"/>
                  <w:tcBorders>
                    <w:top w:val="none" w:sz="6" w:space="0" w:color="auto"/>
                    <w:left w:val="single" w:sz="4" w:space="0" w:color="000000"/>
                    <w:bottom w:val="none" w:sz="6" w:space="0" w:color="auto"/>
                    <w:right w:val="single" w:sz="4" w:space="0" w:color="000000"/>
                  </w:tcBorders>
                </w:tcPr>
                <w:p w14:paraId="5761AED6"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0.08</w:t>
                  </w:r>
                </w:p>
              </w:tc>
            </w:tr>
            <w:tr w:rsidR="00984506" w:rsidRPr="00D9600A" w14:paraId="47CCB92D" w14:textId="77777777" w:rsidTr="003C14EB">
              <w:trPr>
                <w:trHeight w:val="178"/>
              </w:trPr>
              <w:tc>
                <w:tcPr>
                  <w:tcW w:w="522" w:type="dxa"/>
                  <w:tcBorders>
                    <w:top w:val="none" w:sz="6" w:space="0" w:color="auto"/>
                    <w:left w:val="single" w:sz="4" w:space="0" w:color="000000"/>
                    <w:bottom w:val="none" w:sz="6" w:space="0" w:color="auto"/>
                    <w:right w:val="single" w:sz="4" w:space="0" w:color="000000"/>
                  </w:tcBorders>
                </w:tcPr>
                <w:p w14:paraId="30A660FE"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2.00</w:t>
                  </w:r>
                </w:p>
              </w:tc>
              <w:tc>
                <w:tcPr>
                  <w:tcW w:w="681" w:type="dxa"/>
                  <w:tcBorders>
                    <w:top w:val="none" w:sz="6" w:space="0" w:color="auto"/>
                    <w:left w:val="single" w:sz="4" w:space="0" w:color="000000"/>
                    <w:bottom w:val="none" w:sz="6" w:space="0" w:color="auto"/>
                    <w:right w:val="single" w:sz="4" w:space="0" w:color="000000"/>
                  </w:tcBorders>
                </w:tcPr>
                <w:p w14:paraId="79E3B654"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0.90</w:t>
                  </w:r>
                </w:p>
              </w:tc>
              <w:tc>
                <w:tcPr>
                  <w:tcW w:w="664" w:type="dxa"/>
                  <w:tcBorders>
                    <w:top w:val="none" w:sz="6" w:space="0" w:color="auto"/>
                    <w:left w:val="single" w:sz="4" w:space="0" w:color="000000"/>
                    <w:bottom w:val="none" w:sz="6" w:space="0" w:color="auto"/>
                    <w:right w:val="single" w:sz="4" w:space="0" w:color="000000"/>
                  </w:tcBorders>
                </w:tcPr>
                <w:p w14:paraId="2FD6AE5A"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0.87</w:t>
                  </w:r>
                </w:p>
              </w:tc>
              <w:tc>
                <w:tcPr>
                  <w:tcW w:w="736" w:type="dxa"/>
                  <w:tcBorders>
                    <w:top w:val="none" w:sz="6" w:space="0" w:color="auto"/>
                    <w:left w:val="single" w:sz="4" w:space="0" w:color="000000"/>
                    <w:bottom w:val="none" w:sz="6" w:space="0" w:color="auto"/>
                    <w:right w:val="single" w:sz="4" w:space="0" w:color="000000"/>
                  </w:tcBorders>
                </w:tcPr>
                <w:p w14:paraId="59EB73A8"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0.67</w:t>
                  </w:r>
                </w:p>
              </w:tc>
              <w:tc>
                <w:tcPr>
                  <w:tcW w:w="705" w:type="dxa"/>
                  <w:tcBorders>
                    <w:top w:val="none" w:sz="6" w:space="0" w:color="auto"/>
                    <w:left w:val="single" w:sz="4" w:space="0" w:color="000000"/>
                    <w:bottom w:val="none" w:sz="6" w:space="0" w:color="auto"/>
                    <w:right w:val="single" w:sz="4" w:space="0" w:color="000000"/>
                  </w:tcBorders>
                </w:tcPr>
                <w:p w14:paraId="38C0E061"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0.72</w:t>
                  </w:r>
                </w:p>
              </w:tc>
              <w:tc>
                <w:tcPr>
                  <w:tcW w:w="695" w:type="dxa"/>
                  <w:tcBorders>
                    <w:top w:val="none" w:sz="6" w:space="0" w:color="auto"/>
                    <w:left w:val="single" w:sz="4" w:space="0" w:color="000000"/>
                    <w:bottom w:val="none" w:sz="6" w:space="0" w:color="auto"/>
                    <w:right w:val="single" w:sz="4" w:space="0" w:color="000000"/>
                  </w:tcBorders>
                </w:tcPr>
                <w:p w14:paraId="5A6CB5BD"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0.73</w:t>
                  </w:r>
                </w:p>
              </w:tc>
              <w:tc>
                <w:tcPr>
                  <w:tcW w:w="681" w:type="dxa"/>
                  <w:tcBorders>
                    <w:top w:val="none" w:sz="6" w:space="0" w:color="auto"/>
                    <w:left w:val="single" w:sz="4" w:space="0" w:color="000000"/>
                    <w:bottom w:val="none" w:sz="6" w:space="0" w:color="auto"/>
                    <w:right w:val="single" w:sz="4" w:space="0" w:color="000000"/>
                  </w:tcBorders>
                </w:tcPr>
                <w:p w14:paraId="1784FEF6"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0.77</w:t>
                  </w:r>
                </w:p>
              </w:tc>
              <w:tc>
                <w:tcPr>
                  <w:tcW w:w="705" w:type="dxa"/>
                  <w:tcBorders>
                    <w:top w:val="none" w:sz="6" w:space="0" w:color="auto"/>
                    <w:left w:val="single" w:sz="4" w:space="0" w:color="000000"/>
                    <w:bottom w:val="none" w:sz="6" w:space="0" w:color="auto"/>
                    <w:right w:val="single" w:sz="4" w:space="0" w:color="000000"/>
                  </w:tcBorders>
                </w:tcPr>
                <w:p w14:paraId="6435DB09"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0.84</w:t>
                  </w:r>
                </w:p>
              </w:tc>
              <w:tc>
                <w:tcPr>
                  <w:tcW w:w="417" w:type="dxa"/>
                  <w:tcBorders>
                    <w:top w:val="none" w:sz="6" w:space="0" w:color="auto"/>
                    <w:left w:val="single" w:sz="4" w:space="0" w:color="000000"/>
                    <w:bottom w:val="none" w:sz="6" w:space="0" w:color="auto"/>
                    <w:right w:val="single" w:sz="4" w:space="0" w:color="000000"/>
                  </w:tcBorders>
                </w:tcPr>
                <w:p w14:paraId="0120E6E7"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0.78</w:t>
                  </w:r>
                </w:p>
              </w:tc>
              <w:tc>
                <w:tcPr>
                  <w:tcW w:w="588" w:type="dxa"/>
                  <w:tcBorders>
                    <w:top w:val="none" w:sz="6" w:space="0" w:color="auto"/>
                    <w:left w:val="single" w:sz="4" w:space="0" w:color="000000"/>
                    <w:bottom w:val="none" w:sz="6" w:space="0" w:color="auto"/>
                    <w:right w:val="single" w:sz="4" w:space="0" w:color="000000"/>
                  </w:tcBorders>
                </w:tcPr>
                <w:p w14:paraId="6646DE58"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0.08</w:t>
                  </w:r>
                </w:p>
              </w:tc>
            </w:tr>
            <w:tr w:rsidR="00984506" w:rsidRPr="00D9600A" w14:paraId="43EDCFDE" w14:textId="77777777" w:rsidTr="003C14EB">
              <w:trPr>
                <w:trHeight w:val="165"/>
              </w:trPr>
              <w:tc>
                <w:tcPr>
                  <w:tcW w:w="522" w:type="dxa"/>
                  <w:tcBorders>
                    <w:top w:val="none" w:sz="6" w:space="0" w:color="auto"/>
                    <w:left w:val="single" w:sz="4" w:space="0" w:color="000000"/>
                    <w:bottom w:val="single" w:sz="4" w:space="0" w:color="000000"/>
                    <w:right w:val="single" w:sz="4" w:space="0" w:color="000000"/>
                  </w:tcBorders>
                </w:tcPr>
                <w:p w14:paraId="13E8C52C"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4.00</w:t>
                  </w:r>
                </w:p>
              </w:tc>
              <w:tc>
                <w:tcPr>
                  <w:tcW w:w="681" w:type="dxa"/>
                  <w:tcBorders>
                    <w:top w:val="none" w:sz="6" w:space="0" w:color="auto"/>
                    <w:left w:val="single" w:sz="4" w:space="0" w:color="000000"/>
                    <w:bottom w:val="single" w:sz="4" w:space="0" w:color="000000"/>
                    <w:right w:val="single" w:sz="4" w:space="0" w:color="000000"/>
                  </w:tcBorders>
                </w:tcPr>
                <w:p w14:paraId="63E0E9F2"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0.90</w:t>
                  </w:r>
                </w:p>
              </w:tc>
              <w:tc>
                <w:tcPr>
                  <w:tcW w:w="664" w:type="dxa"/>
                  <w:tcBorders>
                    <w:top w:val="none" w:sz="6" w:space="0" w:color="auto"/>
                    <w:left w:val="single" w:sz="4" w:space="0" w:color="000000"/>
                    <w:bottom w:val="single" w:sz="4" w:space="0" w:color="000000"/>
                    <w:right w:val="single" w:sz="4" w:space="0" w:color="000000"/>
                  </w:tcBorders>
                </w:tcPr>
                <w:p w14:paraId="467BD543"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0.87</w:t>
                  </w:r>
                </w:p>
              </w:tc>
              <w:tc>
                <w:tcPr>
                  <w:tcW w:w="736" w:type="dxa"/>
                  <w:tcBorders>
                    <w:top w:val="none" w:sz="6" w:space="0" w:color="auto"/>
                    <w:left w:val="single" w:sz="4" w:space="0" w:color="000000"/>
                    <w:bottom w:val="single" w:sz="4" w:space="0" w:color="000000"/>
                    <w:right w:val="single" w:sz="4" w:space="0" w:color="000000"/>
                  </w:tcBorders>
                </w:tcPr>
                <w:p w14:paraId="17B137D8"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0.67</w:t>
                  </w:r>
                </w:p>
              </w:tc>
              <w:tc>
                <w:tcPr>
                  <w:tcW w:w="705" w:type="dxa"/>
                  <w:tcBorders>
                    <w:top w:val="none" w:sz="6" w:space="0" w:color="auto"/>
                    <w:left w:val="single" w:sz="4" w:space="0" w:color="000000"/>
                    <w:bottom w:val="single" w:sz="4" w:space="0" w:color="000000"/>
                    <w:right w:val="single" w:sz="4" w:space="0" w:color="000000"/>
                  </w:tcBorders>
                </w:tcPr>
                <w:p w14:paraId="04B81E68"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0.77</w:t>
                  </w:r>
                </w:p>
              </w:tc>
              <w:tc>
                <w:tcPr>
                  <w:tcW w:w="695" w:type="dxa"/>
                  <w:tcBorders>
                    <w:top w:val="none" w:sz="6" w:space="0" w:color="auto"/>
                    <w:left w:val="single" w:sz="4" w:space="0" w:color="000000"/>
                    <w:bottom w:val="single" w:sz="4" w:space="0" w:color="000000"/>
                    <w:right w:val="single" w:sz="4" w:space="0" w:color="000000"/>
                  </w:tcBorders>
                </w:tcPr>
                <w:p w14:paraId="26733374"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0.78</w:t>
                  </w:r>
                </w:p>
              </w:tc>
              <w:tc>
                <w:tcPr>
                  <w:tcW w:w="681" w:type="dxa"/>
                  <w:tcBorders>
                    <w:top w:val="none" w:sz="6" w:space="0" w:color="auto"/>
                    <w:left w:val="single" w:sz="4" w:space="0" w:color="000000"/>
                    <w:bottom w:val="single" w:sz="4" w:space="0" w:color="000000"/>
                    <w:right w:val="single" w:sz="4" w:space="0" w:color="000000"/>
                  </w:tcBorders>
                </w:tcPr>
                <w:p w14:paraId="2C89C168"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0.80</w:t>
                  </w:r>
                </w:p>
              </w:tc>
              <w:tc>
                <w:tcPr>
                  <w:tcW w:w="705" w:type="dxa"/>
                  <w:tcBorders>
                    <w:top w:val="none" w:sz="6" w:space="0" w:color="auto"/>
                    <w:left w:val="single" w:sz="4" w:space="0" w:color="000000"/>
                    <w:bottom w:val="single" w:sz="4" w:space="0" w:color="000000"/>
                    <w:right w:val="single" w:sz="4" w:space="0" w:color="000000"/>
                  </w:tcBorders>
                </w:tcPr>
                <w:p w14:paraId="3BCD8B92"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0.94</w:t>
                  </w:r>
                </w:p>
              </w:tc>
              <w:tc>
                <w:tcPr>
                  <w:tcW w:w="417" w:type="dxa"/>
                  <w:tcBorders>
                    <w:top w:val="none" w:sz="6" w:space="0" w:color="auto"/>
                    <w:left w:val="single" w:sz="4" w:space="0" w:color="000000"/>
                    <w:bottom w:val="single" w:sz="4" w:space="0" w:color="000000"/>
                    <w:right w:val="single" w:sz="4" w:space="0" w:color="000000"/>
                  </w:tcBorders>
                </w:tcPr>
                <w:p w14:paraId="5770433E"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0.82</w:t>
                  </w:r>
                </w:p>
              </w:tc>
              <w:tc>
                <w:tcPr>
                  <w:tcW w:w="588" w:type="dxa"/>
                  <w:tcBorders>
                    <w:top w:val="none" w:sz="6" w:space="0" w:color="auto"/>
                    <w:left w:val="single" w:sz="4" w:space="0" w:color="000000"/>
                    <w:bottom w:val="single" w:sz="4" w:space="0" w:color="000000"/>
                    <w:right w:val="single" w:sz="4" w:space="0" w:color="000000"/>
                  </w:tcBorders>
                </w:tcPr>
                <w:p w14:paraId="08D08E40" w14:textId="77777777" w:rsidR="00984506" w:rsidRPr="00D9600A" w:rsidRDefault="00984506" w:rsidP="00984506">
                  <w:pPr>
                    <w:kinsoku w:val="0"/>
                    <w:overflowPunct w:val="0"/>
                    <w:autoSpaceDE w:val="0"/>
                    <w:autoSpaceDN w:val="0"/>
                    <w:adjustRightInd w:val="0"/>
                    <w:spacing w:after="0" w:line="240" w:lineRule="auto"/>
                    <w:jc w:val="center"/>
                    <w:rPr>
                      <w:rFonts w:ascii="Calibri" w:hAnsi="Calibri"/>
                      <w:spacing w:val="-4"/>
                      <w:kern w:val="0"/>
                      <w:sz w:val="16"/>
                      <w:lang w:val="en-GB"/>
                    </w:rPr>
                  </w:pPr>
                  <w:r w:rsidRPr="00D9600A">
                    <w:rPr>
                      <w:rFonts w:ascii="Calibri" w:hAnsi="Calibri"/>
                      <w:spacing w:val="-4"/>
                      <w:kern w:val="0"/>
                      <w:sz w:val="16"/>
                      <w:lang w:val="en-GB"/>
                    </w:rPr>
                    <w:t>0.09</w:t>
                  </w:r>
                </w:p>
              </w:tc>
            </w:tr>
          </w:tbl>
          <w:p w14:paraId="389DA9D0" w14:textId="77777777" w:rsidR="004F609C" w:rsidRPr="00D9600A" w:rsidRDefault="004F609C" w:rsidP="00B1582B">
            <w:pPr>
              <w:pStyle w:val="BodyText2"/>
              <w:ind w:firstLine="0"/>
              <w:rPr>
                <w:lang w:val="en-GB"/>
              </w:rPr>
            </w:pPr>
          </w:p>
        </w:tc>
      </w:tr>
    </w:tbl>
    <w:p w14:paraId="27BBFB72" w14:textId="70620754" w:rsidR="00B1582B" w:rsidRPr="00D9600A" w:rsidRDefault="00B1582B" w:rsidP="00F63AD9">
      <w:pPr>
        <w:pStyle w:val="FigureCaption"/>
        <w:jc w:val="both"/>
        <w:rPr>
          <w:lang w:val="en-GB"/>
        </w:rPr>
      </w:pPr>
      <w:r w:rsidRPr="00D9600A">
        <w:rPr>
          <w:lang w:val="en-GB"/>
        </w:rPr>
        <w:t xml:space="preserve">Fig. </w:t>
      </w:r>
      <w:r w:rsidR="00347016" w:rsidRPr="00D9600A">
        <w:rPr>
          <w:lang w:val="en-GB"/>
        </w:rPr>
        <w:t>6</w:t>
      </w:r>
      <w:r w:rsidRPr="00D9600A">
        <w:rPr>
          <w:lang w:val="en-GB"/>
        </w:rPr>
        <w:t>. V/H values as functions of period for the six models used in this assessment, with averages shown as a solid black line.</w:t>
      </w:r>
      <w:r w:rsidR="004D18DE" w:rsidRPr="00D9600A">
        <w:rPr>
          <w:lang w:val="en-GB"/>
        </w:rPr>
        <w:t xml:space="preserve"> Right: Tabulated data </w:t>
      </w:r>
      <w:r w:rsidR="00196FA0" w:rsidRPr="00D9600A">
        <w:rPr>
          <w:lang w:val="en-GB"/>
        </w:rPr>
        <w:t>for the figure.</w:t>
      </w:r>
    </w:p>
    <w:p w14:paraId="6280B5D1" w14:textId="503E56F6" w:rsidR="00090519" w:rsidRPr="00D9600A" w:rsidRDefault="00090519" w:rsidP="00F63AD9">
      <w:pPr>
        <w:pStyle w:val="Heading1"/>
        <w:jc w:val="both"/>
        <w:rPr>
          <w:lang w:val="en-GB"/>
        </w:rPr>
      </w:pPr>
      <w:r w:rsidRPr="00D9600A">
        <w:rPr>
          <w:lang w:val="en-GB"/>
        </w:rPr>
        <w:t xml:space="preserve">Relative weighting </w:t>
      </w:r>
      <w:r w:rsidR="00174E7A" w:rsidRPr="00D9600A">
        <w:rPr>
          <w:lang w:val="en-GB"/>
        </w:rPr>
        <w:t xml:space="preserve">of </w:t>
      </w:r>
      <w:r w:rsidR="0023353A" w:rsidRPr="00D9600A">
        <w:rPr>
          <w:lang w:val="en-GB"/>
        </w:rPr>
        <w:t xml:space="preserve">the </w:t>
      </w:r>
      <w:r w:rsidR="00703113" w:rsidRPr="00D9600A">
        <w:rPr>
          <w:lang w:val="en-GB"/>
        </w:rPr>
        <w:t xml:space="preserve">area </w:t>
      </w:r>
      <w:r w:rsidR="00174E7A" w:rsidRPr="00D9600A">
        <w:rPr>
          <w:lang w:val="en-GB"/>
        </w:rPr>
        <w:t>zonation</w:t>
      </w:r>
      <w:r w:rsidR="0023353A" w:rsidRPr="00D9600A">
        <w:rPr>
          <w:lang w:val="en-GB"/>
        </w:rPr>
        <w:t xml:space="preserve"> model</w:t>
      </w:r>
      <w:r w:rsidR="00174E7A" w:rsidRPr="00D9600A">
        <w:rPr>
          <w:lang w:val="en-GB"/>
        </w:rPr>
        <w:t xml:space="preserve">s and </w:t>
      </w:r>
      <w:r w:rsidR="0023353A" w:rsidRPr="00D9600A">
        <w:rPr>
          <w:lang w:val="en-GB"/>
        </w:rPr>
        <w:t xml:space="preserve">the </w:t>
      </w:r>
      <w:r w:rsidR="00174E7A" w:rsidRPr="00D9600A">
        <w:rPr>
          <w:lang w:val="en-GB"/>
        </w:rPr>
        <w:t>zonation free model</w:t>
      </w:r>
    </w:p>
    <w:p w14:paraId="7ECBFE38" w14:textId="13F12CF9" w:rsidR="00090519" w:rsidRPr="00D9600A" w:rsidRDefault="00090519" w:rsidP="00F63AD9">
      <w:pPr>
        <w:pStyle w:val="BodyText1"/>
        <w:jc w:val="both"/>
        <w:rPr>
          <w:lang w:val="en-GB"/>
        </w:rPr>
      </w:pPr>
      <w:r w:rsidRPr="00D9600A">
        <w:rPr>
          <w:lang w:val="en-GB"/>
        </w:rPr>
        <w:t>The present analysis involves several levels of expert judgement and choices</w:t>
      </w:r>
      <w:r w:rsidR="00CE773C" w:rsidRPr="00D9600A">
        <w:rPr>
          <w:lang w:val="en-GB"/>
        </w:rPr>
        <w:t xml:space="preserve"> where the</w:t>
      </w:r>
      <w:r w:rsidR="00A62A76" w:rsidRPr="00D9600A">
        <w:rPr>
          <w:lang w:val="en-GB"/>
        </w:rPr>
        <w:t xml:space="preserve"> aim </w:t>
      </w:r>
      <w:r w:rsidR="00703113" w:rsidRPr="00D9600A">
        <w:rPr>
          <w:lang w:val="en-GB"/>
        </w:rPr>
        <w:t>was</w:t>
      </w:r>
      <w:r w:rsidR="00550FB4" w:rsidRPr="00D9600A">
        <w:rPr>
          <w:lang w:val="en-GB"/>
        </w:rPr>
        <w:t xml:space="preserve"> to </w:t>
      </w:r>
      <w:r w:rsidR="00703113" w:rsidRPr="00D9600A">
        <w:rPr>
          <w:lang w:val="en-GB"/>
        </w:rPr>
        <w:t xml:space="preserve">catch </w:t>
      </w:r>
      <w:r w:rsidR="00550FB4" w:rsidRPr="00D9600A">
        <w:rPr>
          <w:lang w:val="en-GB"/>
        </w:rPr>
        <w:t xml:space="preserve">the epistemic uncertainty. </w:t>
      </w:r>
      <w:r w:rsidRPr="00D9600A">
        <w:rPr>
          <w:lang w:val="en-GB"/>
        </w:rPr>
        <w:t>One such choice is the logic tree weighting</w:t>
      </w:r>
      <w:r w:rsidR="00C9523D" w:rsidRPr="00D9600A">
        <w:rPr>
          <w:lang w:val="en-GB"/>
        </w:rPr>
        <w:t xml:space="preserve"> where </w:t>
      </w:r>
      <w:r w:rsidR="00703113" w:rsidRPr="00D9600A">
        <w:rPr>
          <w:lang w:val="en-GB"/>
        </w:rPr>
        <w:t xml:space="preserve">our </w:t>
      </w:r>
      <w:r w:rsidR="00C9523D" w:rsidRPr="00D9600A">
        <w:rPr>
          <w:lang w:val="en-GB"/>
        </w:rPr>
        <w:t xml:space="preserve">expert judgement </w:t>
      </w:r>
      <w:r w:rsidR="00A17EA0" w:rsidRPr="00D9600A">
        <w:rPr>
          <w:lang w:val="en-GB"/>
        </w:rPr>
        <w:t xml:space="preserve">concluded with a </w:t>
      </w:r>
      <w:r w:rsidR="00931BF0" w:rsidRPr="00D9600A">
        <w:rPr>
          <w:lang w:val="en-GB"/>
        </w:rPr>
        <w:t>0.4 – 0.4 – 0.2</w:t>
      </w:r>
      <w:r w:rsidR="00A17EA0" w:rsidRPr="00D9600A">
        <w:rPr>
          <w:lang w:val="en-GB"/>
        </w:rPr>
        <w:t xml:space="preserve"> weighting between the </w:t>
      </w:r>
      <w:r w:rsidR="00214800" w:rsidRPr="00D9600A">
        <w:rPr>
          <w:lang w:val="en-GB"/>
        </w:rPr>
        <w:t xml:space="preserve">three models (two </w:t>
      </w:r>
      <w:r w:rsidR="00703113" w:rsidRPr="00D9600A">
        <w:rPr>
          <w:lang w:val="en-GB"/>
        </w:rPr>
        <w:t xml:space="preserve">area </w:t>
      </w:r>
      <w:r w:rsidR="00214800" w:rsidRPr="00D9600A">
        <w:rPr>
          <w:lang w:val="en-GB"/>
        </w:rPr>
        <w:t>zonations and one zonation free)</w:t>
      </w:r>
      <w:r w:rsidRPr="00D9600A">
        <w:rPr>
          <w:lang w:val="en-GB"/>
        </w:rPr>
        <w:t xml:space="preserve">. For the sake of transparency, we have conducted a test with two alternative logic tree weighting schemes aimed at demonstrating the influence that other choices could have introduced. We have investigated the influence of the relative zonation weighting on PGA using </w:t>
      </w:r>
      <w:r w:rsidR="003232E5" w:rsidRPr="00D9600A">
        <w:rPr>
          <w:lang w:val="en-GB"/>
        </w:rPr>
        <w:t xml:space="preserve">various </w:t>
      </w:r>
      <w:r w:rsidRPr="00D9600A">
        <w:rPr>
          <w:lang w:val="en-GB"/>
        </w:rPr>
        <w:t>alternative weighting schemes (1/3 - 1/3 - 1/3 and 0.5 - 0.3 - 0.2</w:t>
      </w:r>
      <w:r w:rsidR="003232E5" w:rsidRPr="00D9600A">
        <w:rPr>
          <w:lang w:val="en-GB"/>
        </w:rPr>
        <w:t>)</w:t>
      </w:r>
      <w:r w:rsidR="00860340" w:rsidRPr="00D9600A">
        <w:rPr>
          <w:lang w:val="en-GB"/>
        </w:rPr>
        <w:t xml:space="preserve">. </w:t>
      </w:r>
      <w:r w:rsidRPr="00D9600A">
        <w:rPr>
          <w:lang w:val="en-GB"/>
        </w:rPr>
        <w:t>The difference when comparing the preferred weighting (0.4 - 0.4 - 0.2) with all-models-equal-weight shows for Norway variations from -9% to +</w:t>
      </w:r>
      <w:r w:rsidR="00B01D00" w:rsidRPr="00D9600A">
        <w:rPr>
          <w:lang w:val="en-GB"/>
        </w:rPr>
        <w:t>15</w:t>
      </w:r>
      <w:r w:rsidRPr="00D9600A">
        <w:rPr>
          <w:lang w:val="en-GB"/>
        </w:rPr>
        <w:t>% and for Svalbard up to 1</w:t>
      </w:r>
      <w:r w:rsidR="00B01D00" w:rsidRPr="00D9600A">
        <w:rPr>
          <w:lang w:val="en-GB"/>
        </w:rPr>
        <w:t>5</w:t>
      </w:r>
      <w:r w:rsidRPr="00D9600A">
        <w:rPr>
          <w:lang w:val="en-GB"/>
        </w:rPr>
        <w:t xml:space="preserve">% difference. </w:t>
      </w:r>
      <w:r w:rsidR="00027B7A" w:rsidRPr="00D9600A">
        <w:rPr>
          <w:lang w:val="en-GB"/>
        </w:rPr>
        <w:t>Fig</w:t>
      </w:r>
      <w:r w:rsidR="00703113" w:rsidRPr="00D9600A">
        <w:rPr>
          <w:lang w:val="en-GB"/>
        </w:rPr>
        <w:t>.</w:t>
      </w:r>
      <w:r w:rsidR="00027B7A" w:rsidRPr="00D9600A">
        <w:rPr>
          <w:lang w:val="en-GB"/>
        </w:rPr>
        <w:t xml:space="preserve"> </w:t>
      </w:r>
      <w:r w:rsidR="00711575" w:rsidRPr="00D9600A">
        <w:rPr>
          <w:lang w:val="en-GB"/>
        </w:rPr>
        <w:t>7</w:t>
      </w:r>
      <w:r w:rsidR="000B3829" w:rsidRPr="00D9600A">
        <w:rPr>
          <w:lang w:val="en-GB"/>
        </w:rPr>
        <w:t xml:space="preserve"> </w:t>
      </w:r>
      <w:r w:rsidR="0097680D" w:rsidRPr="00D9600A">
        <w:rPr>
          <w:lang w:val="en-GB"/>
        </w:rPr>
        <w:t xml:space="preserve">demonstrates the effect of </w:t>
      </w:r>
      <w:r w:rsidR="00B14B68" w:rsidRPr="00D9600A">
        <w:rPr>
          <w:lang w:val="en-GB"/>
        </w:rPr>
        <w:t xml:space="preserve">the expert opinion choices </w:t>
      </w:r>
      <w:r w:rsidR="0097680D" w:rsidRPr="00D9600A">
        <w:rPr>
          <w:lang w:val="en-GB"/>
        </w:rPr>
        <w:t xml:space="preserve">incorporating </w:t>
      </w:r>
      <w:r w:rsidR="00C07FFD" w:rsidRPr="00D9600A">
        <w:rPr>
          <w:lang w:val="en-GB"/>
        </w:rPr>
        <w:t>expert judgement</w:t>
      </w:r>
      <w:r w:rsidR="00B30D42" w:rsidRPr="00D9600A">
        <w:rPr>
          <w:lang w:val="en-GB"/>
        </w:rPr>
        <w:t>, and also demonstrates that the zonation free method</w:t>
      </w:r>
      <w:r w:rsidR="00A505AF" w:rsidRPr="00D9600A">
        <w:rPr>
          <w:lang w:val="en-GB"/>
        </w:rPr>
        <w:t>,</w:t>
      </w:r>
      <w:r w:rsidR="00B30D42" w:rsidRPr="00D9600A">
        <w:rPr>
          <w:lang w:val="en-GB"/>
        </w:rPr>
        <w:t xml:space="preserve"> </w:t>
      </w:r>
      <w:r w:rsidR="00A505AF" w:rsidRPr="00D9600A">
        <w:rPr>
          <w:lang w:val="en-GB"/>
        </w:rPr>
        <w:t xml:space="preserve">in general, </w:t>
      </w:r>
      <w:r w:rsidR="00B30D42" w:rsidRPr="00D9600A">
        <w:rPr>
          <w:lang w:val="en-GB"/>
        </w:rPr>
        <w:t xml:space="preserve">seems to </w:t>
      </w:r>
      <w:r w:rsidR="009B48F4" w:rsidRPr="00D9600A">
        <w:rPr>
          <w:lang w:val="en-GB"/>
        </w:rPr>
        <w:t>generate</w:t>
      </w:r>
      <w:r w:rsidR="00A505AF" w:rsidRPr="00D9600A">
        <w:rPr>
          <w:lang w:val="en-GB"/>
        </w:rPr>
        <w:t xml:space="preserve"> a </w:t>
      </w:r>
      <w:r w:rsidR="00703113" w:rsidRPr="00D9600A">
        <w:rPr>
          <w:lang w:val="en-GB"/>
        </w:rPr>
        <w:t xml:space="preserve">somewhat </w:t>
      </w:r>
      <w:r w:rsidR="00A505AF" w:rsidRPr="00D9600A">
        <w:rPr>
          <w:lang w:val="en-GB"/>
        </w:rPr>
        <w:t>lower</w:t>
      </w:r>
      <w:r w:rsidR="009B48F4" w:rsidRPr="00D9600A">
        <w:rPr>
          <w:lang w:val="en-GB"/>
        </w:rPr>
        <w:t xml:space="preserve"> hazard (lower shaking intensities) with </w:t>
      </w:r>
      <w:r w:rsidR="000424FA" w:rsidRPr="00D9600A">
        <w:rPr>
          <w:lang w:val="en-GB"/>
        </w:rPr>
        <w:t xml:space="preserve">exceptions for areas with </w:t>
      </w:r>
      <w:r w:rsidR="00E8590D" w:rsidRPr="00D9600A">
        <w:rPr>
          <w:lang w:val="en-GB"/>
        </w:rPr>
        <w:t xml:space="preserve">earthquake clustering. Since our expert opinion is that the larger earthquakes </w:t>
      </w:r>
      <w:r w:rsidR="00B06EB7" w:rsidRPr="00D9600A">
        <w:rPr>
          <w:lang w:val="en-GB"/>
        </w:rPr>
        <w:t xml:space="preserve">cannot fully be predicted by the microseismicity clustering </w:t>
      </w:r>
      <w:r w:rsidR="00174E7A" w:rsidRPr="00D9600A">
        <w:rPr>
          <w:lang w:val="en-GB"/>
        </w:rPr>
        <w:t xml:space="preserve">we feel confident with </w:t>
      </w:r>
      <w:r w:rsidR="00C07FFD" w:rsidRPr="00D9600A">
        <w:rPr>
          <w:lang w:val="en-GB"/>
        </w:rPr>
        <w:t>the relative weighting choice made.</w:t>
      </w:r>
    </w:p>
    <w:p w14:paraId="32C932FC" w14:textId="76541B13" w:rsidR="00380A76" w:rsidRPr="00D9600A" w:rsidRDefault="006F6F48" w:rsidP="00F63AD9">
      <w:pPr>
        <w:pStyle w:val="BodyText2"/>
        <w:jc w:val="both"/>
        <w:rPr>
          <w:lang w:val="en-GB"/>
        </w:rPr>
      </w:pPr>
      <w:r w:rsidRPr="00D9600A">
        <w:rPr>
          <w:lang w:val="en-GB"/>
        </w:rPr>
        <w:t xml:space="preserve">One </w:t>
      </w:r>
      <w:r w:rsidR="001402A0" w:rsidRPr="00D9600A">
        <w:rPr>
          <w:lang w:val="en-GB"/>
        </w:rPr>
        <w:t xml:space="preserve">specific </w:t>
      </w:r>
      <w:r w:rsidRPr="00D9600A">
        <w:rPr>
          <w:lang w:val="en-GB"/>
        </w:rPr>
        <w:t xml:space="preserve">reason to down weight the </w:t>
      </w:r>
      <w:r w:rsidR="008C0059" w:rsidRPr="00D9600A">
        <w:rPr>
          <w:lang w:val="en-GB"/>
        </w:rPr>
        <w:t xml:space="preserve">zonation free method relative to the area-based models is that </w:t>
      </w:r>
      <w:r w:rsidR="000949C0" w:rsidRPr="00D9600A">
        <w:rPr>
          <w:lang w:val="en-GB"/>
        </w:rPr>
        <w:t xml:space="preserve">the </w:t>
      </w:r>
      <w:r w:rsidR="008C0059" w:rsidRPr="00D9600A">
        <w:rPr>
          <w:lang w:val="en-GB"/>
        </w:rPr>
        <w:t xml:space="preserve">zonation free method is </w:t>
      </w:r>
      <w:r w:rsidR="00E64F91" w:rsidRPr="00D9600A">
        <w:rPr>
          <w:lang w:val="en-GB"/>
        </w:rPr>
        <w:t>more</w:t>
      </w:r>
      <w:r w:rsidR="00850F60" w:rsidRPr="00D9600A">
        <w:rPr>
          <w:lang w:val="en-GB"/>
        </w:rPr>
        <w:t xml:space="preserve"> directly reflecting the historical </w:t>
      </w:r>
      <w:r w:rsidR="008B351E" w:rsidRPr="00D9600A">
        <w:rPr>
          <w:lang w:val="en-GB"/>
        </w:rPr>
        <w:t>earthquake</w:t>
      </w:r>
      <w:r w:rsidR="008C0059" w:rsidRPr="00D9600A">
        <w:rPr>
          <w:lang w:val="en-GB"/>
        </w:rPr>
        <w:t xml:space="preserve"> </w:t>
      </w:r>
      <w:r w:rsidR="00850F60" w:rsidRPr="00D9600A">
        <w:rPr>
          <w:lang w:val="en-GB"/>
        </w:rPr>
        <w:t>catalogue</w:t>
      </w:r>
      <w:r w:rsidR="008B351E" w:rsidRPr="00D9600A">
        <w:rPr>
          <w:lang w:val="en-GB"/>
        </w:rPr>
        <w:t>. This is a</w:t>
      </w:r>
      <w:r w:rsidR="00E64F91" w:rsidRPr="00D9600A">
        <w:rPr>
          <w:lang w:val="en-GB"/>
        </w:rPr>
        <w:t>n</w:t>
      </w:r>
      <w:r w:rsidR="008B351E" w:rsidRPr="00D9600A">
        <w:rPr>
          <w:lang w:val="en-GB"/>
        </w:rPr>
        <w:t xml:space="preserve"> advantage when the catalogue covers a </w:t>
      </w:r>
      <w:r w:rsidR="00634148" w:rsidRPr="00D9600A">
        <w:rPr>
          <w:lang w:val="en-GB"/>
        </w:rPr>
        <w:t>long-time</w:t>
      </w:r>
      <w:r w:rsidR="000949C0" w:rsidRPr="00D9600A">
        <w:rPr>
          <w:lang w:val="en-GB"/>
        </w:rPr>
        <w:t xml:space="preserve"> window</w:t>
      </w:r>
      <w:r w:rsidR="00D3137A" w:rsidRPr="00D9600A">
        <w:rPr>
          <w:lang w:val="en-GB"/>
        </w:rPr>
        <w:t xml:space="preserve">, </w:t>
      </w:r>
      <w:r w:rsidR="00E64F91" w:rsidRPr="00D9600A">
        <w:rPr>
          <w:lang w:val="en-GB"/>
        </w:rPr>
        <w:t>while</w:t>
      </w:r>
      <w:r w:rsidR="00D3137A" w:rsidRPr="00D9600A">
        <w:rPr>
          <w:lang w:val="en-GB"/>
        </w:rPr>
        <w:t xml:space="preserve"> a short </w:t>
      </w:r>
      <w:r w:rsidR="00CC0FF0" w:rsidRPr="00D9600A">
        <w:rPr>
          <w:lang w:val="en-GB"/>
        </w:rPr>
        <w:t>window</w:t>
      </w:r>
      <w:r w:rsidR="00D3137A" w:rsidRPr="00D9600A">
        <w:rPr>
          <w:lang w:val="en-GB"/>
        </w:rPr>
        <w:t xml:space="preserve"> may not </w:t>
      </w:r>
      <w:r w:rsidR="00CC0FF0" w:rsidRPr="00D9600A">
        <w:rPr>
          <w:lang w:val="en-GB"/>
        </w:rPr>
        <w:t>reflect</w:t>
      </w:r>
      <w:r w:rsidR="00D3137A" w:rsidRPr="00D9600A">
        <w:rPr>
          <w:lang w:val="en-GB"/>
        </w:rPr>
        <w:t xml:space="preserve"> the full seismic potential.</w:t>
      </w:r>
      <w:r w:rsidR="00850F60" w:rsidRPr="00D9600A">
        <w:rPr>
          <w:lang w:val="en-GB"/>
        </w:rPr>
        <w:t xml:space="preserve"> </w:t>
      </w:r>
      <w:r w:rsidR="00653873" w:rsidRPr="00D9600A">
        <w:rPr>
          <w:lang w:val="en-GB"/>
        </w:rPr>
        <w:t>Woo (1996) recognized this and suggested</w:t>
      </w:r>
      <w:r w:rsidR="00B35068" w:rsidRPr="00D9600A">
        <w:rPr>
          <w:lang w:val="en-GB"/>
        </w:rPr>
        <w:t>: “</w:t>
      </w:r>
      <w:r w:rsidR="00653873" w:rsidRPr="00D9600A">
        <w:rPr>
          <w:i/>
          <w:iCs/>
          <w:lang w:val="en-GB"/>
        </w:rPr>
        <w:t>where it is reckoned that the maximum magnitude earthquake is missing from the regional earthquake catalog</w:t>
      </w:r>
      <w:r w:rsidR="00473570" w:rsidRPr="00D9600A">
        <w:rPr>
          <w:i/>
          <w:iCs/>
          <w:lang w:val="en-GB"/>
        </w:rPr>
        <w:t>ue</w:t>
      </w:r>
      <w:r w:rsidR="00653873" w:rsidRPr="00D9600A">
        <w:rPr>
          <w:i/>
          <w:iCs/>
          <w:lang w:val="en-GB"/>
        </w:rPr>
        <w:t>, the activity rate density field may be adjusted to accommodate such an extreme occurrence</w:t>
      </w:r>
      <w:r w:rsidR="00653873" w:rsidRPr="00D9600A">
        <w:rPr>
          <w:lang w:val="en-GB"/>
        </w:rPr>
        <w:t>.” We could in the present paper not implement this and consequently the zonation free method was included with lower weights</w:t>
      </w:r>
      <w:r w:rsidR="00996031" w:rsidRPr="00D9600A">
        <w:rPr>
          <w:lang w:val="en-GB"/>
        </w:rPr>
        <w:t xml:space="preserve"> even when </w:t>
      </w:r>
      <w:r w:rsidR="00653873" w:rsidRPr="00D9600A">
        <w:rPr>
          <w:lang w:val="en-GB"/>
        </w:rPr>
        <w:t>not</w:t>
      </w:r>
      <w:r w:rsidR="00250096" w:rsidRPr="00D9600A">
        <w:rPr>
          <w:lang w:val="en-GB"/>
        </w:rPr>
        <w:t xml:space="preserve">ing </w:t>
      </w:r>
      <w:r w:rsidR="00653873" w:rsidRPr="00D9600A">
        <w:rPr>
          <w:lang w:val="en-GB"/>
        </w:rPr>
        <w:t>that Mmax has lower influence on the results when, as in our case</w:t>
      </w:r>
      <w:r w:rsidR="003B774A" w:rsidRPr="00D9600A">
        <w:rPr>
          <w:lang w:val="en-GB"/>
        </w:rPr>
        <w:t>, t</w:t>
      </w:r>
      <w:r w:rsidR="00653873" w:rsidRPr="00D9600A">
        <w:rPr>
          <w:lang w:val="en-GB"/>
        </w:rPr>
        <w:t>he return period was set as low as 475 years compared to when hazard is computed for longer return periods.</w:t>
      </w:r>
    </w:p>
    <w:p w14:paraId="5D3A3ADA" w14:textId="15CAB7DC" w:rsidR="001B6DE3" w:rsidRPr="00D9600A" w:rsidRDefault="001B6DE3" w:rsidP="00F63AD9">
      <w:pPr>
        <w:pStyle w:val="BodyText2"/>
        <w:jc w:val="both"/>
        <w:rPr>
          <w:lang w:val="en-GB"/>
        </w:rPr>
      </w:pPr>
      <w:r w:rsidRPr="00D9600A">
        <w:rPr>
          <w:lang w:val="en-GB"/>
        </w:rPr>
        <w:t xml:space="preserve">Figure 7 demonstrates the relative </w:t>
      </w:r>
      <w:r w:rsidR="00C1673C" w:rsidRPr="00D9600A">
        <w:rPr>
          <w:lang w:val="en-GB"/>
        </w:rPr>
        <w:t xml:space="preserve">influence of the model weighting. </w:t>
      </w:r>
      <w:r w:rsidR="00646810" w:rsidRPr="00D9600A">
        <w:rPr>
          <w:lang w:val="en-GB"/>
        </w:rPr>
        <w:t xml:space="preserve">Even when we have done our best to </w:t>
      </w:r>
      <w:r w:rsidR="005D7583" w:rsidRPr="00D9600A">
        <w:rPr>
          <w:lang w:val="en-GB"/>
        </w:rPr>
        <w:t>achieve models that are balanced and reflect the centre, t</w:t>
      </w:r>
      <w:r w:rsidR="00646810" w:rsidRPr="00D9600A">
        <w:rPr>
          <w:lang w:val="en-GB"/>
        </w:rPr>
        <w:t xml:space="preserve">his demonstrates </w:t>
      </w:r>
      <w:r w:rsidR="005D7583" w:rsidRPr="00D9600A">
        <w:rPr>
          <w:lang w:val="en-GB"/>
        </w:rPr>
        <w:t xml:space="preserve">without direct quantification </w:t>
      </w:r>
      <w:r w:rsidR="00646810" w:rsidRPr="00D9600A">
        <w:rPr>
          <w:lang w:val="en-GB"/>
        </w:rPr>
        <w:t>the re</w:t>
      </w:r>
      <w:r w:rsidR="005D7583" w:rsidRPr="00D9600A">
        <w:rPr>
          <w:lang w:val="en-GB"/>
        </w:rPr>
        <w:t xml:space="preserve">al </w:t>
      </w:r>
      <w:r w:rsidR="00646810" w:rsidRPr="00D9600A">
        <w:rPr>
          <w:lang w:val="en-GB"/>
        </w:rPr>
        <w:t xml:space="preserve">uncertainty </w:t>
      </w:r>
      <w:r w:rsidR="005D7583" w:rsidRPr="00D9600A">
        <w:rPr>
          <w:lang w:val="en-GB"/>
        </w:rPr>
        <w:t xml:space="preserve">inherent in our results (and in nearly all seismic hazard </w:t>
      </w:r>
      <w:r w:rsidR="00862D5C" w:rsidRPr="00D9600A">
        <w:rPr>
          <w:lang w:val="en-GB"/>
        </w:rPr>
        <w:t>resu</w:t>
      </w:r>
      <w:r w:rsidR="000A6192" w:rsidRPr="00D9600A">
        <w:rPr>
          <w:lang w:val="en-GB"/>
        </w:rPr>
        <w:t>lts).</w:t>
      </w:r>
    </w:p>
    <w:p w14:paraId="3652066E" w14:textId="77777777" w:rsidR="00395F74" w:rsidRPr="00D9600A" w:rsidRDefault="00395F74" w:rsidP="00F63AD9">
      <w:pPr>
        <w:pStyle w:val="BodyText2"/>
        <w:jc w:val="both"/>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2"/>
        <w:gridCol w:w="4610"/>
      </w:tblGrid>
      <w:tr w:rsidR="00090519" w:rsidRPr="00D9600A" w14:paraId="7725DA9E" w14:textId="77777777" w:rsidTr="00AE12C6">
        <w:tc>
          <w:tcPr>
            <w:tcW w:w="4531" w:type="dxa"/>
          </w:tcPr>
          <w:p w14:paraId="72E4AEBD" w14:textId="77777777" w:rsidR="00090519" w:rsidRPr="00D9600A" w:rsidRDefault="00090519" w:rsidP="007674C6">
            <w:pPr>
              <w:rPr>
                <w:lang w:val="en-GB"/>
              </w:rPr>
            </w:pPr>
            <w:r w:rsidRPr="00D9600A">
              <w:rPr>
                <w:noProof/>
                <w:lang w:val="en-GB"/>
              </w:rPr>
              <w:lastRenderedPageBreak/>
              <w:drawing>
                <wp:inline distT="0" distB="0" distL="0" distR="0" wp14:anchorId="7FC632B0" wp14:editId="71937D9D">
                  <wp:extent cx="2718120" cy="3201035"/>
                  <wp:effectExtent l="0" t="0" r="6350" b="0"/>
                  <wp:docPr id="14779" name="Picture 14779" descr="A map of northern europe with red and yellow shad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9" name="Picture 14779" descr="A map of northern europe with red and yellow shades&#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24361" cy="3208384"/>
                          </a:xfrm>
                          <a:prstGeom prst="rect">
                            <a:avLst/>
                          </a:prstGeom>
                          <a:noFill/>
                          <a:ln>
                            <a:noFill/>
                          </a:ln>
                        </pic:spPr>
                      </pic:pic>
                    </a:graphicData>
                  </a:graphic>
                </wp:inline>
              </w:drawing>
            </w:r>
          </w:p>
        </w:tc>
        <w:tc>
          <w:tcPr>
            <w:tcW w:w="4531" w:type="dxa"/>
          </w:tcPr>
          <w:p w14:paraId="4A10875D" w14:textId="77777777" w:rsidR="00090519" w:rsidRPr="00D9600A" w:rsidRDefault="00090519" w:rsidP="007674C6">
            <w:pPr>
              <w:rPr>
                <w:lang w:val="en-GB"/>
              </w:rPr>
            </w:pPr>
            <w:r w:rsidRPr="00D9600A">
              <w:rPr>
                <w:noProof/>
                <w:lang w:val="en-GB"/>
              </w:rPr>
              <w:drawing>
                <wp:inline distT="0" distB="0" distL="0" distR="0" wp14:anchorId="4246F27C" wp14:editId="36D16207">
                  <wp:extent cx="2817937" cy="3219167"/>
                  <wp:effectExtent l="0" t="0" r="1905" b="635"/>
                  <wp:docPr id="14781" name="Picture 14781" descr="A map of the arc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1" name="Picture 14781" descr="A map of the arctic&#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25684" cy="3228017"/>
                          </a:xfrm>
                          <a:prstGeom prst="rect">
                            <a:avLst/>
                          </a:prstGeom>
                          <a:noFill/>
                          <a:ln>
                            <a:noFill/>
                          </a:ln>
                        </pic:spPr>
                      </pic:pic>
                    </a:graphicData>
                  </a:graphic>
                </wp:inline>
              </w:drawing>
            </w:r>
          </w:p>
        </w:tc>
      </w:tr>
    </w:tbl>
    <w:p w14:paraId="0240C574" w14:textId="31384E9A" w:rsidR="00090519" w:rsidRPr="00D9600A" w:rsidRDefault="00090519" w:rsidP="00F63AD9">
      <w:pPr>
        <w:pStyle w:val="FigureCaption"/>
        <w:jc w:val="both"/>
        <w:rPr>
          <w:lang w:val="en-GB"/>
        </w:rPr>
      </w:pPr>
      <w:r w:rsidRPr="00D9600A">
        <w:rPr>
          <w:lang w:val="en-GB"/>
        </w:rPr>
        <w:t xml:space="preserve">Fig. </w:t>
      </w:r>
      <w:r w:rsidR="00711575" w:rsidRPr="00D9600A">
        <w:rPr>
          <w:lang w:val="en-GB"/>
        </w:rPr>
        <w:t>7</w:t>
      </w:r>
      <w:r w:rsidRPr="00D9600A">
        <w:rPr>
          <w:lang w:val="en-GB"/>
        </w:rPr>
        <w:t>. Example of model weighting sensitivity: PGA difference in % between the preferred model and the equal weighted model (all three models with the same weight).</w:t>
      </w:r>
    </w:p>
    <w:p w14:paraId="43126AB2" w14:textId="5D371253" w:rsidR="000157E2" w:rsidRPr="00D9600A" w:rsidRDefault="000D3E2A" w:rsidP="00F63AD9">
      <w:pPr>
        <w:pStyle w:val="Heading1"/>
        <w:jc w:val="both"/>
        <w:rPr>
          <w:lang w:val="en-GB"/>
        </w:rPr>
      </w:pPr>
      <w:r w:rsidRPr="00D9600A">
        <w:rPr>
          <w:lang w:val="en-GB"/>
        </w:rPr>
        <w:t>Two s</w:t>
      </w:r>
      <w:r w:rsidR="000157E2" w:rsidRPr="00D9600A">
        <w:rPr>
          <w:lang w:val="en-GB"/>
        </w:rPr>
        <w:t>ynthetic earthquake catalogues</w:t>
      </w:r>
      <w:r w:rsidR="00851644" w:rsidRPr="00D9600A">
        <w:rPr>
          <w:lang w:val="en-GB"/>
        </w:rPr>
        <w:t xml:space="preserve">; Model </w:t>
      </w:r>
      <w:r w:rsidR="00376D3A" w:rsidRPr="00D9600A">
        <w:rPr>
          <w:lang w:val="en-GB"/>
        </w:rPr>
        <w:t>differences</w:t>
      </w:r>
      <w:r w:rsidR="009454D2" w:rsidRPr="00D9600A">
        <w:rPr>
          <w:lang w:val="en-GB"/>
        </w:rPr>
        <w:t>; Uncertainty</w:t>
      </w:r>
    </w:p>
    <w:p w14:paraId="2B6DCD30" w14:textId="24C6F077" w:rsidR="000157E2" w:rsidRPr="00D9600A" w:rsidRDefault="000157E2" w:rsidP="00F63AD9">
      <w:pPr>
        <w:pStyle w:val="BodyText1"/>
        <w:jc w:val="both"/>
        <w:rPr>
          <w:lang w:val="en-GB"/>
        </w:rPr>
      </w:pPr>
      <w:r w:rsidRPr="00D9600A">
        <w:rPr>
          <w:lang w:val="en-GB"/>
        </w:rPr>
        <w:t>The computational model was established with two area-zone</w:t>
      </w:r>
      <w:r w:rsidR="00703113" w:rsidRPr="00D9600A">
        <w:rPr>
          <w:lang w:val="en-GB"/>
        </w:rPr>
        <w:t xml:space="preserve"> </w:t>
      </w:r>
      <w:r w:rsidRPr="00D9600A">
        <w:rPr>
          <w:lang w:val="en-GB"/>
        </w:rPr>
        <w:t xml:space="preserve">models and one zonation-free model. </w:t>
      </w:r>
      <w:r w:rsidR="004302BE" w:rsidRPr="00D9600A">
        <w:rPr>
          <w:lang w:val="en-GB"/>
        </w:rPr>
        <w:t xml:space="preserve">The two area models were established </w:t>
      </w:r>
      <w:r w:rsidR="006E4107" w:rsidRPr="00D9600A">
        <w:rPr>
          <w:lang w:val="en-GB"/>
        </w:rPr>
        <w:t xml:space="preserve">from two </w:t>
      </w:r>
      <w:r w:rsidR="00C221D6" w:rsidRPr="00D9600A">
        <w:rPr>
          <w:lang w:val="en-GB"/>
        </w:rPr>
        <w:t xml:space="preserve">different </w:t>
      </w:r>
      <w:r w:rsidR="006E4107" w:rsidRPr="00D9600A">
        <w:rPr>
          <w:lang w:val="en-GB"/>
        </w:rPr>
        <w:t>perspectives: observed seismicity and known deformation zones</w:t>
      </w:r>
      <w:r w:rsidR="00C221D6" w:rsidRPr="00D9600A">
        <w:rPr>
          <w:lang w:val="en-GB"/>
        </w:rPr>
        <w:t xml:space="preserve">. The idea was therefore to generate zonation models </w:t>
      </w:r>
      <w:r w:rsidR="00551CA2" w:rsidRPr="00D9600A">
        <w:rPr>
          <w:lang w:val="en-GB"/>
        </w:rPr>
        <w:t>fulfilling</w:t>
      </w:r>
      <w:r w:rsidR="008E071A" w:rsidRPr="00D9600A">
        <w:rPr>
          <w:lang w:val="en-GB"/>
        </w:rPr>
        <w:t xml:space="preserve"> complementary </w:t>
      </w:r>
      <w:r w:rsidR="00551CA2" w:rsidRPr="00D9600A">
        <w:rPr>
          <w:lang w:val="en-GB"/>
        </w:rPr>
        <w:t xml:space="preserve">perspectives. </w:t>
      </w:r>
      <w:r w:rsidRPr="00D9600A">
        <w:rPr>
          <w:lang w:val="en-GB"/>
        </w:rPr>
        <w:t>For the two area-zone</w:t>
      </w:r>
      <w:r w:rsidR="00703113" w:rsidRPr="00D9600A">
        <w:rPr>
          <w:lang w:val="en-GB"/>
        </w:rPr>
        <w:t xml:space="preserve"> </w:t>
      </w:r>
      <w:r w:rsidRPr="00D9600A">
        <w:rPr>
          <w:lang w:val="en-GB"/>
        </w:rPr>
        <w:t>models we generated synthetic earthquake catalogues showing 500 years of model predicted seismicity (randomized in space and magnitude within each subzone). The results are shown in Fig</w:t>
      </w:r>
      <w:r w:rsidR="00703113" w:rsidRPr="00D9600A">
        <w:rPr>
          <w:lang w:val="en-GB"/>
        </w:rPr>
        <w:t>.</w:t>
      </w:r>
      <w:r w:rsidRPr="00D9600A">
        <w:rPr>
          <w:lang w:val="en-GB"/>
        </w:rPr>
        <w:t xml:space="preserve"> </w:t>
      </w:r>
      <w:r w:rsidR="00711575" w:rsidRPr="00D9600A">
        <w:rPr>
          <w:lang w:val="en-GB"/>
        </w:rPr>
        <w:t>8</w:t>
      </w:r>
      <w:r w:rsidRPr="00D9600A">
        <w:rPr>
          <w:lang w:val="en-GB"/>
        </w:rPr>
        <w:t>. The purpose of showing this figure is to demonstrate the effect of the difference in the zonations and the associated recurrence predictions.</w:t>
      </w:r>
      <w:r w:rsidR="00B54A15" w:rsidRPr="00D9600A">
        <w:rPr>
          <w:lang w:val="en-GB"/>
        </w:rPr>
        <w:t xml:space="preserve"> </w:t>
      </w:r>
      <w:r w:rsidR="00425292" w:rsidRPr="00D9600A">
        <w:rPr>
          <w:lang w:val="en-GB"/>
        </w:rPr>
        <w:t>The</w:t>
      </w:r>
      <w:r w:rsidR="00394A73" w:rsidRPr="00D9600A">
        <w:rPr>
          <w:lang w:val="en-GB"/>
        </w:rPr>
        <w:t xml:space="preserve"> differences</w:t>
      </w:r>
      <w:r w:rsidR="00425292" w:rsidRPr="00D9600A">
        <w:rPr>
          <w:lang w:val="en-GB"/>
        </w:rPr>
        <w:t xml:space="preserve"> are significant</w:t>
      </w:r>
      <w:r w:rsidR="00394A73" w:rsidRPr="00D9600A">
        <w:rPr>
          <w:lang w:val="en-GB"/>
        </w:rPr>
        <w:t xml:space="preserve">. This </w:t>
      </w:r>
      <w:r w:rsidR="005A4945" w:rsidRPr="00D9600A">
        <w:rPr>
          <w:lang w:val="en-GB"/>
        </w:rPr>
        <w:t xml:space="preserve">test </w:t>
      </w:r>
      <w:r w:rsidR="00477600" w:rsidRPr="00D9600A">
        <w:rPr>
          <w:lang w:val="en-GB"/>
        </w:rPr>
        <w:t xml:space="preserve">aims to visualize the </w:t>
      </w:r>
      <w:r w:rsidR="002C4670" w:rsidRPr="00D9600A">
        <w:rPr>
          <w:lang w:val="en-GB"/>
        </w:rPr>
        <w:t xml:space="preserve">inherent uncertainty in using a short catalogue </w:t>
      </w:r>
      <w:r w:rsidR="00E64E40" w:rsidRPr="00D9600A">
        <w:rPr>
          <w:lang w:val="en-GB"/>
        </w:rPr>
        <w:t xml:space="preserve">spanning only some 100+ years for a </w:t>
      </w:r>
      <w:r w:rsidR="000067BA" w:rsidRPr="00D9600A">
        <w:rPr>
          <w:lang w:val="en-GB"/>
        </w:rPr>
        <w:t>500-year</w:t>
      </w:r>
      <w:r w:rsidR="00E64E40" w:rsidRPr="00D9600A">
        <w:rPr>
          <w:lang w:val="en-GB"/>
        </w:rPr>
        <w:t xml:space="preserve"> prediction.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6"/>
        <w:gridCol w:w="4596"/>
      </w:tblGrid>
      <w:tr w:rsidR="000157E2" w:rsidRPr="00D9600A" w14:paraId="6253C48F" w14:textId="77777777" w:rsidTr="00AE12C6">
        <w:tc>
          <w:tcPr>
            <w:tcW w:w="4466" w:type="dxa"/>
          </w:tcPr>
          <w:p w14:paraId="2E656F13" w14:textId="77777777" w:rsidR="000157E2" w:rsidRPr="00D9600A" w:rsidRDefault="000157E2" w:rsidP="007674C6">
            <w:pPr>
              <w:rPr>
                <w:rFonts w:ascii="Calibri" w:hAnsi="Calibri"/>
                <w:kern w:val="0"/>
                <w:lang w:val="en-GB"/>
                <w14:ligatures w14:val="none"/>
              </w:rPr>
            </w:pPr>
            <w:r w:rsidRPr="00D9600A">
              <w:rPr>
                <w:noProof/>
                <w:lang w:val="en-GB"/>
              </w:rPr>
              <w:lastRenderedPageBreak/>
              <w:drawing>
                <wp:inline distT="0" distB="0" distL="0" distR="0" wp14:anchorId="59FFC83C" wp14:editId="44B19836">
                  <wp:extent cx="2695575" cy="3174483"/>
                  <wp:effectExtent l="0" t="0" r="0" b="6985"/>
                  <wp:docPr id="14825" name="Picture 14825" descr="A map of the arc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5" name="Picture 14825" descr="A map of the arctic&#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03067" cy="3183306"/>
                          </a:xfrm>
                          <a:prstGeom prst="rect">
                            <a:avLst/>
                          </a:prstGeom>
                          <a:noFill/>
                          <a:ln>
                            <a:noFill/>
                          </a:ln>
                        </pic:spPr>
                      </pic:pic>
                    </a:graphicData>
                  </a:graphic>
                </wp:inline>
              </w:drawing>
            </w:r>
          </w:p>
        </w:tc>
        <w:tc>
          <w:tcPr>
            <w:tcW w:w="4596" w:type="dxa"/>
          </w:tcPr>
          <w:p w14:paraId="0462EE11" w14:textId="77777777" w:rsidR="000157E2" w:rsidRPr="00D9600A" w:rsidRDefault="000157E2" w:rsidP="007674C6">
            <w:pPr>
              <w:rPr>
                <w:rFonts w:ascii="Calibri" w:hAnsi="Calibri"/>
                <w:kern w:val="0"/>
                <w:lang w:val="en-GB"/>
                <w14:ligatures w14:val="none"/>
              </w:rPr>
            </w:pPr>
            <w:r w:rsidRPr="00D9600A">
              <w:rPr>
                <w:noProof/>
                <w:lang w:val="en-GB"/>
              </w:rPr>
              <w:drawing>
                <wp:inline distT="0" distB="0" distL="0" distR="0" wp14:anchorId="6C293777" wp14:editId="0441C6FF">
                  <wp:extent cx="2710043" cy="3191522"/>
                  <wp:effectExtent l="0" t="0" r="0" b="8890"/>
                  <wp:docPr id="14826" name="Picture 14826" descr="A map of the arc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6" name="Picture 14826" descr="A map of the arctic&#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16791" cy="3199469"/>
                          </a:xfrm>
                          <a:prstGeom prst="rect">
                            <a:avLst/>
                          </a:prstGeom>
                          <a:noFill/>
                          <a:ln>
                            <a:noFill/>
                          </a:ln>
                        </pic:spPr>
                      </pic:pic>
                    </a:graphicData>
                  </a:graphic>
                </wp:inline>
              </w:drawing>
            </w:r>
          </w:p>
        </w:tc>
      </w:tr>
    </w:tbl>
    <w:p w14:paraId="42A89F9B" w14:textId="5614D004" w:rsidR="000157E2" w:rsidRPr="00D9600A" w:rsidRDefault="000157E2" w:rsidP="00F63AD9">
      <w:pPr>
        <w:pStyle w:val="FigureCaption"/>
        <w:jc w:val="both"/>
        <w:rPr>
          <w:lang w:val="en-GB"/>
        </w:rPr>
      </w:pPr>
      <w:r w:rsidRPr="00D9600A">
        <w:rPr>
          <w:lang w:val="en-GB"/>
        </w:rPr>
        <w:t xml:space="preserve">Fig. </w:t>
      </w:r>
      <w:r w:rsidR="00711575" w:rsidRPr="00D9600A">
        <w:rPr>
          <w:lang w:val="en-GB"/>
        </w:rPr>
        <w:t>8</w:t>
      </w:r>
      <w:r w:rsidRPr="00D9600A">
        <w:rPr>
          <w:lang w:val="en-GB"/>
        </w:rPr>
        <w:t xml:space="preserve">. Examples from two synthetic earthquake catalogues generated from the two area-zone-models predicting 500 years of earthquake occurrence for magnitudes greater or equal to M4.5. </w:t>
      </w:r>
    </w:p>
    <w:p w14:paraId="16FC48E8" w14:textId="01D35724" w:rsidR="009C23C6" w:rsidRPr="00D9600A" w:rsidRDefault="009C23C6" w:rsidP="002D3DAB">
      <w:pPr>
        <w:pStyle w:val="Heading1"/>
        <w:rPr>
          <w:lang w:val="en-GB"/>
        </w:rPr>
      </w:pPr>
      <w:r w:rsidRPr="00D9600A">
        <w:rPr>
          <w:lang w:val="en-GB"/>
        </w:rPr>
        <w:t>Sensitivity of the results to Vs30</w:t>
      </w:r>
      <w:r w:rsidR="00876CF4" w:rsidRPr="00D9600A">
        <w:rPr>
          <w:lang w:val="en-GB"/>
        </w:rPr>
        <w:t xml:space="preserve"> reference velocity</w:t>
      </w:r>
    </w:p>
    <w:p w14:paraId="27410E2B" w14:textId="58907964" w:rsidR="008B2798" w:rsidRPr="00D9600A" w:rsidRDefault="00464B2C" w:rsidP="00F63AD9">
      <w:pPr>
        <w:pStyle w:val="BodyText2"/>
        <w:ind w:firstLine="0"/>
        <w:jc w:val="both"/>
        <w:rPr>
          <w:lang w:val="en-GB"/>
        </w:rPr>
      </w:pPr>
      <w:r w:rsidRPr="00D9600A">
        <w:rPr>
          <w:lang w:val="en-GB"/>
        </w:rPr>
        <w:t xml:space="preserve">In order to understand better the significance of the variations in Vs30 levels a common approach is to establish so-called generic crustal profiles, which are smooth velocity profiles which characterize average and regionally stable crustal shear-wave velocities for the area under study. These profiles can be used for calculating site amplifications in a simple way, which in turn provides a means for assessing the relative ground-motion differences between regions with different Vs30 levels. The main factor influencing regional ground-motion differences, besides the shallow shear-wave velocities, is the near-surface attenuation, characterized through the diminution factor kappa. The kappa parameter is not well understood and not well constrained, even though it influences the spectrum significantly for high frequencies and for very hard rock site conditions. </w:t>
      </w:r>
      <w:r w:rsidR="008B2798" w:rsidRPr="00D9600A">
        <w:rPr>
          <w:lang w:val="en-GB"/>
        </w:rPr>
        <w:t xml:space="preserve">Generic crustal profiles are important for understanding the importance of Vs30, both for GMPE selection and for adjustments related to different Vs30 levels. To this end we show in Fig. </w:t>
      </w:r>
      <w:r w:rsidR="001E57F4" w:rsidRPr="00D9600A">
        <w:rPr>
          <w:lang w:val="en-GB"/>
        </w:rPr>
        <w:t>9</w:t>
      </w:r>
      <w:r w:rsidR="008B2798" w:rsidRPr="00D9600A">
        <w:rPr>
          <w:lang w:val="en-GB"/>
        </w:rPr>
        <w:t xml:space="preserve"> a set of profiles for Vs30 ranging from 800 to 2800 m/s, using an interpolation scheme between anchoring points as outlined by Cotton et al. (2006), in turn </w:t>
      </w:r>
      <w:r w:rsidR="001F7D8C" w:rsidRPr="00D9600A">
        <w:rPr>
          <w:lang w:val="en-GB"/>
        </w:rPr>
        <w:t>based on</w:t>
      </w:r>
      <w:r w:rsidR="008B2798" w:rsidRPr="00D9600A">
        <w:rPr>
          <w:lang w:val="en-GB"/>
        </w:rPr>
        <w:t xml:space="preserve"> </w:t>
      </w:r>
      <w:r w:rsidRPr="00D9600A">
        <w:rPr>
          <w:lang w:val="en-GB"/>
        </w:rPr>
        <w:t xml:space="preserve">Western and Eastern US crustal </w:t>
      </w:r>
      <w:r w:rsidR="008B2798" w:rsidRPr="00D9600A">
        <w:rPr>
          <w:lang w:val="en-GB"/>
        </w:rPr>
        <w:t>profiles from Boore and Joyner (1997) and Boore (2016).</w:t>
      </w:r>
    </w:p>
    <w:p w14:paraId="3622BEC3" w14:textId="1714EF03" w:rsidR="008B2798" w:rsidRPr="00D9600A" w:rsidRDefault="008B2798" w:rsidP="008B2798">
      <w:pPr>
        <w:pStyle w:val="BodyText2"/>
        <w:rPr>
          <w:lang w:val="en-GB"/>
        </w:rPr>
      </w:pPr>
      <w:r w:rsidRPr="00D9600A">
        <w:rPr>
          <w:noProof/>
          <w:lang w:val="en-GB"/>
        </w:rPr>
        <w:lastRenderedPageBreak/>
        <w:drawing>
          <wp:inline distT="0" distB="0" distL="0" distR="0" wp14:anchorId="1922160B" wp14:editId="40AC5379">
            <wp:extent cx="4716000" cy="3384000"/>
            <wp:effectExtent l="0" t="0" r="27940" b="26035"/>
            <wp:docPr id="19" name="Diagram 19">
              <a:extLst xmlns:a="http://schemas.openxmlformats.org/drawingml/2006/main">
                <a:ext uri="{FF2B5EF4-FFF2-40B4-BE49-F238E27FC236}">
                  <a16:creationId xmlns:a16="http://schemas.microsoft.com/office/drawing/2014/main" id="{9BF37733-7985-4B64-B0E3-97A9784F17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337DD3E" w14:textId="2BAE7323" w:rsidR="00307B81" w:rsidRPr="00D9600A" w:rsidRDefault="008B2798" w:rsidP="00711575">
      <w:pPr>
        <w:pStyle w:val="FigureCaption"/>
        <w:ind w:left="0" w:firstLine="0"/>
        <w:rPr>
          <w:lang w:val="en-GB"/>
        </w:rPr>
      </w:pPr>
      <w:r w:rsidRPr="00D9600A">
        <w:rPr>
          <w:lang w:val="en-GB"/>
        </w:rPr>
        <w:t xml:space="preserve">Figure </w:t>
      </w:r>
      <w:r w:rsidR="00711575" w:rsidRPr="00D9600A">
        <w:rPr>
          <w:lang w:val="en-GB"/>
        </w:rPr>
        <w:t>9</w:t>
      </w:r>
      <w:r w:rsidRPr="00D9600A">
        <w:rPr>
          <w:lang w:val="en-GB"/>
        </w:rPr>
        <w:t>.   Generic profiles for Vs30 between 800 and 2800 m/s and depths down to 300 m.</w:t>
      </w:r>
    </w:p>
    <w:p w14:paraId="41D31002" w14:textId="41D96A3F" w:rsidR="00B912BF" w:rsidRPr="00D9600A" w:rsidRDefault="009C23C6" w:rsidP="00F63AD9">
      <w:pPr>
        <w:pStyle w:val="BodyText2"/>
        <w:jc w:val="both"/>
        <w:rPr>
          <w:lang w:val="en-GB"/>
        </w:rPr>
      </w:pPr>
      <w:r w:rsidRPr="00D9600A">
        <w:rPr>
          <w:lang w:val="en-GB"/>
        </w:rPr>
        <w:t>A</w:t>
      </w:r>
      <w:r w:rsidR="00C766CC" w:rsidRPr="00D9600A">
        <w:rPr>
          <w:lang w:val="en-GB"/>
        </w:rPr>
        <w:t>n</w:t>
      </w:r>
      <w:r w:rsidRPr="00D9600A">
        <w:rPr>
          <w:lang w:val="en-GB"/>
        </w:rPr>
        <w:t xml:space="preserve"> issue deliberately not discussed in </w:t>
      </w:r>
      <w:r w:rsidR="00B912BF" w:rsidRPr="00D9600A">
        <w:rPr>
          <w:lang w:val="en-GB"/>
        </w:rPr>
        <w:t xml:space="preserve">the main </w:t>
      </w:r>
      <w:r w:rsidRPr="00D9600A">
        <w:rPr>
          <w:lang w:val="en-GB"/>
        </w:rPr>
        <w:t xml:space="preserve">paper is how to adjust the results for different reference velocities. Without an adjustment the hazard will be underestimated for softer sites and overestimated for harder sites, and the question of whether these errors should be resolved for a specific construction site depends on the </w:t>
      </w:r>
      <w:r w:rsidR="00D12806" w:rsidRPr="00D9600A">
        <w:rPr>
          <w:lang w:val="en-GB"/>
        </w:rPr>
        <w:t>safety</w:t>
      </w:r>
      <w:r w:rsidRPr="00D9600A">
        <w:rPr>
          <w:lang w:val="en-GB"/>
        </w:rPr>
        <w:t xml:space="preserve"> requirements of the project. If </w:t>
      </w:r>
      <w:r w:rsidR="00D6521F" w:rsidRPr="00D9600A">
        <w:rPr>
          <w:lang w:val="en-GB"/>
        </w:rPr>
        <w:t>safety requirements are high</w:t>
      </w:r>
      <w:r w:rsidRPr="00D9600A">
        <w:rPr>
          <w:lang w:val="en-GB"/>
        </w:rPr>
        <w:t xml:space="preserve">, there could be a need for a site-specific analysis. </w:t>
      </w:r>
    </w:p>
    <w:p w14:paraId="6694940E" w14:textId="211303A8" w:rsidR="009C23C6" w:rsidRPr="00D9600A" w:rsidRDefault="009C23C6" w:rsidP="00F63AD9">
      <w:pPr>
        <w:pStyle w:val="BodyText2"/>
        <w:jc w:val="both"/>
        <w:rPr>
          <w:lang w:val="en-GB"/>
        </w:rPr>
      </w:pPr>
      <w:r w:rsidRPr="00D9600A">
        <w:rPr>
          <w:lang w:val="en-GB"/>
        </w:rPr>
        <w:t xml:space="preserve">We note that the site-specific adjustments that should be applied are principally of two types: (1) Adjustments for different reference velocities in cases when the Vs30 is significantly different from 1200 m/s; </w:t>
      </w:r>
      <w:r w:rsidR="00B912BF" w:rsidRPr="00D9600A">
        <w:rPr>
          <w:lang w:val="en-GB"/>
        </w:rPr>
        <w:t xml:space="preserve">and </w:t>
      </w:r>
      <w:r w:rsidRPr="00D9600A">
        <w:rPr>
          <w:lang w:val="en-GB"/>
        </w:rPr>
        <w:t xml:space="preserve">(2) Soil response calculations in cases when the building site is on softer grounds and, in particular, when the top layers are significantly softer and/or deep. </w:t>
      </w:r>
      <w:r w:rsidR="00C917C2" w:rsidRPr="00D9600A">
        <w:rPr>
          <w:lang w:val="en-GB"/>
        </w:rPr>
        <w:t>Adjustments</w:t>
      </w:r>
      <w:r w:rsidR="005E2A55" w:rsidRPr="00D9600A">
        <w:rPr>
          <w:lang w:val="en-GB"/>
        </w:rPr>
        <w:t xml:space="preserve"> </w:t>
      </w:r>
      <w:r w:rsidR="00B912BF" w:rsidRPr="00D9600A">
        <w:rPr>
          <w:lang w:val="en-GB"/>
        </w:rPr>
        <w:t>are</w:t>
      </w:r>
      <w:r w:rsidR="005E2A55" w:rsidRPr="00D9600A">
        <w:rPr>
          <w:lang w:val="en-GB"/>
        </w:rPr>
        <w:t xml:space="preserve"> most often done using the square-root-impedance (SRI, often </w:t>
      </w:r>
      <w:r w:rsidR="00B912BF" w:rsidRPr="00D9600A">
        <w:rPr>
          <w:lang w:val="en-GB"/>
        </w:rPr>
        <w:t xml:space="preserve">also </w:t>
      </w:r>
      <w:r w:rsidR="005E2A55" w:rsidRPr="00D9600A">
        <w:rPr>
          <w:lang w:val="en-GB"/>
        </w:rPr>
        <w:t>called quarter-wavelength) method</w:t>
      </w:r>
      <w:r w:rsidR="000148B7" w:rsidRPr="00D9600A">
        <w:rPr>
          <w:lang w:val="en-GB"/>
        </w:rPr>
        <w:t xml:space="preserve"> (Joyner et al. 1981; Boore and Joyner 1997).</w:t>
      </w:r>
    </w:p>
    <w:p w14:paraId="6D00C1B6" w14:textId="1E8298DC" w:rsidR="009C23C6" w:rsidRPr="00D9600A" w:rsidRDefault="009C23C6" w:rsidP="00F63AD9">
      <w:pPr>
        <w:pStyle w:val="BodyText2"/>
        <w:jc w:val="both"/>
        <w:rPr>
          <w:lang w:val="en-GB"/>
        </w:rPr>
      </w:pPr>
      <w:r w:rsidRPr="00D9600A">
        <w:rPr>
          <w:lang w:val="en-GB"/>
        </w:rPr>
        <w:t xml:space="preserve">As an illustration of these issues, we show in Fig. </w:t>
      </w:r>
      <w:r w:rsidR="00711575" w:rsidRPr="00D9600A">
        <w:rPr>
          <w:lang w:val="en-GB"/>
        </w:rPr>
        <w:t>10</w:t>
      </w:r>
      <w:r w:rsidRPr="00D9600A">
        <w:rPr>
          <w:lang w:val="en-GB"/>
        </w:rPr>
        <w:t xml:space="preserve"> the sensitivities to different Vs30 values and to the inclusion of an appropriate </w:t>
      </w:r>
      <w:r w:rsidR="00C52C81" w:rsidRPr="00D9600A">
        <w:rPr>
          <w:lang w:val="en-GB"/>
        </w:rPr>
        <w:t xml:space="preserve">hard-rock </w:t>
      </w:r>
      <w:r w:rsidR="00B912BF" w:rsidRPr="00D9600A">
        <w:rPr>
          <w:lang w:val="en-GB"/>
        </w:rPr>
        <w:t>diminution factor (</w:t>
      </w:r>
      <w:r w:rsidRPr="00D9600A">
        <w:rPr>
          <w:lang w:val="en-GB"/>
        </w:rPr>
        <w:t>kappa</w:t>
      </w:r>
      <w:r w:rsidR="00B912BF" w:rsidRPr="00D9600A">
        <w:rPr>
          <w:lang w:val="en-GB"/>
        </w:rPr>
        <w:t>)</w:t>
      </w:r>
      <w:r w:rsidRPr="00D9600A">
        <w:rPr>
          <w:lang w:val="en-GB"/>
        </w:rPr>
        <w:t xml:space="preserve"> model.</w:t>
      </w:r>
    </w:p>
    <w:p w14:paraId="51146125" w14:textId="77777777" w:rsidR="009C23C6" w:rsidRPr="00D9600A" w:rsidRDefault="009C23C6" w:rsidP="009C23C6">
      <w:pPr>
        <w:pStyle w:val="BodyText2"/>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9C23C6" w:rsidRPr="00D9600A" w14:paraId="0AA8FA1B" w14:textId="77777777" w:rsidTr="00AE12C6">
        <w:tc>
          <w:tcPr>
            <w:tcW w:w="4531" w:type="dxa"/>
          </w:tcPr>
          <w:p w14:paraId="15DFB65D" w14:textId="77777777" w:rsidR="009C23C6" w:rsidRPr="00D9600A" w:rsidRDefault="009C23C6" w:rsidP="007674C6">
            <w:pPr>
              <w:rPr>
                <w:shd w:val="clear" w:color="auto" w:fill="FFFFFF"/>
                <w:lang w:val="en-GB"/>
              </w:rPr>
            </w:pPr>
            <w:r w:rsidRPr="00D9600A">
              <w:rPr>
                <w:noProof/>
                <w:shd w:val="clear" w:color="auto" w:fill="FFFFFF"/>
                <w:lang w:val="en-GB"/>
              </w:rPr>
              <w:lastRenderedPageBreak/>
              <w:drawing>
                <wp:inline distT="0" distB="0" distL="0" distR="0" wp14:anchorId="13943A5F" wp14:editId="38901C96">
                  <wp:extent cx="2818800" cy="2170800"/>
                  <wp:effectExtent l="0" t="0" r="635" b="1270"/>
                  <wp:docPr id="224529994" name="Picture 1" descr="A graph of a number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529994" name="Picture 1" descr="A graph of a number of different colored lines&#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18800" cy="2170800"/>
                          </a:xfrm>
                          <a:prstGeom prst="rect">
                            <a:avLst/>
                          </a:prstGeom>
                          <a:noFill/>
                        </pic:spPr>
                      </pic:pic>
                    </a:graphicData>
                  </a:graphic>
                </wp:inline>
              </w:drawing>
            </w:r>
          </w:p>
        </w:tc>
        <w:tc>
          <w:tcPr>
            <w:tcW w:w="4531" w:type="dxa"/>
          </w:tcPr>
          <w:p w14:paraId="4263D32B" w14:textId="77777777" w:rsidR="009C23C6" w:rsidRPr="00D9600A" w:rsidRDefault="009C23C6" w:rsidP="007674C6">
            <w:pPr>
              <w:rPr>
                <w:shd w:val="clear" w:color="auto" w:fill="FFFFFF"/>
                <w:lang w:val="en-GB"/>
              </w:rPr>
            </w:pPr>
            <w:r w:rsidRPr="00D9600A">
              <w:rPr>
                <w:noProof/>
                <w:shd w:val="clear" w:color="auto" w:fill="FFFFFF"/>
                <w:lang w:val="en-GB"/>
              </w:rPr>
              <w:drawing>
                <wp:inline distT="0" distB="0" distL="0" distR="0" wp14:anchorId="0BA58AAD" wp14:editId="10715D14">
                  <wp:extent cx="2818800" cy="2170800"/>
                  <wp:effectExtent l="0" t="0" r="635" b="1270"/>
                  <wp:docPr id="1976528495" name="Picture 2" descr="A graph of different colo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528495" name="Picture 2" descr="A graph of different colors and numbers&#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18800" cy="2170800"/>
                          </a:xfrm>
                          <a:prstGeom prst="rect">
                            <a:avLst/>
                          </a:prstGeom>
                          <a:noFill/>
                        </pic:spPr>
                      </pic:pic>
                    </a:graphicData>
                  </a:graphic>
                </wp:inline>
              </w:drawing>
            </w:r>
          </w:p>
        </w:tc>
      </w:tr>
    </w:tbl>
    <w:p w14:paraId="0F8F9D5A" w14:textId="482D3AD2" w:rsidR="009C23C6" w:rsidRPr="00D9600A" w:rsidRDefault="009C23C6" w:rsidP="00F63AD9">
      <w:pPr>
        <w:pStyle w:val="FigureCaption"/>
        <w:jc w:val="both"/>
        <w:rPr>
          <w:shd w:val="clear" w:color="auto" w:fill="FFFFFF"/>
          <w:lang w:val="en-GB"/>
        </w:rPr>
      </w:pPr>
      <w:r w:rsidRPr="00D9600A">
        <w:rPr>
          <w:shd w:val="clear" w:color="auto" w:fill="FFFFFF"/>
          <w:lang w:val="en-GB"/>
        </w:rPr>
        <w:t xml:space="preserve">Fig. </w:t>
      </w:r>
      <w:r w:rsidR="00711575" w:rsidRPr="00D9600A">
        <w:rPr>
          <w:shd w:val="clear" w:color="auto" w:fill="FFFFFF"/>
          <w:lang w:val="en-GB"/>
        </w:rPr>
        <w:t>10</w:t>
      </w:r>
      <w:r w:rsidRPr="00D9600A">
        <w:rPr>
          <w:shd w:val="clear" w:color="auto" w:fill="FFFFFF"/>
          <w:lang w:val="en-GB"/>
        </w:rPr>
        <w:t xml:space="preserve">.  Site amplifications for </w:t>
      </w:r>
      <w:r w:rsidR="00464B2C" w:rsidRPr="00D9600A">
        <w:rPr>
          <w:shd w:val="clear" w:color="auto" w:fill="FFFFFF"/>
          <w:lang w:val="en-GB"/>
        </w:rPr>
        <w:t xml:space="preserve">the </w:t>
      </w:r>
      <w:r w:rsidRPr="00D9600A">
        <w:rPr>
          <w:shd w:val="clear" w:color="auto" w:fill="FFFFFF"/>
          <w:lang w:val="en-GB"/>
        </w:rPr>
        <w:t xml:space="preserve">generic profiles </w:t>
      </w:r>
      <w:r w:rsidR="00464B2C" w:rsidRPr="00D9600A">
        <w:rPr>
          <w:shd w:val="clear" w:color="auto" w:fill="FFFFFF"/>
          <w:lang w:val="en-GB"/>
        </w:rPr>
        <w:t xml:space="preserve">shown in Fig. 10, </w:t>
      </w:r>
      <w:r w:rsidRPr="00D9600A">
        <w:rPr>
          <w:shd w:val="clear" w:color="auto" w:fill="FFFFFF"/>
          <w:lang w:val="en-GB"/>
        </w:rPr>
        <w:t xml:space="preserve">for Vs30 </w:t>
      </w:r>
      <w:r w:rsidR="00464B2C" w:rsidRPr="00D9600A">
        <w:rPr>
          <w:shd w:val="clear" w:color="auto" w:fill="FFFFFF"/>
          <w:lang w:val="en-GB"/>
        </w:rPr>
        <w:t xml:space="preserve">values </w:t>
      </w:r>
      <w:r w:rsidRPr="00D9600A">
        <w:rPr>
          <w:shd w:val="clear" w:color="auto" w:fill="FFFFFF"/>
          <w:lang w:val="en-GB"/>
        </w:rPr>
        <w:t>of 800, 1200 and 2800 m/s, without (left) and with (right) kappa effects based on a tentative SCR kappa model. SRI is referring to the square-root-impedance (quarter wavelength) method.</w:t>
      </w:r>
    </w:p>
    <w:p w14:paraId="2135E82C" w14:textId="4BD63BAB" w:rsidR="006A1BDD" w:rsidRPr="00D9600A" w:rsidRDefault="006A1BDD" w:rsidP="006A1BDD">
      <w:pPr>
        <w:pStyle w:val="Heading1"/>
        <w:rPr>
          <w:lang w:val="en-GB"/>
        </w:rPr>
      </w:pPr>
      <w:r w:rsidRPr="00D9600A">
        <w:rPr>
          <w:lang w:val="en-GB"/>
        </w:rPr>
        <w:t>Comparison of the results with ESHM20</w:t>
      </w:r>
    </w:p>
    <w:p w14:paraId="73DA71E0" w14:textId="0BBF5265" w:rsidR="0074619C" w:rsidRPr="00D9600A" w:rsidRDefault="0074619C" w:rsidP="00F63AD9">
      <w:pPr>
        <w:pStyle w:val="BodyText2"/>
        <w:ind w:firstLine="0"/>
        <w:jc w:val="both"/>
        <w:rPr>
          <w:lang w:val="en-GB"/>
        </w:rPr>
      </w:pPr>
      <w:r w:rsidRPr="00D9600A">
        <w:rPr>
          <w:lang w:val="en-GB"/>
        </w:rPr>
        <w:t>The new model for Norway was compared to the 2020 European Seismic Hazard Model (ESHM20) (http://www.hazard.efehr.org/en/hazard-data-access/hazard-maps/), in terms of PGA and spectral accelerations at period T of 0.1s, 0.2s</w:t>
      </w:r>
      <w:r w:rsidR="00E260C5" w:rsidRPr="00D9600A">
        <w:rPr>
          <w:lang w:val="en-GB"/>
        </w:rPr>
        <w:t xml:space="preserve"> and </w:t>
      </w:r>
      <w:r w:rsidRPr="00D9600A">
        <w:rPr>
          <w:lang w:val="en-GB"/>
        </w:rPr>
        <w:t>1.0s, as shown in Figure 11.</w:t>
      </w:r>
    </w:p>
    <w:p w14:paraId="6777E730" w14:textId="77777777" w:rsidR="00B55389" w:rsidRPr="00D9600A" w:rsidRDefault="00B55389" w:rsidP="00E260C5">
      <w:pPr>
        <w:pStyle w:val="BodyText1"/>
        <w:rPr>
          <w:lang w:val="en-GB"/>
        </w:rPr>
      </w:pPr>
    </w:p>
    <w:p w14:paraId="2B958A07" w14:textId="624E074F" w:rsidR="00163754" w:rsidRPr="00D9600A" w:rsidRDefault="0090428E" w:rsidP="00014855">
      <w:pPr>
        <w:pStyle w:val="FigureCaption"/>
        <w:rPr>
          <w:lang w:val="en-GB"/>
        </w:rPr>
      </w:pPr>
      <w:r w:rsidRPr="00D9600A">
        <w:rPr>
          <w:noProof/>
          <w:lang w:val="en-GB"/>
        </w:rPr>
        <w:drawing>
          <wp:inline distT="0" distB="0" distL="0" distR="0" wp14:anchorId="35472776" wp14:editId="7935420B">
            <wp:extent cx="5760720" cy="2239645"/>
            <wp:effectExtent l="0" t="0" r="0" b="8255"/>
            <wp:docPr id="422862566" name="Picture 1" descr="A comparison of the arctic reg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862566" name="Picture 1" descr="A comparison of the arctic region&#10;&#10;Description automatically generated with medium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720" cy="2239645"/>
                    </a:xfrm>
                    <a:prstGeom prst="rect">
                      <a:avLst/>
                    </a:prstGeom>
                  </pic:spPr>
                </pic:pic>
              </a:graphicData>
            </a:graphic>
          </wp:inline>
        </w:drawing>
      </w:r>
    </w:p>
    <w:p w14:paraId="734D4DEF" w14:textId="2766F77D" w:rsidR="00014855" w:rsidRPr="00D9600A" w:rsidRDefault="00014855" w:rsidP="00F63AD9">
      <w:pPr>
        <w:pStyle w:val="FigureCaption"/>
        <w:jc w:val="both"/>
        <w:rPr>
          <w:shd w:val="clear" w:color="auto" w:fill="FFFFFF"/>
          <w:lang w:val="en-GB"/>
        </w:rPr>
      </w:pPr>
      <w:r w:rsidRPr="00D9600A">
        <w:rPr>
          <w:shd w:val="clear" w:color="auto" w:fill="FFFFFF"/>
          <w:lang w:val="en-GB"/>
        </w:rPr>
        <w:t xml:space="preserve">Fig. 11.  </w:t>
      </w:r>
      <w:r w:rsidRPr="00D9600A">
        <w:rPr>
          <w:lang w:val="en-GB"/>
        </w:rPr>
        <w:t>Difference in % between the results of hazard map obtained in this study and the ESHM20 results for the return period of 475 years. From Left to Right, representing PGA, Sa(T=0.1s), Sa(T=0.2s), and Sa(T=1.0s), respectively</w:t>
      </w:r>
      <w:r w:rsidRPr="00D9600A">
        <w:rPr>
          <w:shd w:val="clear" w:color="auto" w:fill="FFFFFF"/>
          <w:lang w:val="en-GB"/>
        </w:rPr>
        <w:t>.</w:t>
      </w:r>
    </w:p>
    <w:p w14:paraId="629AB260" w14:textId="77777777" w:rsidR="003F0E5C" w:rsidRPr="00D9600A" w:rsidRDefault="003F0E5C" w:rsidP="00F63AD9">
      <w:pPr>
        <w:pStyle w:val="BodyText2"/>
        <w:jc w:val="both"/>
        <w:rPr>
          <w:lang w:val="en-GB"/>
        </w:rPr>
      </w:pPr>
      <w:r w:rsidRPr="00D9600A">
        <w:rPr>
          <w:lang w:val="en-GB"/>
        </w:rPr>
        <w:t>The difference between the new model and the ESHM20 model was computed as follows:</w:t>
      </w:r>
    </w:p>
    <w:p w14:paraId="5B2C98E2" w14:textId="77777777" w:rsidR="004854AC" w:rsidRPr="00D9600A" w:rsidRDefault="004854AC" w:rsidP="00036B14">
      <w:pPr>
        <w:pStyle w:val="BodyText2"/>
        <w:rPr>
          <w:lang w:val="en-GB"/>
        </w:rPr>
      </w:pPr>
    </w:p>
    <w:p w14:paraId="7C6AB58D" w14:textId="62D76539" w:rsidR="003F0E5C" w:rsidRPr="00D9600A" w:rsidRDefault="004854AC" w:rsidP="00036B14">
      <w:pPr>
        <w:pStyle w:val="BodyText2"/>
        <w:rPr>
          <w:lang w:val="en-GB"/>
        </w:rPr>
      </w:pPr>
      <m:oMathPara>
        <m:oMath>
          <m:r>
            <w:rPr>
              <w:rFonts w:ascii="Cambria Math" w:hAnsi="Cambria Math"/>
              <w:lang w:val="en-GB"/>
            </w:rPr>
            <m:t>Difference=</m:t>
          </m:r>
          <m:f>
            <m:fPr>
              <m:ctrlPr>
                <w:rPr>
                  <w:rFonts w:ascii="Cambria Math" w:hAnsi="Cambria Math"/>
                  <w:i/>
                  <w:lang w:val="en-GB"/>
                </w:rPr>
              </m:ctrlPr>
            </m:fPr>
            <m:num>
              <m:r>
                <w:rPr>
                  <w:rFonts w:ascii="Cambria Math" w:hAnsi="Cambria Math"/>
                  <w:lang w:val="en-GB"/>
                </w:rPr>
                <m:t>Value from new model-Value from ESHM20</m:t>
              </m:r>
            </m:num>
            <m:den>
              <m:r>
                <w:rPr>
                  <w:rFonts w:ascii="Cambria Math" w:hAnsi="Cambria Math"/>
                  <w:lang w:val="en-GB"/>
                </w:rPr>
                <m:t>Value from new model</m:t>
              </m:r>
            </m:den>
          </m:f>
          <m:r>
            <w:rPr>
              <w:rFonts w:ascii="Cambria Math" w:hAnsi="Cambria Math"/>
              <w:lang w:val="en-GB"/>
            </w:rPr>
            <m:t>×100%</m:t>
          </m:r>
        </m:oMath>
      </m:oMathPara>
    </w:p>
    <w:p w14:paraId="36F6F4B6" w14:textId="77777777" w:rsidR="004854AC" w:rsidRPr="00D9600A" w:rsidRDefault="004854AC" w:rsidP="00036B14">
      <w:pPr>
        <w:pStyle w:val="BodyText2"/>
        <w:rPr>
          <w:lang w:val="en-GB"/>
        </w:rPr>
      </w:pPr>
    </w:p>
    <w:p w14:paraId="403E88E7" w14:textId="77777777" w:rsidR="00575C16" w:rsidRPr="00D9600A" w:rsidRDefault="00B336CE" w:rsidP="00F63AD9">
      <w:pPr>
        <w:pStyle w:val="BodyText2"/>
        <w:jc w:val="both"/>
        <w:rPr>
          <w:lang w:val="en-GB"/>
        </w:rPr>
      </w:pPr>
      <w:r w:rsidRPr="00D9600A">
        <w:rPr>
          <w:lang w:val="en-GB"/>
        </w:rPr>
        <w:t xml:space="preserve">The first observation is that </w:t>
      </w:r>
      <w:r w:rsidR="004854AC" w:rsidRPr="00D9600A">
        <w:rPr>
          <w:lang w:val="en-GB"/>
        </w:rPr>
        <w:t>the present</w:t>
      </w:r>
      <w:r w:rsidRPr="00D9600A">
        <w:rPr>
          <w:lang w:val="en-GB"/>
        </w:rPr>
        <w:t xml:space="preserve"> study cover</w:t>
      </w:r>
      <w:r w:rsidR="004854AC" w:rsidRPr="00D9600A">
        <w:rPr>
          <w:lang w:val="en-GB"/>
        </w:rPr>
        <w:t>s</w:t>
      </w:r>
      <w:r w:rsidRPr="00D9600A">
        <w:rPr>
          <w:lang w:val="en-GB"/>
        </w:rPr>
        <w:t xml:space="preserve"> a larger area (i.e., Norway mainland and Svalbard) than the ESHM20. In North</w:t>
      </w:r>
      <w:r w:rsidR="00D868F4" w:rsidRPr="00D9600A">
        <w:rPr>
          <w:lang w:val="en-GB"/>
        </w:rPr>
        <w:t>ern</w:t>
      </w:r>
      <w:r w:rsidRPr="00D9600A">
        <w:rPr>
          <w:lang w:val="en-GB"/>
        </w:rPr>
        <w:t xml:space="preserve"> Norway (e.g., 70.098N, 25.725E), at the border with Sweden, </w:t>
      </w:r>
      <w:r w:rsidRPr="00D9600A">
        <w:rPr>
          <w:lang w:val="en-GB"/>
        </w:rPr>
        <w:lastRenderedPageBreak/>
        <w:t>Finland, and Russia, the ESHM20 provided no values or values are too small (&lt;5e-5g) to retrieve for the Norway mainland, particularly at a longer period.  And ESHM20 did not cover Svalbard in their model. This coverage difference results in a large positive difference between the two models in North Norway.</w:t>
      </w:r>
    </w:p>
    <w:p w14:paraId="66388E9F" w14:textId="50B640B4" w:rsidR="00575C16" w:rsidRPr="00D9600A" w:rsidRDefault="00A414F4" w:rsidP="00F63AD9">
      <w:pPr>
        <w:pStyle w:val="BodyText2"/>
        <w:jc w:val="both"/>
        <w:rPr>
          <w:lang w:val="en-GB"/>
        </w:rPr>
      </w:pPr>
      <w:r w:rsidRPr="00D9600A">
        <w:rPr>
          <w:lang w:val="en-GB"/>
        </w:rPr>
        <w:t>Moreover, the present result</w:t>
      </w:r>
      <w:r w:rsidR="00E161CD" w:rsidRPr="00D9600A">
        <w:rPr>
          <w:lang w:val="en-GB"/>
        </w:rPr>
        <w:t>s</w:t>
      </w:r>
      <w:r w:rsidRPr="00D9600A">
        <w:rPr>
          <w:lang w:val="en-GB"/>
        </w:rPr>
        <w:t xml:space="preserve"> </w:t>
      </w:r>
      <w:r w:rsidR="00DF6F2C" w:rsidRPr="00D9600A">
        <w:rPr>
          <w:lang w:val="en-GB"/>
        </w:rPr>
        <w:t>demonstrate</w:t>
      </w:r>
      <w:r w:rsidRPr="00D9600A">
        <w:rPr>
          <w:lang w:val="en-GB"/>
        </w:rPr>
        <w:t xml:space="preserve"> a system</w:t>
      </w:r>
      <w:r w:rsidR="00D6448A" w:rsidRPr="00D9600A">
        <w:rPr>
          <w:lang w:val="en-GB"/>
        </w:rPr>
        <w:t>at</w:t>
      </w:r>
      <w:r w:rsidRPr="00D9600A">
        <w:rPr>
          <w:lang w:val="en-GB"/>
        </w:rPr>
        <w:t xml:space="preserve">ic difference </w:t>
      </w:r>
      <w:r w:rsidR="00E161CD" w:rsidRPr="00D9600A">
        <w:rPr>
          <w:lang w:val="en-GB"/>
        </w:rPr>
        <w:t xml:space="preserve">from ESHM20 </w:t>
      </w:r>
      <w:r w:rsidRPr="00D9600A">
        <w:rPr>
          <w:lang w:val="en-GB"/>
        </w:rPr>
        <w:t xml:space="preserve">across the </w:t>
      </w:r>
      <w:r w:rsidR="00314D80" w:rsidRPr="00D9600A">
        <w:rPr>
          <w:lang w:val="en-GB"/>
        </w:rPr>
        <w:t>four</w:t>
      </w:r>
      <w:r w:rsidRPr="00D9600A">
        <w:rPr>
          <w:lang w:val="en-GB"/>
        </w:rPr>
        <w:t xml:space="preserve"> periods. </w:t>
      </w:r>
      <w:r w:rsidR="00100CAD" w:rsidRPr="00D9600A">
        <w:rPr>
          <w:lang w:val="en-GB"/>
        </w:rPr>
        <w:t>T</w:t>
      </w:r>
      <w:r w:rsidRPr="00D9600A">
        <w:rPr>
          <w:lang w:val="en-GB"/>
        </w:rPr>
        <w:t xml:space="preserve">he values </w:t>
      </w:r>
      <w:r w:rsidR="00100CAD" w:rsidRPr="00D9600A">
        <w:rPr>
          <w:lang w:val="en-GB"/>
        </w:rPr>
        <w:t>for</w:t>
      </w:r>
      <w:r w:rsidRPr="00D9600A">
        <w:rPr>
          <w:lang w:val="en-GB"/>
        </w:rPr>
        <w:t xml:space="preserve"> western, southern and eastern Norway from the new model were higher than the ESHM20 model, while values </w:t>
      </w:r>
      <w:r w:rsidR="00100CAD" w:rsidRPr="00D9600A">
        <w:rPr>
          <w:lang w:val="en-GB"/>
        </w:rPr>
        <w:t>for</w:t>
      </w:r>
      <w:r w:rsidRPr="00D9600A">
        <w:rPr>
          <w:lang w:val="en-GB"/>
        </w:rPr>
        <w:t xml:space="preserve"> </w:t>
      </w:r>
      <w:proofErr w:type="spellStart"/>
      <w:r w:rsidRPr="00D9600A">
        <w:rPr>
          <w:lang w:val="en-GB"/>
        </w:rPr>
        <w:t>Trøndelag</w:t>
      </w:r>
      <w:proofErr w:type="spellEnd"/>
      <w:r w:rsidRPr="00D9600A">
        <w:rPr>
          <w:lang w:val="en-GB"/>
        </w:rPr>
        <w:t xml:space="preserve"> (mid-Norway) from the new model </w:t>
      </w:r>
      <w:r w:rsidR="00716E37" w:rsidRPr="00D9600A">
        <w:rPr>
          <w:lang w:val="en-GB"/>
        </w:rPr>
        <w:t>are lower</w:t>
      </w:r>
      <w:r w:rsidRPr="00D9600A">
        <w:rPr>
          <w:lang w:val="en-GB"/>
        </w:rPr>
        <w:t xml:space="preserve"> than ESHM20. The values </w:t>
      </w:r>
      <w:r w:rsidR="00100CAD" w:rsidRPr="00D9600A">
        <w:rPr>
          <w:lang w:val="en-GB"/>
        </w:rPr>
        <w:t>for</w:t>
      </w:r>
      <w:r w:rsidRPr="00D9600A">
        <w:rPr>
          <w:lang w:val="en-GB"/>
        </w:rPr>
        <w:t xml:space="preserve"> Northern Norway from the new models were generally higher than ESHM20 at short periods but </w:t>
      </w:r>
      <w:r w:rsidR="00F518A3" w:rsidRPr="00D9600A">
        <w:rPr>
          <w:lang w:val="en-GB"/>
        </w:rPr>
        <w:t>are lower</w:t>
      </w:r>
      <w:r w:rsidRPr="00D9600A">
        <w:rPr>
          <w:lang w:val="en-GB"/>
        </w:rPr>
        <w:t xml:space="preserve"> than ESHM20 at long periods.</w:t>
      </w:r>
      <w:r w:rsidR="00DC5F60" w:rsidRPr="00D9600A">
        <w:rPr>
          <w:lang w:val="en-GB"/>
        </w:rPr>
        <w:t xml:space="preserve"> This is somewhat surprising </w:t>
      </w:r>
      <w:r w:rsidR="00C638F9" w:rsidRPr="00D9600A">
        <w:rPr>
          <w:lang w:val="en-GB"/>
        </w:rPr>
        <w:t xml:space="preserve">since the present study uses 1200 m/s as reference velocity, which </w:t>
      </w:r>
      <w:r w:rsidR="00100CAD" w:rsidRPr="00D9600A">
        <w:rPr>
          <w:lang w:val="en-GB"/>
        </w:rPr>
        <w:t>by itself</w:t>
      </w:r>
      <w:r w:rsidR="0067304D" w:rsidRPr="00D9600A">
        <w:rPr>
          <w:lang w:val="en-GB"/>
        </w:rPr>
        <w:t xml:space="preserve"> should </w:t>
      </w:r>
      <w:r w:rsidR="007A2830" w:rsidRPr="00D9600A">
        <w:rPr>
          <w:lang w:val="en-GB"/>
        </w:rPr>
        <w:t>reduce the differences.</w:t>
      </w:r>
      <w:r w:rsidR="0067304D" w:rsidRPr="00D9600A">
        <w:rPr>
          <w:lang w:val="en-GB"/>
        </w:rPr>
        <w:t xml:space="preserve"> </w:t>
      </w:r>
      <w:r w:rsidRPr="00D9600A">
        <w:rPr>
          <w:lang w:val="en-GB"/>
        </w:rPr>
        <w:t xml:space="preserve"> Among various factors contributing to this difference</w:t>
      </w:r>
      <w:r w:rsidR="007A2830" w:rsidRPr="00D9600A">
        <w:rPr>
          <w:lang w:val="en-GB"/>
        </w:rPr>
        <w:t xml:space="preserve"> </w:t>
      </w:r>
      <w:r w:rsidR="007C231A" w:rsidRPr="00D9600A">
        <w:rPr>
          <w:lang w:val="en-GB"/>
        </w:rPr>
        <w:t>the authors considered the ground-motion prediction equation (GMPE) as the dominant factor.</w:t>
      </w:r>
    </w:p>
    <w:p w14:paraId="70211EEF" w14:textId="11630478" w:rsidR="00995DD2" w:rsidRPr="00D9600A" w:rsidRDefault="00995DD2" w:rsidP="00F63AD9">
      <w:pPr>
        <w:pStyle w:val="BodyText2"/>
        <w:jc w:val="both"/>
        <w:rPr>
          <w:lang w:val="en-GB"/>
        </w:rPr>
      </w:pPr>
      <w:r w:rsidRPr="00D9600A">
        <w:rPr>
          <w:lang w:val="en-GB"/>
        </w:rPr>
        <w:t xml:space="preserve">This study selected </w:t>
      </w:r>
      <w:r w:rsidR="00055E0A" w:rsidRPr="00D9600A">
        <w:rPr>
          <w:lang w:val="en-GB"/>
        </w:rPr>
        <w:t xml:space="preserve">the GMPEs of </w:t>
      </w:r>
      <w:r w:rsidRPr="00D9600A">
        <w:rPr>
          <w:lang w:val="en-GB"/>
        </w:rPr>
        <w:t xml:space="preserve">Akkar et al. </w:t>
      </w:r>
      <w:r w:rsidR="00055E0A" w:rsidRPr="006F0927">
        <w:rPr>
          <w:lang w:val="nb-NO"/>
        </w:rPr>
        <w:t>(</w:t>
      </w:r>
      <w:r w:rsidRPr="006F0927">
        <w:rPr>
          <w:lang w:val="nb-NO"/>
        </w:rPr>
        <w:t xml:space="preserve">2014), Bindi et al. </w:t>
      </w:r>
      <w:r w:rsidR="00055E0A" w:rsidRPr="006F0927">
        <w:rPr>
          <w:lang w:val="nb-NO"/>
        </w:rPr>
        <w:t>(</w:t>
      </w:r>
      <w:r w:rsidRPr="006F0927">
        <w:rPr>
          <w:lang w:val="nb-NO"/>
        </w:rPr>
        <w:t>2017</w:t>
      </w:r>
      <w:r w:rsidR="00055E0A" w:rsidRPr="006F0927">
        <w:rPr>
          <w:lang w:val="nb-NO"/>
        </w:rPr>
        <w:t>)</w:t>
      </w:r>
      <w:r w:rsidRPr="006F0927">
        <w:rPr>
          <w:lang w:val="nb-NO"/>
        </w:rPr>
        <w:t xml:space="preserve">, Cauzzi et al. </w:t>
      </w:r>
      <w:r w:rsidR="00055E0A" w:rsidRPr="00D9600A">
        <w:rPr>
          <w:lang w:val="en-GB"/>
        </w:rPr>
        <w:t>(</w:t>
      </w:r>
      <w:r w:rsidRPr="00D9600A">
        <w:rPr>
          <w:lang w:val="en-GB"/>
        </w:rPr>
        <w:t>2015</w:t>
      </w:r>
      <w:r w:rsidR="00055E0A" w:rsidRPr="00D9600A">
        <w:rPr>
          <w:lang w:val="en-GB"/>
        </w:rPr>
        <w:t>)</w:t>
      </w:r>
      <w:r w:rsidR="00AC2DD1" w:rsidRPr="00D9600A">
        <w:rPr>
          <w:lang w:val="en-GB"/>
        </w:rPr>
        <w:t xml:space="preserve"> and</w:t>
      </w:r>
      <w:r w:rsidRPr="00D9600A">
        <w:rPr>
          <w:lang w:val="en-GB"/>
        </w:rPr>
        <w:t xml:space="preserve"> Yenier </w:t>
      </w:r>
      <w:r w:rsidR="00764932" w:rsidRPr="00D9600A">
        <w:rPr>
          <w:lang w:val="en-GB"/>
        </w:rPr>
        <w:t>and</w:t>
      </w:r>
      <w:r w:rsidRPr="00D9600A">
        <w:rPr>
          <w:lang w:val="en-GB"/>
        </w:rPr>
        <w:t xml:space="preserve"> Atkinson </w:t>
      </w:r>
      <w:r w:rsidR="00055E0A" w:rsidRPr="00D9600A">
        <w:rPr>
          <w:lang w:val="en-GB"/>
        </w:rPr>
        <w:t>(</w:t>
      </w:r>
      <w:r w:rsidRPr="00D9600A">
        <w:rPr>
          <w:lang w:val="en-GB"/>
        </w:rPr>
        <w:t>2015</w:t>
      </w:r>
      <w:r w:rsidR="00055E0A" w:rsidRPr="00D9600A">
        <w:rPr>
          <w:lang w:val="en-GB"/>
        </w:rPr>
        <w:t>)</w:t>
      </w:r>
      <w:r w:rsidRPr="00D9600A">
        <w:rPr>
          <w:lang w:val="en-GB"/>
        </w:rPr>
        <w:t xml:space="preserve">. </w:t>
      </w:r>
      <w:r w:rsidR="00AC2DD1" w:rsidRPr="00D9600A">
        <w:rPr>
          <w:lang w:val="en-GB"/>
        </w:rPr>
        <w:t>This</w:t>
      </w:r>
      <w:r w:rsidRPr="00D9600A">
        <w:rPr>
          <w:lang w:val="en-GB"/>
        </w:rPr>
        <w:t xml:space="preserve"> </w:t>
      </w:r>
      <w:r w:rsidR="00AC2DD1" w:rsidRPr="00D9600A">
        <w:rPr>
          <w:lang w:val="en-GB"/>
        </w:rPr>
        <w:t>choice</w:t>
      </w:r>
      <w:r w:rsidRPr="00D9600A">
        <w:rPr>
          <w:lang w:val="en-GB"/>
        </w:rPr>
        <w:t xml:space="preserve"> was based on the applicability of tectonic regions, geological condition</w:t>
      </w:r>
      <w:r w:rsidR="00AC2DD1" w:rsidRPr="00D9600A">
        <w:rPr>
          <w:lang w:val="en-GB"/>
        </w:rPr>
        <w:t>s</w:t>
      </w:r>
      <w:r w:rsidRPr="00D9600A">
        <w:rPr>
          <w:lang w:val="en-GB"/>
        </w:rPr>
        <w:t>, magnitude and distance ranges. The ESHM20 adopted the adjustable backbone ground-motion model approach to account for the region-specific features</w:t>
      </w:r>
      <w:r w:rsidR="00E268AF" w:rsidRPr="00D9600A">
        <w:rPr>
          <w:lang w:val="en-GB"/>
        </w:rPr>
        <w:t>.</w:t>
      </w:r>
      <w:r w:rsidRPr="00D9600A">
        <w:rPr>
          <w:lang w:val="en-GB"/>
        </w:rPr>
        <w:t xml:space="preserve"> </w:t>
      </w:r>
      <w:r w:rsidR="00873C2A" w:rsidRPr="00D9600A">
        <w:rPr>
          <w:lang w:val="en-GB"/>
        </w:rPr>
        <w:t>We believe that t</w:t>
      </w:r>
      <w:r w:rsidRPr="00D9600A">
        <w:rPr>
          <w:lang w:val="en-GB"/>
        </w:rPr>
        <w:t>he different ground-motion characteristics, primarily the selection of GMPE</w:t>
      </w:r>
      <w:r w:rsidR="000F5890" w:rsidRPr="00D9600A">
        <w:rPr>
          <w:lang w:val="en-GB"/>
        </w:rPr>
        <w:t>s</w:t>
      </w:r>
      <w:r w:rsidRPr="00D9600A">
        <w:rPr>
          <w:lang w:val="en-GB"/>
        </w:rPr>
        <w:t xml:space="preserve">, contribute </w:t>
      </w:r>
      <w:r w:rsidR="00873C2A" w:rsidRPr="00D9600A">
        <w:rPr>
          <w:lang w:val="en-GB"/>
        </w:rPr>
        <w:t xml:space="preserve">most </w:t>
      </w:r>
      <w:r w:rsidRPr="00D9600A">
        <w:rPr>
          <w:lang w:val="en-GB"/>
        </w:rPr>
        <w:t>to the observed differences</w:t>
      </w:r>
      <w:r w:rsidR="00A058E4" w:rsidRPr="00D9600A">
        <w:rPr>
          <w:lang w:val="en-GB"/>
        </w:rPr>
        <w:t xml:space="preserve">, while not ignoring other significant </w:t>
      </w:r>
      <w:r w:rsidR="00C35C03" w:rsidRPr="00D9600A">
        <w:rPr>
          <w:lang w:val="en-GB"/>
        </w:rPr>
        <w:t>model differences</w:t>
      </w:r>
      <w:r w:rsidR="008D163C" w:rsidRPr="00D9600A">
        <w:rPr>
          <w:lang w:val="en-GB"/>
        </w:rPr>
        <w:t xml:space="preserve"> (e.g., earthquake catalogue, zonation, ground-motion prediction equation, site characteristics and reference velocity)</w:t>
      </w:r>
      <w:r w:rsidRPr="00D9600A">
        <w:rPr>
          <w:lang w:val="en-GB"/>
        </w:rPr>
        <w:t>.</w:t>
      </w:r>
    </w:p>
    <w:p w14:paraId="29ECA2E7" w14:textId="1EAF2565" w:rsidR="00EA035C" w:rsidRPr="00D9600A" w:rsidRDefault="00F52165" w:rsidP="00F63AD9">
      <w:pPr>
        <w:pStyle w:val="BodyText2"/>
        <w:jc w:val="both"/>
        <w:rPr>
          <w:lang w:val="en-GB"/>
        </w:rPr>
      </w:pPr>
      <w:r w:rsidRPr="00D9600A">
        <w:rPr>
          <w:lang w:val="en-GB"/>
        </w:rPr>
        <w:t>As expected,</w:t>
      </w:r>
      <w:r w:rsidR="00EA035C" w:rsidRPr="00D9600A">
        <w:rPr>
          <w:lang w:val="en-GB"/>
        </w:rPr>
        <w:t xml:space="preserve"> both models agreed that Norway's mainland was of low seismic hazard, compared to other high seismic hazard areas in Europe (e.g., Italy). </w:t>
      </w:r>
      <w:r w:rsidR="00A1578C" w:rsidRPr="00D9600A">
        <w:rPr>
          <w:lang w:val="en-GB"/>
        </w:rPr>
        <w:t>Even when</w:t>
      </w:r>
      <w:r w:rsidR="00EA035C" w:rsidRPr="00D9600A">
        <w:rPr>
          <w:lang w:val="en-GB"/>
        </w:rPr>
        <w:t xml:space="preserve"> the difference in % seems dramatic, the max absolute difference in values for 475 years was generally small (e.g., abs</w:t>
      </w:r>
      <w:r w:rsidR="00A1578C" w:rsidRPr="00D9600A">
        <w:rPr>
          <w:lang w:val="en-GB"/>
        </w:rPr>
        <w:t>olute</w:t>
      </w:r>
      <w:r w:rsidR="00EA035C" w:rsidRPr="00D9600A">
        <w:rPr>
          <w:lang w:val="en-GB"/>
        </w:rPr>
        <w:t xml:space="preserve"> max</w:t>
      </w:r>
      <w:r w:rsidR="00583FBA" w:rsidRPr="00D9600A">
        <w:rPr>
          <w:lang w:val="en-GB"/>
        </w:rPr>
        <w:t xml:space="preserve">imum </w:t>
      </w:r>
      <w:r w:rsidR="00EA035C" w:rsidRPr="00D9600A">
        <w:rPr>
          <w:lang w:val="en-GB"/>
        </w:rPr>
        <w:t>value difference was 0.03g for PGA and 0.07g for Sa</w:t>
      </w:r>
      <w:r w:rsidR="004D4A94" w:rsidRPr="00D9600A">
        <w:rPr>
          <w:lang w:val="en-GB"/>
        </w:rPr>
        <w:t>@</w:t>
      </w:r>
      <w:r w:rsidR="00EA035C" w:rsidRPr="00D9600A">
        <w:rPr>
          <w:lang w:val="en-GB"/>
        </w:rPr>
        <w:t>0.2s).</w:t>
      </w:r>
    </w:p>
    <w:p w14:paraId="5F9D3B5B" w14:textId="0786DDC6" w:rsidR="00EC6A97" w:rsidRPr="00D9600A" w:rsidRDefault="00C81642" w:rsidP="0069787B">
      <w:pPr>
        <w:pStyle w:val="Heading1"/>
        <w:rPr>
          <w:lang w:val="en-GB"/>
        </w:rPr>
      </w:pPr>
      <w:r w:rsidRPr="00D9600A">
        <w:rPr>
          <w:lang w:val="en-GB"/>
        </w:rPr>
        <w:t>References</w:t>
      </w:r>
    </w:p>
    <w:p w14:paraId="5E8827BB" w14:textId="3AB237D9" w:rsidR="0069787B" w:rsidRPr="00D9600A" w:rsidRDefault="0069787B" w:rsidP="00DD4437">
      <w:pPr>
        <w:pStyle w:val="References"/>
        <w:jc w:val="both"/>
      </w:pPr>
      <w:r w:rsidRPr="00D9600A">
        <w:t>Adams J (</w:t>
      </w:r>
      <w:r w:rsidR="00EE57C0" w:rsidRPr="00D9600A">
        <w:t>1989</w:t>
      </w:r>
      <w:r w:rsidRPr="00D9600A">
        <w:t>)</w:t>
      </w:r>
      <w:r w:rsidR="00D83E25" w:rsidRPr="00D9600A">
        <w:t xml:space="preserve"> </w:t>
      </w:r>
      <w:r w:rsidRPr="00D9600A">
        <w:t>Crustal stresses eastern Canada</w:t>
      </w:r>
      <w:r w:rsidR="006A6EBC" w:rsidRPr="00D9600A">
        <w:t>. I</w:t>
      </w:r>
      <w:r w:rsidRPr="00D9600A">
        <w:t>n</w:t>
      </w:r>
      <w:r w:rsidR="006A6EBC" w:rsidRPr="00D9600A">
        <w:t>:</w:t>
      </w:r>
      <w:r w:rsidRPr="00D9600A">
        <w:t xml:space="preserve"> </w:t>
      </w:r>
      <w:r w:rsidR="00AD71FA" w:rsidRPr="00D9600A">
        <w:t>Gregersen</w:t>
      </w:r>
      <w:r w:rsidR="00E205A1" w:rsidRPr="00D9600A">
        <w:t xml:space="preserve"> S</w:t>
      </w:r>
      <w:r w:rsidR="00AD71FA" w:rsidRPr="00D9600A">
        <w:t xml:space="preserve"> and Basham</w:t>
      </w:r>
      <w:r w:rsidR="00E205A1" w:rsidRPr="00D9600A">
        <w:t xml:space="preserve"> PW</w:t>
      </w:r>
      <w:r w:rsidR="00AD71FA" w:rsidRPr="00D9600A">
        <w:t xml:space="preserve"> (</w:t>
      </w:r>
      <w:r w:rsidR="00E205A1" w:rsidRPr="00D9600A">
        <w:t xml:space="preserve">ed) </w:t>
      </w:r>
      <w:r w:rsidRPr="00D9600A">
        <w:t>Earthquakes at North</w:t>
      </w:r>
      <w:r w:rsidR="00FD2AF8" w:rsidRPr="00D9600A">
        <w:t xml:space="preserve"> </w:t>
      </w:r>
      <w:r w:rsidRPr="00D9600A">
        <w:t xml:space="preserve">Atlantic Passive Margins: Neotectonics and Postglacial Rebound, </w:t>
      </w:r>
      <w:r w:rsidR="003A0C15" w:rsidRPr="00D9600A">
        <w:t>NATO ASI Series (266)</w:t>
      </w:r>
      <w:r w:rsidRPr="00D9600A">
        <w:t>, Dordrecht</w:t>
      </w:r>
      <w:r w:rsidR="00BA0549" w:rsidRPr="00D9600A">
        <w:t>, pp 289-297</w:t>
      </w:r>
      <w:r w:rsidRPr="00D9600A">
        <w:t>.</w:t>
      </w:r>
      <w:r w:rsidR="00193166" w:rsidRPr="00D9600A">
        <w:t xml:space="preserve"> </w:t>
      </w:r>
      <w:hyperlink r:id="rId27" w:history="1">
        <w:r w:rsidR="004F4506" w:rsidRPr="00D9600A">
          <w:rPr>
            <w:rStyle w:val="Hyperlink"/>
          </w:rPr>
          <w:t>https://doi.org/10.1007/978-94-009-2311-9_17</w:t>
        </w:r>
      </w:hyperlink>
    </w:p>
    <w:p w14:paraId="2869254D" w14:textId="5A995A29" w:rsidR="0069787B" w:rsidRPr="00D9600A" w:rsidRDefault="0069787B" w:rsidP="00DD4437">
      <w:pPr>
        <w:pStyle w:val="References"/>
        <w:jc w:val="both"/>
      </w:pPr>
      <w:r w:rsidRPr="00D9600A">
        <w:t xml:space="preserve">Akkar S, </w:t>
      </w:r>
      <w:proofErr w:type="spellStart"/>
      <w:r w:rsidRPr="00D9600A">
        <w:t>Sandikkaya</w:t>
      </w:r>
      <w:proofErr w:type="spellEnd"/>
      <w:r w:rsidR="00E73D26" w:rsidRPr="00D9600A">
        <w:t xml:space="preserve"> MA</w:t>
      </w:r>
      <w:r w:rsidRPr="00D9600A">
        <w:t xml:space="preserve">, Ay </w:t>
      </w:r>
      <w:r w:rsidR="005E507D" w:rsidRPr="00D9600A">
        <w:t xml:space="preserve">BÖ </w:t>
      </w:r>
      <w:r w:rsidRPr="00D9600A">
        <w:t>(2014)</w:t>
      </w:r>
      <w:r w:rsidR="00D83E25" w:rsidRPr="00D9600A">
        <w:t xml:space="preserve"> </w:t>
      </w:r>
      <w:r w:rsidR="00F24E48" w:rsidRPr="00D9600A">
        <w:t xml:space="preserve">Compatible ground-motion prediction equations for damping scaling factors and vertical-to-horizontal spectral amplitude ratios for the broader Europe region. </w:t>
      </w:r>
      <w:r w:rsidR="00A10CA3" w:rsidRPr="00D9600A">
        <w:t>Bulletin of Earthquake Engineering</w:t>
      </w:r>
      <w:r w:rsidR="00F24E48" w:rsidRPr="00D9600A">
        <w:t xml:space="preserve"> 12</w:t>
      </w:r>
      <w:r w:rsidR="00A10CA3" w:rsidRPr="00D9600A">
        <w:t>:</w:t>
      </w:r>
      <w:r w:rsidR="00F24E48" w:rsidRPr="00D9600A">
        <w:t>517–547</w:t>
      </w:r>
      <w:r w:rsidR="00B97DB1" w:rsidRPr="00D9600A">
        <w:t>.</w:t>
      </w:r>
      <w:r w:rsidR="00276F62" w:rsidRPr="00D9600A">
        <w:t xml:space="preserve"> </w:t>
      </w:r>
      <w:hyperlink r:id="rId28" w:history="1">
        <w:r w:rsidR="004F4506" w:rsidRPr="00D9600A">
          <w:rPr>
            <w:rStyle w:val="Hyperlink"/>
          </w:rPr>
          <w:t>https://doi.org/10.1007/s10518-013-9537-1</w:t>
        </w:r>
      </w:hyperlink>
    </w:p>
    <w:p w14:paraId="64C8BD48" w14:textId="20C9489C" w:rsidR="0069787B" w:rsidRPr="00D9600A" w:rsidRDefault="0069787B" w:rsidP="00DD4437">
      <w:pPr>
        <w:pStyle w:val="References"/>
        <w:jc w:val="both"/>
      </w:pPr>
      <w:r w:rsidRPr="00D9600A">
        <w:t>Atakan K, Lindholm</w:t>
      </w:r>
      <w:r w:rsidR="000333C8" w:rsidRPr="00D9600A">
        <w:t xml:space="preserve"> C, </w:t>
      </w:r>
      <w:r w:rsidRPr="00D9600A">
        <w:t xml:space="preserve">Havskov </w:t>
      </w:r>
      <w:r w:rsidR="000333C8" w:rsidRPr="00D9600A">
        <w:t xml:space="preserve">J </w:t>
      </w:r>
      <w:r w:rsidRPr="00D9600A">
        <w:t>(1994)</w:t>
      </w:r>
      <w:r w:rsidR="00F57E52" w:rsidRPr="00D9600A">
        <w:t xml:space="preserve"> </w:t>
      </w:r>
      <w:r w:rsidRPr="00D9600A">
        <w:t xml:space="preserve">Earthquake swarm in </w:t>
      </w:r>
      <w:proofErr w:type="spellStart"/>
      <w:r w:rsidRPr="00D9600A">
        <w:t>Steigen</w:t>
      </w:r>
      <w:proofErr w:type="spellEnd"/>
      <w:r w:rsidRPr="00D9600A">
        <w:t>, northern Norway: an unusual example of intraplate seismicity. Terra Nova</w:t>
      </w:r>
      <w:r w:rsidR="00F57E52" w:rsidRPr="00D9600A">
        <w:t xml:space="preserve"> </w:t>
      </w:r>
      <w:r w:rsidRPr="00D9600A">
        <w:t>6</w:t>
      </w:r>
      <w:r w:rsidR="00F57E52" w:rsidRPr="00D9600A">
        <w:t>:</w:t>
      </w:r>
      <w:r w:rsidRPr="00D9600A">
        <w:t>180-194.</w:t>
      </w:r>
      <w:r w:rsidR="001321DE" w:rsidRPr="00D9600A">
        <w:t xml:space="preserve"> </w:t>
      </w:r>
      <w:hyperlink r:id="rId29" w:history="1">
        <w:r w:rsidR="006E5562" w:rsidRPr="00D9600A">
          <w:rPr>
            <w:rStyle w:val="Hyperlink"/>
          </w:rPr>
          <w:t>https://doi.org/10.1111/j.1365-3121.1994.tb00652.x</w:t>
        </w:r>
      </w:hyperlink>
    </w:p>
    <w:p w14:paraId="041269D9" w14:textId="30B24AC8" w:rsidR="0069787B" w:rsidRPr="00D9600A" w:rsidRDefault="0069787B" w:rsidP="00DD4437">
      <w:pPr>
        <w:pStyle w:val="References"/>
        <w:jc w:val="both"/>
      </w:pPr>
      <w:r w:rsidRPr="00D9600A">
        <w:t>Bommer</w:t>
      </w:r>
      <w:r w:rsidR="000333C8" w:rsidRPr="00D9600A">
        <w:t xml:space="preserve"> </w:t>
      </w:r>
      <w:r w:rsidRPr="00D9600A">
        <w:t>JJ, Akkar</w:t>
      </w:r>
      <w:r w:rsidR="00FB19DC" w:rsidRPr="00D9600A">
        <w:t xml:space="preserve"> S</w:t>
      </w:r>
      <w:r w:rsidRPr="00D9600A">
        <w:t>, Kale</w:t>
      </w:r>
      <w:r w:rsidR="00FB19DC" w:rsidRPr="00D9600A">
        <w:t xml:space="preserve"> O</w:t>
      </w:r>
      <w:r w:rsidRPr="00D9600A">
        <w:t xml:space="preserve"> (2011)</w:t>
      </w:r>
      <w:r w:rsidR="00FB19DC" w:rsidRPr="00D9600A">
        <w:t xml:space="preserve"> </w:t>
      </w:r>
      <w:r w:rsidRPr="00D9600A">
        <w:t>A model for vertical‐to‐horizontal response spectral ratios for Europe and the Middle East. Bulletin of the Seismological Society of America</w:t>
      </w:r>
      <w:r w:rsidR="00FB19DC" w:rsidRPr="00D9600A">
        <w:t xml:space="preserve"> </w:t>
      </w:r>
      <w:r w:rsidRPr="00D9600A">
        <w:t>101 (4)</w:t>
      </w:r>
      <w:r w:rsidR="00FB19DC" w:rsidRPr="00D9600A">
        <w:t>:</w:t>
      </w:r>
      <w:r w:rsidRPr="00D9600A">
        <w:t>1783‐1806.</w:t>
      </w:r>
      <w:r w:rsidR="00E57B17" w:rsidRPr="00D9600A">
        <w:t xml:space="preserve"> </w:t>
      </w:r>
      <w:hyperlink r:id="rId30" w:history="1">
        <w:r w:rsidR="006E5562" w:rsidRPr="00D9600A">
          <w:rPr>
            <w:rStyle w:val="Hyperlink"/>
          </w:rPr>
          <w:t>https://doi.org/10.1785/0120100285</w:t>
        </w:r>
      </w:hyperlink>
    </w:p>
    <w:p w14:paraId="514FED24" w14:textId="67E3F6FE" w:rsidR="001F7D8C" w:rsidRPr="00D9600A" w:rsidRDefault="001F7D8C" w:rsidP="00DD4437">
      <w:pPr>
        <w:pStyle w:val="References"/>
        <w:jc w:val="both"/>
      </w:pPr>
      <w:r w:rsidRPr="00D9600A">
        <w:t xml:space="preserve">Boore </w:t>
      </w:r>
      <w:r w:rsidR="003569B4" w:rsidRPr="00D9600A">
        <w:t>D</w:t>
      </w:r>
      <w:r w:rsidR="00E71F34" w:rsidRPr="00D9600A">
        <w:t>M</w:t>
      </w:r>
      <w:r w:rsidR="003569B4" w:rsidRPr="00D9600A">
        <w:t xml:space="preserve"> </w:t>
      </w:r>
      <w:r w:rsidRPr="00D9600A">
        <w:t>(2016)</w:t>
      </w:r>
      <w:r w:rsidR="008E1999" w:rsidRPr="00D9600A">
        <w:t xml:space="preserve"> </w:t>
      </w:r>
      <w:r w:rsidR="00886992" w:rsidRPr="00D9600A">
        <w:t>Determining generic velocity and density models for crustal amplification calculations, with an update of the Boore and Joyner (1997) Generic Site Amplification for Graphic Site Amplification</w:t>
      </w:r>
      <w:r w:rsidRPr="00D9600A">
        <w:t>. Bulletin of the Seismological Society of Americ</w:t>
      </w:r>
      <w:r w:rsidR="007E5459" w:rsidRPr="00D9600A">
        <w:t>a</w:t>
      </w:r>
      <w:r w:rsidR="0032371D" w:rsidRPr="00D9600A">
        <w:t xml:space="preserve"> 106:316-320. </w:t>
      </w:r>
      <w:hyperlink r:id="rId31" w:history="1">
        <w:r w:rsidR="006E5562" w:rsidRPr="00D9600A">
          <w:rPr>
            <w:rStyle w:val="Hyperlink"/>
          </w:rPr>
          <w:t>http://doi.org/10.1785/0120150229</w:t>
        </w:r>
      </w:hyperlink>
    </w:p>
    <w:p w14:paraId="19BCCA1F" w14:textId="46E286EA" w:rsidR="00452A43" w:rsidRPr="00D9600A" w:rsidRDefault="00452A43" w:rsidP="00DD4437">
      <w:pPr>
        <w:pStyle w:val="References"/>
        <w:jc w:val="both"/>
      </w:pPr>
      <w:r w:rsidRPr="00D9600A">
        <w:t>Boore DM</w:t>
      </w:r>
      <w:r w:rsidR="00954290" w:rsidRPr="00D9600A">
        <w:t xml:space="preserve">, </w:t>
      </w:r>
      <w:r w:rsidRPr="00D9600A">
        <w:t>Joyner</w:t>
      </w:r>
      <w:r w:rsidR="00954290" w:rsidRPr="00D9600A">
        <w:t xml:space="preserve"> W</w:t>
      </w:r>
      <w:r w:rsidR="005A767B" w:rsidRPr="00D9600A">
        <w:t>.</w:t>
      </w:r>
      <w:r w:rsidR="00954290" w:rsidRPr="00D9600A">
        <w:t>B</w:t>
      </w:r>
      <w:r w:rsidR="005A767B" w:rsidRPr="00D9600A">
        <w:t>.</w:t>
      </w:r>
      <w:r w:rsidRPr="00D9600A">
        <w:t xml:space="preserve"> (1997)</w:t>
      </w:r>
      <w:r w:rsidR="0000093B" w:rsidRPr="00D9600A">
        <w:t xml:space="preserve"> </w:t>
      </w:r>
      <w:r w:rsidRPr="00D9600A">
        <w:t>Site amplification for generic rock sites. Bulletin of the Seismological Society of America 87</w:t>
      </w:r>
      <w:r w:rsidR="00E71F34" w:rsidRPr="00D9600A">
        <w:t>(2)</w:t>
      </w:r>
      <w:r w:rsidR="004F6D44" w:rsidRPr="00D9600A">
        <w:t xml:space="preserve">: </w:t>
      </w:r>
      <w:r w:rsidRPr="00D9600A">
        <w:t>327-341.</w:t>
      </w:r>
      <w:r w:rsidR="00D528F5" w:rsidRPr="00D9600A">
        <w:t xml:space="preserve"> </w:t>
      </w:r>
      <w:hyperlink r:id="rId32" w:history="1">
        <w:r w:rsidR="006E5562" w:rsidRPr="00D9600A">
          <w:rPr>
            <w:rStyle w:val="Hyperlink"/>
          </w:rPr>
          <w:t>https://doi.org/10.1785/BSSA0870020327</w:t>
        </w:r>
      </w:hyperlink>
    </w:p>
    <w:p w14:paraId="51735284" w14:textId="4D71FE51" w:rsidR="0069787B" w:rsidRPr="00D9600A" w:rsidRDefault="0069787B" w:rsidP="00DD4437">
      <w:pPr>
        <w:pStyle w:val="References"/>
        <w:jc w:val="both"/>
      </w:pPr>
      <w:r w:rsidRPr="00D9600A">
        <w:t>Bott</w:t>
      </w:r>
      <w:r w:rsidR="0000093B" w:rsidRPr="00D9600A">
        <w:t xml:space="preserve"> MHP </w:t>
      </w:r>
      <w:r w:rsidRPr="00D9600A">
        <w:t>(1991)</w:t>
      </w:r>
      <w:r w:rsidR="0000093B" w:rsidRPr="00D9600A">
        <w:t xml:space="preserve"> </w:t>
      </w:r>
      <w:r w:rsidRPr="00D9600A">
        <w:t>Ridge push and associated plate interior stress in normal and hot spot regions. Tectonophysics</w:t>
      </w:r>
      <w:r w:rsidR="0000093B" w:rsidRPr="00D9600A">
        <w:t xml:space="preserve"> </w:t>
      </w:r>
      <w:r w:rsidRPr="00D9600A">
        <w:t>200</w:t>
      </w:r>
      <w:r w:rsidR="008A4A38" w:rsidRPr="00D9600A">
        <w:t>:</w:t>
      </w:r>
      <w:r w:rsidRPr="00D9600A">
        <w:t>17-32</w:t>
      </w:r>
      <w:r w:rsidR="006B2343" w:rsidRPr="00D9600A">
        <w:t xml:space="preserve">. </w:t>
      </w:r>
      <w:hyperlink r:id="rId33" w:history="1">
        <w:r w:rsidR="006E5562" w:rsidRPr="00D9600A">
          <w:rPr>
            <w:rStyle w:val="Hyperlink"/>
          </w:rPr>
          <w:t>https://doi.org/10.1016/0040-1951(91)90003-B</w:t>
        </w:r>
      </w:hyperlink>
    </w:p>
    <w:p w14:paraId="503183FE" w14:textId="7B76CB0D" w:rsidR="0069787B" w:rsidRPr="00D9600A" w:rsidRDefault="0069787B" w:rsidP="00DD4437">
      <w:pPr>
        <w:pStyle w:val="References"/>
        <w:jc w:val="both"/>
      </w:pPr>
      <w:r w:rsidRPr="00D9600A">
        <w:t>Bungum</w:t>
      </w:r>
      <w:r w:rsidR="0000093B" w:rsidRPr="00D9600A">
        <w:t xml:space="preserve"> H</w:t>
      </w:r>
      <w:r w:rsidRPr="00D9600A">
        <w:t>, Hokland</w:t>
      </w:r>
      <w:r w:rsidR="0000093B" w:rsidRPr="00D9600A">
        <w:t xml:space="preserve"> BK</w:t>
      </w:r>
      <w:r w:rsidRPr="00D9600A">
        <w:t xml:space="preserve">, </w:t>
      </w:r>
      <w:proofErr w:type="spellStart"/>
      <w:r w:rsidRPr="00D9600A">
        <w:t>Husebye</w:t>
      </w:r>
      <w:proofErr w:type="spellEnd"/>
      <w:r w:rsidR="0000093B" w:rsidRPr="00D9600A">
        <w:t xml:space="preserve"> ES, </w:t>
      </w:r>
      <w:r w:rsidRPr="00D9600A">
        <w:t xml:space="preserve">Ringdal </w:t>
      </w:r>
      <w:r w:rsidR="0000093B" w:rsidRPr="00D9600A">
        <w:t xml:space="preserve">F </w:t>
      </w:r>
      <w:r w:rsidRPr="00D9600A">
        <w:t>(1979)</w:t>
      </w:r>
      <w:r w:rsidR="0000093B" w:rsidRPr="00D9600A">
        <w:t xml:space="preserve"> </w:t>
      </w:r>
      <w:r w:rsidRPr="00D9600A">
        <w:t xml:space="preserve">An exceptional intraplate earthquake sequence in </w:t>
      </w:r>
      <w:proofErr w:type="spellStart"/>
      <w:r w:rsidRPr="00D9600A">
        <w:t>Meløy</w:t>
      </w:r>
      <w:proofErr w:type="spellEnd"/>
      <w:r w:rsidRPr="00D9600A">
        <w:t>, Northern Norway. Nature</w:t>
      </w:r>
      <w:r w:rsidR="0000093B" w:rsidRPr="00D9600A">
        <w:t xml:space="preserve"> </w:t>
      </w:r>
      <w:r w:rsidRPr="00D9600A">
        <w:t>280</w:t>
      </w:r>
      <w:r w:rsidR="0000093B" w:rsidRPr="00D9600A">
        <w:t>:</w:t>
      </w:r>
      <w:r w:rsidRPr="00D9600A">
        <w:t xml:space="preserve">32-35. </w:t>
      </w:r>
      <w:hyperlink r:id="rId34" w:history="1">
        <w:r w:rsidR="006E5562" w:rsidRPr="00D9600A">
          <w:rPr>
            <w:rStyle w:val="Hyperlink"/>
          </w:rPr>
          <w:t>https://doi.org/10.1038/280032a0</w:t>
        </w:r>
      </w:hyperlink>
    </w:p>
    <w:p w14:paraId="16A192A6" w14:textId="09954AA4" w:rsidR="0069787B" w:rsidRPr="00D9600A" w:rsidRDefault="0069787B" w:rsidP="00DD4437">
      <w:pPr>
        <w:pStyle w:val="References"/>
        <w:jc w:val="both"/>
      </w:pPr>
      <w:r w:rsidRPr="00D9600A">
        <w:lastRenderedPageBreak/>
        <w:t>Bungum</w:t>
      </w:r>
      <w:r w:rsidR="0000093B" w:rsidRPr="00D9600A">
        <w:t xml:space="preserve"> H</w:t>
      </w:r>
      <w:r w:rsidRPr="00D9600A">
        <w:t>, Mitchell</w:t>
      </w:r>
      <w:r w:rsidR="0000093B" w:rsidRPr="00D9600A">
        <w:t xml:space="preserve"> BJ</w:t>
      </w:r>
      <w:r w:rsidR="00E467C1" w:rsidRPr="00D9600A">
        <w:t>,</w:t>
      </w:r>
      <w:r w:rsidRPr="00D9600A">
        <w:t xml:space="preserve"> Kristoffersen </w:t>
      </w:r>
      <w:r w:rsidR="0000093B" w:rsidRPr="00D9600A">
        <w:t xml:space="preserve">Y </w:t>
      </w:r>
      <w:r w:rsidRPr="00D9600A">
        <w:t>(1982)</w:t>
      </w:r>
      <w:r w:rsidR="0000093B" w:rsidRPr="00D9600A">
        <w:t xml:space="preserve"> </w:t>
      </w:r>
      <w:r w:rsidRPr="00D9600A">
        <w:t>Concentrated earthquake zones in Svalbard. Tectonophysics</w:t>
      </w:r>
      <w:r w:rsidR="0000093B" w:rsidRPr="00D9600A">
        <w:t xml:space="preserve"> </w:t>
      </w:r>
      <w:r w:rsidRPr="00D9600A">
        <w:t>82</w:t>
      </w:r>
      <w:r w:rsidR="0000093B" w:rsidRPr="00D9600A">
        <w:t>:</w:t>
      </w:r>
      <w:r w:rsidRPr="00D9600A">
        <w:t xml:space="preserve">175-188. </w:t>
      </w:r>
      <w:hyperlink r:id="rId35" w:history="1">
        <w:r w:rsidR="006E5562" w:rsidRPr="00D9600A">
          <w:rPr>
            <w:rStyle w:val="Hyperlink"/>
          </w:rPr>
          <w:t>https://doi.org/10.1016/0040-1951(82)90044-0</w:t>
        </w:r>
      </w:hyperlink>
    </w:p>
    <w:p w14:paraId="4F83A8F2" w14:textId="418DEFE8" w:rsidR="0069787B" w:rsidRPr="00D9600A" w:rsidRDefault="0069787B" w:rsidP="00DD4437">
      <w:pPr>
        <w:pStyle w:val="References"/>
        <w:jc w:val="both"/>
      </w:pPr>
      <w:r w:rsidRPr="00D9600A">
        <w:t>Bungum</w:t>
      </w:r>
      <w:r w:rsidR="0000093B" w:rsidRPr="00D9600A">
        <w:t xml:space="preserve"> </w:t>
      </w:r>
      <w:r w:rsidRPr="00D9600A">
        <w:t>H, Alsaker</w:t>
      </w:r>
      <w:r w:rsidR="0000093B" w:rsidRPr="00D9600A">
        <w:t xml:space="preserve"> A</w:t>
      </w:r>
      <w:r w:rsidRPr="00D9600A">
        <w:t>, Kvamme</w:t>
      </w:r>
      <w:r w:rsidR="0000093B" w:rsidRPr="00D9600A">
        <w:t xml:space="preserve"> LB, </w:t>
      </w:r>
      <w:r w:rsidRPr="00D9600A">
        <w:t xml:space="preserve">Hansen </w:t>
      </w:r>
      <w:r w:rsidR="0000093B" w:rsidRPr="00D9600A">
        <w:t xml:space="preserve">RA </w:t>
      </w:r>
      <w:r w:rsidRPr="00D9600A">
        <w:t xml:space="preserve">(1991) Seismicity and seismotectonics of Norway and surrounding continental shelf areas. </w:t>
      </w:r>
      <w:r w:rsidR="0097699D" w:rsidRPr="00D9600A">
        <w:t>Journal of Geophysical Research</w:t>
      </w:r>
      <w:r w:rsidR="0097699D" w:rsidRPr="00D9600A" w:rsidDel="0097699D">
        <w:t xml:space="preserve"> </w:t>
      </w:r>
      <w:r w:rsidRPr="00D9600A">
        <w:t>96</w:t>
      </w:r>
      <w:r w:rsidR="0097699D" w:rsidRPr="00D9600A">
        <w:t>:</w:t>
      </w:r>
      <w:r w:rsidRPr="00D9600A">
        <w:t xml:space="preserve">2249-2265. </w:t>
      </w:r>
      <w:hyperlink r:id="rId36" w:history="1">
        <w:r w:rsidR="006E5562" w:rsidRPr="00D9600A">
          <w:rPr>
            <w:rStyle w:val="Hyperlink"/>
          </w:rPr>
          <w:t>https://doi.org/10.1029/90JB02010</w:t>
        </w:r>
      </w:hyperlink>
    </w:p>
    <w:p w14:paraId="08F52010" w14:textId="1189EE7B" w:rsidR="0069787B" w:rsidRPr="00D9600A" w:rsidRDefault="0069787B" w:rsidP="00DD4437">
      <w:pPr>
        <w:pStyle w:val="References"/>
        <w:jc w:val="both"/>
      </w:pPr>
      <w:r w:rsidRPr="00D9600A">
        <w:t>Bungum</w:t>
      </w:r>
      <w:r w:rsidR="005972B5" w:rsidRPr="00D9600A">
        <w:t xml:space="preserve"> </w:t>
      </w:r>
      <w:r w:rsidRPr="00D9600A">
        <w:t xml:space="preserve">H, </w:t>
      </w:r>
      <w:proofErr w:type="spellStart"/>
      <w:r w:rsidRPr="00D9600A">
        <w:t>Pettenati</w:t>
      </w:r>
      <w:proofErr w:type="spellEnd"/>
      <w:r w:rsidR="005972B5" w:rsidRPr="00D9600A">
        <w:t xml:space="preserve"> F</w:t>
      </w:r>
      <w:r w:rsidRPr="00D9600A">
        <w:t>,</w:t>
      </w:r>
      <w:r w:rsidR="005972B5" w:rsidRPr="00D9600A">
        <w:t xml:space="preserve"> </w:t>
      </w:r>
      <w:r w:rsidRPr="00D9600A">
        <w:t>Schweitzer</w:t>
      </w:r>
      <w:r w:rsidR="005972B5" w:rsidRPr="00D9600A">
        <w:t xml:space="preserve"> J</w:t>
      </w:r>
      <w:r w:rsidRPr="00D9600A">
        <w:t xml:space="preserve">, </w:t>
      </w:r>
      <w:proofErr w:type="spellStart"/>
      <w:r w:rsidRPr="00D9600A">
        <w:t>Sirovich</w:t>
      </w:r>
      <w:proofErr w:type="spellEnd"/>
      <w:r w:rsidR="005972B5" w:rsidRPr="00D9600A">
        <w:t xml:space="preserve"> L,</w:t>
      </w:r>
      <w:r w:rsidR="004F0D1E" w:rsidRPr="00D9600A">
        <w:t xml:space="preserve"> </w:t>
      </w:r>
      <w:proofErr w:type="spellStart"/>
      <w:r w:rsidRPr="00D9600A">
        <w:t>Faleide</w:t>
      </w:r>
      <w:proofErr w:type="spellEnd"/>
      <w:r w:rsidR="004F0D1E" w:rsidRPr="00D9600A">
        <w:t xml:space="preserve"> JI</w:t>
      </w:r>
      <w:r w:rsidRPr="00D9600A">
        <w:t xml:space="preserve"> (2009)</w:t>
      </w:r>
      <w:r w:rsidR="004F0D1E" w:rsidRPr="00D9600A">
        <w:t xml:space="preserve"> </w:t>
      </w:r>
      <w:r w:rsidRPr="00D9600A">
        <w:t xml:space="preserve">The MS 5.4 October 23, 1904, Oslofjord earthquake: Reanalysis based on macroseismic and instrumental data. </w:t>
      </w:r>
      <w:r w:rsidR="001F09FF" w:rsidRPr="00D9600A">
        <w:t xml:space="preserve">Bulletin of the Seismological Society of America </w:t>
      </w:r>
      <w:r w:rsidRPr="00D9600A">
        <w:t>99(5)</w:t>
      </w:r>
      <w:r w:rsidR="001F09FF" w:rsidRPr="00D9600A">
        <w:t>:</w:t>
      </w:r>
      <w:r w:rsidRPr="00D9600A">
        <w:t xml:space="preserve">2836-2854. </w:t>
      </w:r>
      <w:hyperlink r:id="rId37" w:history="1">
        <w:r w:rsidR="006E5562" w:rsidRPr="00D9600A">
          <w:rPr>
            <w:rStyle w:val="Hyperlink"/>
          </w:rPr>
          <w:t>http://doi.org/10.1785/0120080357</w:t>
        </w:r>
      </w:hyperlink>
    </w:p>
    <w:p w14:paraId="3EDBB89D" w14:textId="60B6D43B" w:rsidR="0069787B" w:rsidRPr="00D9600A" w:rsidRDefault="0069787B" w:rsidP="00DD4437">
      <w:pPr>
        <w:pStyle w:val="References"/>
        <w:jc w:val="both"/>
      </w:pPr>
      <w:r w:rsidRPr="00D9600A">
        <w:t>Bungum</w:t>
      </w:r>
      <w:r w:rsidR="003669B3" w:rsidRPr="00D9600A">
        <w:t xml:space="preserve"> </w:t>
      </w:r>
      <w:r w:rsidRPr="00D9600A">
        <w:t xml:space="preserve">H, Lindholm </w:t>
      </w:r>
      <w:r w:rsidR="003669B3" w:rsidRPr="00D9600A">
        <w:t xml:space="preserve">C, </w:t>
      </w:r>
      <w:r w:rsidRPr="00D9600A">
        <w:t>Faleide</w:t>
      </w:r>
      <w:r w:rsidR="003669B3" w:rsidRPr="00D9600A">
        <w:t xml:space="preserve"> JI</w:t>
      </w:r>
      <w:r w:rsidRPr="00D9600A">
        <w:t xml:space="preserve"> (2005)</w:t>
      </w:r>
      <w:r w:rsidR="003669B3" w:rsidRPr="00D9600A">
        <w:t xml:space="preserve"> </w:t>
      </w:r>
      <w:r w:rsidRPr="00D9600A">
        <w:t xml:space="preserve">Postglacial seismicity offshore mid-Norway with emphasis on </w:t>
      </w:r>
      <w:proofErr w:type="spellStart"/>
      <w:r w:rsidRPr="00D9600A">
        <w:t>spatio</w:t>
      </w:r>
      <w:proofErr w:type="spellEnd"/>
      <w:r w:rsidRPr="00D9600A">
        <w:t>-temporal-</w:t>
      </w:r>
      <w:proofErr w:type="spellStart"/>
      <w:r w:rsidRPr="00D9600A">
        <w:t>magnitudal</w:t>
      </w:r>
      <w:proofErr w:type="spellEnd"/>
      <w:r w:rsidRPr="00D9600A">
        <w:t xml:space="preserve"> variations. Marine and Petroleum Geology</w:t>
      </w:r>
      <w:r w:rsidR="003669B3" w:rsidRPr="00D9600A">
        <w:t xml:space="preserve"> </w:t>
      </w:r>
      <w:r w:rsidRPr="00D9600A">
        <w:t>22</w:t>
      </w:r>
      <w:r w:rsidR="003669B3" w:rsidRPr="00D9600A">
        <w:t>:</w:t>
      </w:r>
      <w:r w:rsidRPr="00D9600A">
        <w:t>137-148.</w:t>
      </w:r>
      <w:r w:rsidR="007C4A78" w:rsidRPr="00D9600A">
        <w:t xml:space="preserve"> </w:t>
      </w:r>
      <w:hyperlink r:id="rId38" w:history="1">
        <w:r w:rsidR="006E5562" w:rsidRPr="00D9600A">
          <w:rPr>
            <w:rStyle w:val="Hyperlink"/>
          </w:rPr>
          <w:t>https://doi.org/10.1016/j.marpetgeo.2004.10.007</w:t>
        </w:r>
      </w:hyperlink>
    </w:p>
    <w:p w14:paraId="37E0F0F6" w14:textId="7FF13B28" w:rsidR="0069787B" w:rsidRPr="00D9600A" w:rsidRDefault="0069787B" w:rsidP="00DD4437">
      <w:pPr>
        <w:pStyle w:val="References"/>
        <w:jc w:val="both"/>
      </w:pPr>
      <w:r w:rsidRPr="00D9600A">
        <w:t xml:space="preserve">Bungum </w:t>
      </w:r>
      <w:r w:rsidR="00326D3D" w:rsidRPr="00D9600A">
        <w:t xml:space="preserve">H, </w:t>
      </w:r>
      <w:r w:rsidRPr="00D9600A">
        <w:t>Eldholm</w:t>
      </w:r>
      <w:r w:rsidR="00326D3D" w:rsidRPr="00D9600A">
        <w:t xml:space="preserve"> O</w:t>
      </w:r>
      <w:r w:rsidRPr="00D9600A">
        <w:t xml:space="preserve"> (2022) The conundrums of the postglacial tectonic response of the Fennoscandian</w:t>
      </w:r>
      <w:r w:rsidR="007E7722" w:rsidRPr="00D9600A">
        <w:t xml:space="preserve"> </w:t>
      </w:r>
      <w:r w:rsidRPr="00D9600A">
        <w:t>and Canadian Shields. Earth-Science Reviews 232</w:t>
      </w:r>
      <w:r w:rsidR="00616C5A" w:rsidRPr="00D9600A">
        <w:t>:</w:t>
      </w:r>
      <w:r w:rsidR="00444C6C" w:rsidRPr="00D9600A">
        <w:t>895-902</w:t>
      </w:r>
      <w:r w:rsidRPr="00D9600A">
        <w:t xml:space="preserve">. </w:t>
      </w:r>
      <w:hyperlink r:id="rId39" w:history="1">
        <w:r w:rsidR="006E5562" w:rsidRPr="00D9600A">
          <w:rPr>
            <w:rStyle w:val="Hyperlink"/>
          </w:rPr>
          <w:t>https://doi.org/10.1016/j.earscirev.2022.104146</w:t>
        </w:r>
      </w:hyperlink>
    </w:p>
    <w:p w14:paraId="4B88D838" w14:textId="4F8A11E0" w:rsidR="0069787B" w:rsidRPr="00D9600A" w:rsidRDefault="0069787B" w:rsidP="00DD4437">
      <w:pPr>
        <w:pStyle w:val="References"/>
        <w:jc w:val="both"/>
      </w:pPr>
      <w:r w:rsidRPr="00D9600A">
        <w:t>Bungum H,</w:t>
      </w:r>
      <w:r w:rsidR="00D27589" w:rsidRPr="00D9600A">
        <w:t xml:space="preserve"> </w:t>
      </w:r>
      <w:r w:rsidRPr="00D9600A">
        <w:t>Pascal</w:t>
      </w:r>
      <w:r w:rsidR="00D27589" w:rsidRPr="00D9600A">
        <w:t xml:space="preserve"> C</w:t>
      </w:r>
      <w:r w:rsidRPr="00D9600A">
        <w:t>,</w:t>
      </w:r>
      <w:r w:rsidR="00D27589" w:rsidRPr="00D9600A">
        <w:t xml:space="preserve"> </w:t>
      </w:r>
      <w:r w:rsidRPr="00D9600A">
        <w:t>Olesen</w:t>
      </w:r>
      <w:r w:rsidR="00D27589" w:rsidRPr="00D9600A">
        <w:t xml:space="preserve"> O</w:t>
      </w:r>
      <w:r w:rsidRPr="00D9600A">
        <w:t>, Lindholm</w:t>
      </w:r>
      <w:r w:rsidR="00D27589" w:rsidRPr="00D9600A">
        <w:t xml:space="preserve"> C</w:t>
      </w:r>
      <w:r w:rsidRPr="00D9600A">
        <w:t>,</w:t>
      </w:r>
      <w:r w:rsidR="00D27589" w:rsidRPr="00D9600A">
        <w:t xml:space="preserve"> </w:t>
      </w:r>
      <w:r w:rsidRPr="00D9600A">
        <w:t>Vestøl</w:t>
      </w:r>
      <w:r w:rsidR="00D27589" w:rsidRPr="00D9600A">
        <w:t xml:space="preserve"> O, </w:t>
      </w:r>
      <w:r w:rsidRPr="00D9600A">
        <w:t>Gibbons</w:t>
      </w:r>
      <w:r w:rsidR="00D27589" w:rsidRPr="00D9600A">
        <w:t xml:space="preserve"> S</w:t>
      </w:r>
      <w:r w:rsidRPr="00D9600A">
        <w:t xml:space="preserve"> (2010)</w:t>
      </w:r>
      <w:r w:rsidR="00D27589" w:rsidRPr="00D9600A">
        <w:t xml:space="preserve"> </w:t>
      </w:r>
      <w:r w:rsidRPr="00D9600A">
        <w:t xml:space="preserve">To what extent is the present seismicity of Norway driven by postglacial rebound?, </w:t>
      </w:r>
      <w:r w:rsidR="00BE286B" w:rsidRPr="00D9600A">
        <w:t xml:space="preserve">Journal of the Geological Society </w:t>
      </w:r>
      <w:r w:rsidRPr="00D9600A">
        <w:t>167</w:t>
      </w:r>
      <w:r w:rsidR="00BE286B" w:rsidRPr="00D9600A">
        <w:t>:</w:t>
      </w:r>
      <w:r w:rsidRPr="00D9600A">
        <w:t>373-384.</w:t>
      </w:r>
      <w:r w:rsidR="00527963" w:rsidRPr="00D9600A">
        <w:t xml:space="preserve"> </w:t>
      </w:r>
      <w:hyperlink r:id="rId40" w:history="1">
        <w:r w:rsidR="006E5562" w:rsidRPr="00D9600A">
          <w:rPr>
            <w:rStyle w:val="Hyperlink"/>
          </w:rPr>
          <w:t>https://doi.org/10.1144/0016-76492009-009</w:t>
        </w:r>
      </w:hyperlink>
    </w:p>
    <w:p w14:paraId="5BDBC7CA" w14:textId="664C3FC6" w:rsidR="0069787B" w:rsidRPr="00D9600A" w:rsidRDefault="0069787B" w:rsidP="00DD4437">
      <w:pPr>
        <w:pStyle w:val="References"/>
        <w:jc w:val="both"/>
      </w:pPr>
      <w:r w:rsidRPr="00D9600A">
        <w:t>Byrkjeland</w:t>
      </w:r>
      <w:r w:rsidR="002C2E81" w:rsidRPr="00D9600A">
        <w:t xml:space="preserve"> </w:t>
      </w:r>
      <w:r w:rsidRPr="00D9600A">
        <w:t>U, Bungum</w:t>
      </w:r>
      <w:r w:rsidR="002C2E81" w:rsidRPr="00D9600A">
        <w:t xml:space="preserve"> H, </w:t>
      </w:r>
      <w:r w:rsidRPr="00D9600A">
        <w:t>Eldholm</w:t>
      </w:r>
      <w:r w:rsidR="002C2E81" w:rsidRPr="00D9600A">
        <w:t xml:space="preserve"> O</w:t>
      </w:r>
      <w:r w:rsidRPr="00D9600A">
        <w:t xml:space="preserve"> (2000)</w:t>
      </w:r>
      <w:r w:rsidR="002C2E81" w:rsidRPr="00D9600A">
        <w:t xml:space="preserve"> </w:t>
      </w:r>
      <w:r w:rsidRPr="00D9600A">
        <w:t xml:space="preserve">Seismotectonics of the Norwegian continental margin. </w:t>
      </w:r>
      <w:r w:rsidR="00B922A1" w:rsidRPr="00D9600A">
        <w:t>Journal of Geophysical Research</w:t>
      </w:r>
      <w:r w:rsidR="00B922A1" w:rsidRPr="00D9600A" w:rsidDel="00B922A1">
        <w:t xml:space="preserve"> </w:t>
      </w:r>
      <w:r w:rsidR="00B922A1" w:rsidRPr="00D9600A">
        <w:t>1</w:t>
      </w:r>
      <w:r w:rsidRPr="00D9600A">
        <w:t>05</w:t>
      </w:r>
      <w:r w:rsidR="00B922A1" w:rsidRPr="00D9600A">
        <w:t>:</w:t>
      </w:r>
      <w:r w:rsidRPr="00D9600A">
        <w:t>6221-6236.</w:t>
      </w:r>
      <w:r w:rsidR="00A01C68" w:rsidRPr="00D9600A">
        <w:t xml:space="preserve"> </w:t>
      </w:r>
      <w:hyperlink r:id="rId41" w:history="1">
        <w:r w:rsidR="006E5562" w:rsidRPr="00D9600A">
          <w:rPr>
            <w:rStyle w:val="Hyperlink"/>
          </w:rPr>
          <w:t>https://doi.org/10.1029/1999JB900275</w:t>
        </w:r>
      </w:hyperlink>
    </w:p>
    <w:p w14:paraId="6DFC3315" w14:textId="712269F0" w:rsidR="001F7D8C" w:rsidRPr="00D9600A" w:rsidRDefault="001F7D8C" w:rsidP="00DD4437">
      <w:pPr>
        <w:pStyle w:val="References"/>
        <w:jc w:val="both"/>
      </w:pPr>
      <w:r w:rsidRPr="00D9600A">
        <w:t>Cotton</w:t>
      </w:r>
      <w:r w:rsidR="0076507E" w:rsidRPr="00D9600A">
        <w:t xml:space="preserve"> </w:t>
      </w:r>
      <w:r w:rsidRPr="00D9600A">
        <w:t>F</w:t>
      </w:r>
      <w:r w:rsidR="0076507E" w:rsidRPr="00D9600A">
        <w:t xml:space="preserve">, </w:t>
      </w:r>
      <w:r w:rsidRPr="00D9600A">
        <w:t>Scherbaum</w:t>
      </w:r>
      <w:r w:rsidR="0076507E" w:rsidRPr="00D9600A">
        <w:t xml:space="preserve"> F, </w:t>
      </w:r>
      <w:r w:rsidRPr="00D9600A">
        <w:t>Bommer</w:t>
      </w:r>
      <w:r w:rsidR="0076507E" w:rsidRPr="00D9600A">
        <w:t xml:space="preserve"> J, </w:t>
      </w:r>
      <w:r w:rsidRPr="00D9600A">
        <w:t xml:space="preserve">Bungum </w:t>
      </w:r>
      <w:r w:rsidR="00846181" w:rsidRPr="00D9600A">
        <w:t xml:space="preserve">H </w:t>
      </w:r>
      <w:r w:rsidRPr="00D9600A">
        <w:t>(2006)</w:t>
      </w:r>
      <w:r w:rsidR="00846181" w:rsidRPr="00D9600A">
        <w:t xml:space="preserve"> </w:t>
      </w:r>
      <w:r w:rsidRPr="00D9600A">
        <w:t xml:space="preserve">Criteria for selecting and </w:t>
      </w:r>
      <w:proofErr w:type="spellStart"/>
      <w:r w:rsidRPr="00D9600A">
        <w:t>adju</w:t>
      </w:r>
      <w:proofErr w:type="spellEnd"/>
      <w:r w:rsidRPr="00D9600A">
        <w:t xml:space="preserve"> sting ground-motion models for specific target regions: Application to Central Europe and rock sites. Journal of Seismology</w:t>
      </w:r>
      <w:r w:rsidR="00846181" w:rsidRPr="00D9600A">
        <w:t xml:space="preserve"> </w:t>
      </w:r>
      <w:r w:rsidRPr="00D9600A">
        <w:t>10</w:t>
      </w:r>
      <w:r w:rsidR="00846181" w:rsidRPr="00D9600A">
        <w:t>:</w:t>
      </w:r>
      <w:r w:rsidRPr="00D9600A">
        <w:t>137-156.</w:t>
      </w:r>
      <w:r w:rsidR="00BA4B4A" w:rsidRPr="00D9600A">
        <w:t xml:space="preserve"> </w:t>
      </w:r>
      <w:hyperlink r:id="rId42" w:history="1">
        <w:r w:rsidR="006E5562" w:rsidRPr="00D9600A">
          <w:rPr>
            <w:rStyle w:val="Hyperlink"/>
          </w:rPr>
          <w:t>https://doi.org/10.1007/s10950-005-9006-7</w:t>
        </w:r>
      </w:hyperlink>
    </w:p>
    <w:p w14:paraId="198C7C5B" w14:textId="2E52752D" w:rsidR="0069787B" w:rsidRPr="006F0927" w:rsidRDefault="0069787B" w:rsidP="00DD4437">
      <w:pPr>
        <w:pStyle w:val="References"/>
        <w:jc w:val="both"/>
        <w:rPr>
          <w:lang w:val="nb-NO"/>
        </w:rPr>
      </w:pPr>
      <w:r w:rsidRPr="00D9600A">
        <w:t>Dallmann</w:t>
      </w:r>
      <w:r w:rsidR="00BD21BF" w:rsidRPr="00D9600A">
        <w:t xml:space="preserve"> </w:t>
      </w:r>
      <w:r w:rsidRPr="00D9600A">
        <w:t>WK (2015)</w:t>
      </w:r>
      <w:r w:rsidR="0027411A" w:rsidRPr="00D9600A">
        <w:t xml:space="preserve"> </w:t>
      </w:r>
      <w:r w:rsidRPr="00D9600A">
        <w:t xml:space="preserve">Geoscience </w:t>
      </w:r>
      <w:r w:rsidR="0027411A" w:rsidRPr="00D9600A">
        <w:t xml:space="preserve">Atlas </w:t>
      </w:r>
      <w:r w:rsidRPr="00D9600A">
        <w:t xml:space="preserve">of Svalbard. </w:t>
      </w:r>
      <w:r w:rsidRPr="006F0927">
        <w:rPr>
          <w:lang w:val="nb-NO"/>
        </w:rPr>
        <w:t>Norsk Polarinstitutt, Rapport 148.</w:t>
      </w:r>
      <w:r w:rsidR="00211B50" w:rsidRPr="006F0927">
        <w:rPr>
          <w:lang w:val="nb-NO"/>
        </w:rPr>
        <w:t xml:space="preserve"> http://hdl.handle.net/11250/2580810</w:t>
      </w:r>
      <w:r w:rsidRPr="006F0927">
        <w:rPr>
          <w:lang w:val="nb-NO"/>
        </w:rPr>
        <w:t xml:space="preserve"> </w:t>
      </w:r>
    </w:p>
    <w:p w14:paraId="3D8B7F15" w14:textId="7FB4DD5D" w:rsidR="0069787B" w:rsidRPr="00D9600A" w:rsidRDefault="0069787B" w:rsidP="00DD4437">
      <w:pPr>
        <w:pStyle w:val="References"/>
        <w:jc w:val="both"/>
      </w:pPr>
      <w:proofErr w:type="spellStart"/>
      <w:r w:rsidRPr="00D9600A">
        <w:t>Dehls</w:t>
      </w:r>
      <w:proofErr w:type="spellEnd"/>
      <w:r w:rsidRPr="00D9600A">
        <w:t xml:space="preserve"> JF, Olesen</w:t>
      </w:r>
      <w:r w:rsidR="0070430D" w:rsidRPr="00D9600A">
        <w:t xml:space="preserve"> O</w:t>
      </w:r>
      <w:r w:rsidRPr="00D9600A">
        <w:t>, Olsen</w:t>
      </w:r>
      <w:r w:rsidR="00B77FEE" w:rsidRPr="00D9600A">
        <w:t xml:space="preserve"> L, </w:t>
      </w:r>
      <w:proofErr w:type="spellStart"/>
      <w:r w:rsidRPr="00D9600A">
        <w:t>Blikra</w:t>
      </w:r>
      <w:proofErr w:type="spellEnd"/>
      <w:r w:rsidR="00B77FEE" w:rsidRPr="00D9600A">
        <w:t xml:space="preserve"> LH</w:t>
      </w:r>
      <w:r w:rsidRPr="00D9600A">
        <w:t xml:space="preserve"> (2000)</w:t>
      </w:r>
      <w:r w:rsidR="002456A5" w:rsidRPr="00D9600A">
        <w:t xml:space="preserve"> </w:t>
      </w:r>
      <w:proofErr w:type="spellStart"/>
      <w:r w:rsidRPr="00D9600A">
        <w:t>Neotectonic</w:t>
      </w:r>
      <w:proofErr w:type="spellEnd"/>
      <w:r w:rsidRPr="00D9600A">
        <w:t xml:space="preserve"> faulting in northern Norway; the </w:t>
      </w:r>
      <w:proofErr w:type="spellStart"/>
      <w:r w:rsidRPr="00D9600A">
        <w:t>Stuoragurra</w:t>
      </w:r>
      <w:proofErr w:type="spellEnd"/>
      <w:r w:rsidRPr="00D9600A">
        <w:t xml:space="preserve"> and </w:t>
      </w:r>
      <w:proofErr w:type="spellStart"/>
      <w:r w:rsidRPr="00D9600A">
        <w:t>Normannvikdalen</w:t>
      </w:r>
      <w:proofErr w:type="spellEnd"/>
      <w:r w:rsidRPr="00D9600A">
        <w:t xml:space="preserve"> postglacial faults. </w:t>
      </w:r>
      <w:r w:rsidR="0045762A" w:rsidRPr="00D9600A">
        <w:t>Quaternary Science Reviews 19:1447-1460</w:t>
      </w:r>
      <w:r w:rsidRPr="00D9600A">
        <w:t>.</w:t>
      </w:r>
      <w:r w:rsidR="00F74C6D" w:rsidRPr="00D9600A">
        <w:t xml:space="preserve"> </w:t>
      </w:r>
      <w:hyperlink r:id="rId43" w:history="1">
        <w:r w:rsidR="004F4506" w:rsidRPr="00D9600A">
          <w:rPr>
            <w:rStyle w:val="Hyperlink"/>
          </w:rPr>
          <w:t>https://doi.org/10.1016/S0277-3791(00)00073-1</w:t>
        </w:r>
      </w:hyperlink>
    </w:p>
    <w:p w14:paraId="2B97222B" w14:textId="7A917832" w:rsidR="0069787B" w:rsidRPr="00D9600A" w:rsidRDefault="0069787B" w:rsidP="00DD4437">
      <w:pPr>
        <w:pStyle w:val="References"/>
        <w:jc w:val="both"/>
      </w:pPr>
      <w:r w:rsidRPr="00D9600A">
        <w:t>Eldholm</w:t>
      </w:r>
      <w:r w:rsidR="00BD21BF" w:rsidRPr="00D9600A">
        <w:t xml:space="preserve"> </w:t>
      </w:r>
      <w:r w:rsidRPr="00D9600A">
        <w:t>O</w:t>
      </w:r>
      <w:r w:rsidR="00A62878" w:rsidRPr="00D9600A">
        <w:t>.</w:t>
      </w:r>
      <w:r w:rsidR="00BD21BF" w:rsidRPr="00D9600A">
        <w:t xml:space="preserve">, </w:t>
      </w:r>
      <w:r w:rsidRPr="00D9600A">
        <w:t>Bungum</w:t>
      </w:r>
      <w:r w:rsidR="00BD21BF" w:rsidRPr="00D9600A">
        <w:t xml:space="preserve"> H</w:t>
      </w:r>
      <w:r w:rsidR="00A62878" w:rsidRPr="00D9600A">
        <w:t>.</w:t>
      </w:r>
      <w:r w:rsidRPr="00D9600A">
        <w:t xml:space="preserve"> (2021)</w:t>
      </w:r>
      <w:r w:rsidR="00BD21BF" w:rsidRPr="00D9600A">
        <w:t xml:space="preserve"> </w:t>
      </w:r>
      <w:r w:rsidRPr="00D9600A">
        <w:t>Potential secondary events caused by early Holocene paleoearthquakes in Fennoscandia – a climate-related review.</w:t>
      </w:r>
      <w:r w:rsidR="00F96D62" w:rsidRPr="00D9600A">
        <w:t xml:space="preserve"> </w:t>
      </w:r>
      <w:r w:rsidR="00B67F60" w:rsidRPr="00D9600A">
        <w:t>Norwegian Journal of Geology</w:t>
      </w:r>
      <w:r w:rsidR="00F96D62" w:rsidRPr="00D9600A">
        <w:t xml:space="preserve"> 101:1-42. </w:t>
      </w:r>
      <w:hyperlink r:id="rId44" w:history="1">
        <w:r w:rsidR="006E5562" w:rsidRPr="00D9600A">
          <w:rPr>
            <w:rStyle w:val="Hyperlink"/>
          </w:rPr>
          <w:t>https://dx.doi.org/10.17850/njg101-2-3</w:t>
        </w:r>
      </w:hyperlink>
    </w:p>
    <w:p w14:paraId="6006A7C8" w14:textId="27399D86" w:rsidR="0069787B" w:rsidRPr="00D9600A" w:rsidRDefault="0069787B" w:rsidP="00DD4437">
      <w:pPr>
        <w:pStyle w:val="References"/>
        <w:jc w:val="both"/>
      </w:pPr>
      <w:r w:rsidRPr="00D9600A">
        <w:t>Fejerskov M</w:t>
      </w:r>
      <w:r w:rsidR="00A62878" w:rsidRPr="00D9600A">
        <w:t>.</w:t>
      </w:r>
      <w:r w:rsidR="00F96D62" w:rsidRPr="00D9600A">
        <w:t xml:space="preserve">, </w:t>
      </w:r>
      <w:r w:rsidRPr="00D9600A">
        <w:t xml:space="preserve">Lindholm </w:t>
      </w:r>
      <w:r w:rsidR="00F96D62" w:rsidRPr="00D9600A">
        <w:t>C</w:t>
      </w:r>
      <w:r w:rsidR="00A62878" w:rsidRPr="00D9600A">
        <w:t>.</w:t>
      </w:r>
      <w:r w:rsidR="00F96D62" w:rsidRPr="00D9600A">
        <w:t xml:space="preserve"> </w:t>
      </w:r>
      <w:r w:rsidRPr="00D9600A">
        <w:t>(2000)</w:t>
      </w:r>
      <w:r w:rsidR="00F96D62" w:rsidRPr="00D9600A">
        <w:t xml:space="preserve"> </w:t>
      </w:r>
      <w:r w:rsidRPr="00D9600A">
        <w:t>Crustal stress in and around Norway: an evaluation of stress-generating mechanisms. In</w:t>
      </w:r>
      <w:r w:rsidR="00452EC6" w:rsidRPr="00D9600A">
        <w:t>:</w:t>
      </w:r>
      <w:r w:rsidRPr="00D9600A">
        <w:t xml:space="preserve"> </w:t>
      </w:r>
      <w:proofErr w:type="spellStart"/>
      <w:r w:rsidRPr="00D9600A">
        <w:t>Nøttvedt</w:t>
      </w:r>
      <w:proofErr w:type="spellEnd"/>
      <w:r w:rsidRPr="00D9600A">
        <w:t xml:space="preserve"> </w:t>
      </w:r>
      <w:r w:rsidR="00B27D09" w:rsidRPr="00D9600A">
        <w:t xml:space="preserve">A </w:t>
      </w:r>
      <w:r w:rsidRPr="00D9600A">
        <w:t>(ed) Dynamics of the Norwegian Margin. Geological Society, London, Special Publications</w:t>
      </w:r>
      <w:r w:rsidR="00940692" w:rsidRPr="00D9600A">
        <w:t xml:space="preserve"> </w:t>
      </w:r>
      <w:r w:rsidRPr="00D9600A">
        <w:t>167</w:t>
      </w:r>
      <w:r w:rsidR="0068437D" w:rsidRPr="00D9600A">
        <w:t xml:space="preserve">: </w:t>
      </w:r>
      <w:r w:rsidRPr="00D9600A">
        <w:t>451-467.</w:t>
      </w:r>
      <w:r w:rsidR="00EE6873" w:rsidRPr="00D9600A">
        <w:t xml:space="preserve"> </w:t>
      </w:r>
      <w:hyperlink r:id="rId45" w:history="1">
        <w:r w:rsidR="006E5562" w:rsidRPr="00D9600A">
          <w:rPr>
            <w:rStyle w:val="Hyperlink"/>
          </w:rPr>
          <w:t>https://doi.org/10.1144/gsl.sp.2000.167.01.19</w:t>
        </w:r>
      </w:hyperlink>
    </w:p>
    <w:p w14:paraId="7A5F8D87" w14:textId="5A7C87D4" w:rsidR="0069787B" w:rsidRPr="00D9600A" w:rsidRDefault="0069787B" w:rsidP="00DD4437">
      <w:pPr>
        <w:pStyle w:val="References"/>
        <w:jc w:val="both"/>
      </w:pPr>
      <w:r w:rsidRPr="00D9600A">
        <w:t>Fjeldskaar W</w:t>
      </w:r>
      <w:r w:rsidR="004D4920" w:rsidRPr="00D9600A">
        <w:t xml:space="preserve">, </w:t>
      </w:r>
      <w:r w:rsidRPr="00D9600A">
        <w:t>Lindholm</w:t>
      </w:r>
      <w:r w:rsidR="004D4920" w:rsidRPr="00D9600A">
        <w:t xml:space="preserve"> C, </w:t>
      </w:r>
      <w:proofErr w:type="spellStart"/>
      <w:r w:rsidRPr="00D9600A">
        <w:t>Dehls</w:t>
      </w:r>
      <w:proofErr w:type="spellEnd"/>
      <w:r w:rsidR="004D4920" w:rsidRPr="00D9600A">
        <w:t xml:space="preserve"> JF, </w:t>
      </w:r>
      <w:proofErr w:type="spellStart"/>
      <w:r w:rsidRPr="00D9600A">
        <w:t>Fjeldskaar</w:t>
      </w:r>
      <w:proofErr w:type="spellEnd"/>
      <w:r w:rsidRPr="00D9600A">
        <w:t xml:space="preserve"> </w:t>
      </w:r>
      <w:r w:rsidR="004D4920" w:rsidRPr="00D9600A">
        <w:t xml:space="preserve">I </w:t>
      </w:r>
      <w:r w:rsidRPr="00D9600A">
        <w:t>(2000)</w:t>
      </w:r>
      <w:r w:rsidR="00B465EE" w:rsidRPr="00D9600A">
        <w:t xml:space="preserve"> </w:t>
      </w:r>
      <w:r w:rsidRPr="00D9600A">
        <w:t>Postglacial uplift, neotectonics and seismicity in Fennoscandia. Quaternary Science Reviews 19</w:t>
      </w:r>
      <w:r w:rsidR="00B465EE" w:rsidRPr="00D9600A">
        <w:t>:</w:t>
      </w:r>
      <w:r w:rsidRPr="00D9600A">
        <w:t>1413</w:t>
      </w:r>
      <w:r w:rsidR="00B465EE" w:rsidRPr="00D9600A">
        <w:t>-</w:t>
      </w:r>
      <w:r w:rsidRPr="00D9600A">
        <w:t>1422</w:t>
      </w:r>
      <w:r w:rsidR="00B05656" w:rsidRPr="00D9600A">
        <w:t xml:space="preserve">. </w:t>
      </w:r>
      <w:hyperlink r:id="rId46" w:history="1">
        <w:r w:rsidR="00D53471" w:rsidRPr="00D9600A">
          <w:rPr>
            <w:rStyle w:val="Hyperlink"/>
          </w:rPr>
          <w:t>https://doi.org/10.1016/S0277-3791(00)00070-6</w:t>
        </w:r>
      </w:hyperlink>
    </w:p>
    <w:p w14:paraId="3EC56722" w14:textId="10264448" w:rsidR="0069787B" w:rsidRPr="00D9600A" w:rsidRDefault="0069787B" w:rsidP="00DD4437">
      <w:pPr>
        <w:pStyle w:val="References"/>
        <w:jc w:val="both"/>
      </w:pPr>
      <w:r w:rsidRPr="00D9600A">
        <w:t>Fossen</w:t>
      </w:r>
      <w:r w:rsidR="003F11DD" w:rsidRPr="00D9600A">
        <w:t xml:space="preserve"> </w:t>
      </w:r>
      <w:r w:rsidRPr="00D9600A">
        <w:t>H</w:t>
      </w:r>
      <w:r w:rsidR="005A767B" w:rsidRPr="00D9600A">
        <w:t>.</w:t>
      </w:r>
      <w:r w:rsidR="003F11DD" w:rsidRPr="00D9600A">
        <w:t xml:space="preserve">, </w:t>
      </w:r>
      <w:proofErr w:type="spellStart"/>
      <w:r w:rsidRPr="00D9600A">
        <w:t>Hurich</w:t>
      </w:r>
      <w:proofErr w:type="spellEnd"/>
      <w:r w:rsidR="003F11DD" w:rsidRPr="00D9600A">
        <w:t xml:space="preserve"> </w:t>
      </w:r>
      <w:r w:rsidRPr="00D9600A">
        <w:t>C</w:t>
      </w:r>
      <w:r w:rsidR="005A767B" w:rsidRPr="00D9600A">
        <w:t>.</w:t>
      </w:r>
      <w:r w:rsidRPr="00D9600A">
        <w:t>A</w:t>
      </w:r>
      <w:r w:rsidR="005A767B" w:rsidRPr="00D9600A">
        <w:t>.</w:t>
      </w:r>
      <w:r w:rsidRPr="00D9600A">
        <w:t xml:space="preserve"> (2005)</w:t>
      </w:r>
      <w:r w:rsidR="003F11DD" w:rsidRPr="00D9600A">
        <w:t xml:space="preserve"> </w:t>
      </w:r>
      <w:r w:rsidRPr="00D9600A">
        <w:t>The Hardangerfjord Shear Zone in SW Norway and the North Sea: a large-scale low-angle shear zone in the Caledonian crust. Journal of the Geological Society</w:t>
      </w:r>
      <w:r w:rsidR="003F11DD" w:rsidRPr="00D9600A">
        <w:t xml:space="preserve"> </w:t>
      </w:r>
      <w:r w:rsidRPr="00D9600A">
        <w:t>162</w:t>
      </w:r>
      <w:r w:rsidR="003F11DD" w:rsidRPr="00D9600A">
        <w:t>:</w:t>
      </w:r>
      <w:r w:rsidRPr="00D9600A">
        <w:t>675-687.</w:t>
      </w:r>
      <w:r w:rsidR="00533C85" w:rsidRPr="00D9600A">
        <w:t xml:space="preserve"> </w:t>
      </w:r>
      <w:hyperlink r:id="rId47" w:history="1">
        <w:r w:rsidR="00533C85" w:rsidRPr="00D9600A">
          <w:rPr>
            <w:rStyle w:val="Hyperlink"/>
          </w:rPr>
          <w:t>https://doi.org/10.1144/0016-764904-136</w:t>
        </w:r>
      </w:hyperlink>
    </w:p>
    <w:p w14:paraId="4C24B785" w14:textId="0FCF29D7" w:rsidR="008C4E83" w:rsidRPr="00D9600A" w:rsidRDefault="0069787B" w:rsidP="00535EC9">
      <w:pPr>
        <w:pStyle w:val="References"/>
        <w:jc w:val="both"/>
      </w:pPr>
      <w:r w:rsidRPr="00D9600A">
        <w:t>Fossen H</w:t>
      </w:r>
      <w:r w:rsidR="00CD6055" w:rsidRPr="00D9600A">
        <w:t xml:space="preserve">, </w:t>
      </w:r>
      <w:proofErr w:type="spellStart"/>
      <w:r w:rsidRPr="00D9600A">
        <w:t>Rykkelid</w:t>
      </w:r>
      <w:proofErr w:type="spellEnd"/>
      <w:r w:rsidRPr="00D9600A">
        <w:t xml:space="preserve"> </w:t>
      </w:r>
      <w:r w:rsidR="00CD6055" w:rsidRPr="00D9600A">
        <w:t xml:space="preserve">E </w:t>
      </w:r>
      <w:r w:rsidRPr="00D9600A">
        <w:t>(1990)</w:t>
      </w:r>
      <w:r w:rsidR="00CD6055" w:rsidRPr="00D9600A">
        <w:t xml:space="preserve"> </w:t>
      </w:r>
      <w:r w:rsidRPr="00D9600A">
        <w:t>Shear zone structures in the Øygarden area, West Norway. Tectonophysics</w:t>
      </w:r>
      <w:r w:rsidR="00CD6055" w:rsidRPr="00D9600A">
        <w:t xml:space="preserve"> 1</w:t>
      </w:r>
      <w:r w:rsidRPr="00D9600A">
        <w:t>74</w:t>
      </w:r>
      <w:r w:rsidR="00CD6055" w:rsidRPr="00D9600A">
        <w:t>:</w:t>
      </w:r>
      <w:r w:rsidRPr="00D9600A">
        <w:t xml:space="preserve">385-397. </w:t>
      </w:r>
      <w:hyperlink r:id="rId48" w:history="1">
        <w:r w:rsidR="00535EC9" w:rsidRPr="00D9600A">
          <w:rPr>
            <w:rStyle w:val="Hyperlink"/>
          </w:rPr>
          <w:t>https://doi.org/10.1016/0040-1951(90)90333-4</w:t>
        </w:r>
      </w:hyperlink>
    </w:p>
    <w:p w14:paraId="559BE558" w14:textId="1DE7C6CF" w:rsidR="0069787B" w:rsidRPr="00D9600A" w:rsidRDefault="00350582" w:rsidP="00F63AD9">
      <w:pPr>
        <w:pStyle w:val="References"/>
        <w:jc w:val="both"/>
      </w:pPr>
      <w:r w:rsidRPr="00D9600A">
        <w:t xml:space="preserve">Gabrielsen RH, Olesen O, Braathen A, Faleide JI, Baranwal VC, Lindholm C (2019) The </w:t>
      </w:r>
      <w:proofErr w:type="spellStart"/>
      <w:r w:rsidRPr="00D9600A">
        <w:t>Listafjord</w:t>
      </w:r>
      <w:proofErr w:type="spellEnd"/>
      <w:r w:rsidRPr="00D9600A">
        <w:t xml:space="preserve">-Drangedal Fault Complex, southern Norway. A structural analysis based on remote sensing and potential field data. </w:t>
      </w:r>
      <w:proofErr w:type="spellStart"/>
      <w:r w:rsidRPr="00D9600A">
        <w:t>Geologiska</w:t>
      </w:r>
      <w:proofErr w:type="spellEnd"/>
      <w:r w:rsidRPr="00D9600A">
        <w:t xml:space="preserve"> </w:t>
      </w:r>
      <w:proofErr w:type="spellStart"/>
      <w:r w:rsidRPr="00D9600A">
        <w:t>Föreningen</w:t>
      </w:r>
      <w:proofErr w:type="spellEnd"/>
      <w:r w:rsidRPr="00D9600A">
        <w:t xml:space="preserve"> </w:t>
      </w:r>
      <w:proofErr w:type="spellStart"/>
      <w:r w:rsidRPr="00D9600A">
        <w:t>i</w:t>
      </w:r>
      <w:proofErr w:type="spellEnd"/>
      <w:r w:rsidRPr="00D9600A">
        <w:t xml:space="preserve"> Stockholm </w:t>
      </w:r>
      <w:proofErr w:type="spellStart"/>
      <w:r w:rsidRPr="00D9600A">
        <w:t>Förhandlingar</w:t>
      </w:r>
      <w:proofErr w:type="spellEnd"/>
      <w:r w:rsidRPr="00D9600A">
        <w:t xml:space="preserve"> 141(1):1-16.</w:t>
      </w:r>
      <w:r w:rsidR="00533C85" w:rsidRPr="00D9600A">
        <w:t xml:space="preserve"> </w:t>
      </w:r>
      <w:hyperlink r:id="rId49" w:history="1">
        <w:r w:rsidR="00533C85" w:rsidRPr="00D9600A">
          <w:rPr>
            <w:rStyle w:val="Hyperlink"/>
          </w:rPr>
          <w:t>https://doi.org/10.1080/11035897.2019.1624978</w:t>
        </w:r>
      </w:hyperlink>
      <w:r w:rsidR="0069787B" w:rsidRPr="00D9600A">
        <w:t>Gabrielsen</w:t>
      </w:r>
      <w:r w:rsidR="00535EC9" w:rsidRPr="00D9600A">
        <w:t xml:space="preserve"> </w:t>
      </w:r>
      <w:r w:rsidR="0069787B" w:rsidRPr="00D9600A" w:rsidDel="00535EC9">
        <w:t>R</w:t>
      </w:r>
      <w:r w:rsidR="00EE0AF6" w:rsidRPr="00D9600A">
        <w:t>H</w:t>
      </w:r>
      <w:r w:rsidR="0069787B" w:rsidRPr="00D9600A">
        <w:t>, Braathen</w:t>
      </w:r>
      <w:r w:rsidR="00535EC9" w:rsidRPr="00D9600A">
        <w:t xml:space="preserve"> </w:t>
      </w:r>
      <w:r w:rsidR="000233D3" w:rsidRPr="00D9600A">
        <w:t>A</w:t>
      </w:r>
      <w:r w:rsidR="0069787B" w:rsidRPr="00D9600A">
        <w:t xml:space="preserve">, </w:t>
      </w:r>
      <w:proofErr w:type="spellStart"/>
      <w:r w:rsidR="0069787B" w:rsidRPr="00D9600A">
        <w:t>Dehls</w:t>
      </w:r>
      <w:proofErr w:type="spellEnd"/>
      <w:r w:rsidR="00E467C1" w:rsidRPr="00D9600A">
        <w:t xml:space="preserve"> </w:t>
      </w:r>
      <w:r w:rsidR="0069787B" w:rsidRPr="00D9600A">
        <w:t>J</w:t>
      </w:r>
      <w:r w:rsidR="00F34323" w:rsidRPr="00D9600A">
        <w:t xml:space="preserve">, </w:t>
      </w:r>
      <w:r w:rsidR="0069787B" w:rsidRPr="00D9600A">
        <w:t>Roberts</w:t>
      </w:r>
      <w:r w:rsidR="00F34323" w:rsidRPr="00D9600A">
        <w:t xml:space="preserve"> </w:t>
      </w:r>
      <w:r w:rsidR="0069787B" w:rsidRPr="00D9600A">
        <w:t>D</w:t>
      </w:r>
      <w:r w:rsidR="00F34323" w:rsidRPr="00D9600A">
        <w:t xml:space="preserve"> (2002) </w:t>
      </w:r>
      <w:r w:rsidR="0069787B" w:rsidRPr="00D9600A">
        <w:t xml:space="preserve">Tectonic lineaments of Norway. </w:t>
      </w:r>
      <w:r w:rsidR="003A72A0" w:rsidRPr="00D9600A">
        <w:t>Norwegian</w:t>
      </w:r>
      <w:r w:rsidR="003E2405" w:rsidRPr="00D9600A">
        <w:t xml:space="preserve"> Journal Geology</w:t>
      </w:r>
      <w:r w:rsidR="00116DD8" w:rsidRPr="00D9600A">
        <w:t xml:space="preserve"> </w:t>
      </w:r>
      <w:r w:rsidR="0069787B" w:rsidRPr="00D9600A">
        <w:t>82</w:t>
      </w:r>
      <w:r w:rsidR="00116DD8" w:rsidRPr="00D9600A">
        <w:t>:</w:t>
      </w:r>
      <w:r w:rsidR="0069787B" w:rsidRPr="00D9600A">
        <w:t>153-17 4.</w:t>
      </w:r>
    </w:p>
    <w:p w14:paraId="58BA55A2" w14:textId="7EF26B70" w:rsidR="0069787B" w:rsidRPr="00D9600A" w:rsidRDefault="0069787B" w:rsidP="00F63AD9">
      <w:pPr>
        <w:pStyle w:val="References"/>
        <w:jc w:val="both"/>
      </w:pPr>
      <w:r w:rsidRPr="00D9600A">
        <w:t>Gradmann</w:t>
      </w:r>
      <w:r w:rsidR="001B369A" w:rsidRPr="00D9600A">
        <w:t xml:space="preserve"> </w:t>
      </w:r>
      <w:r w:rsidRPr="00D9600A">
        <w:t>S, Olesen</w:t>
      </w:r>
      <w:r w:rsidR="001B369A" w:rsidRPr="00D9600A">
        <w:t xml:space="preserve"> </w:t>
      </w:r>
      <w:r w:rsidRPr="00D9600A">
        <w:t>O, Keiding</w:t>
      </w:r>
      <w:r w:rsidR="001B369A" w:rsidRPr="00D9600A">
        <w:t xml:space="preserve"> </w:t>
      </w:r>
      <w:r w:rsidRPr="00D9600A">
        <w:t>M</w:t>
      </w:r>
      <w:r w:rsidR="001B369A" w:rsidRPr="00D9600A">
        <w:t xml:space="preserve">, </w:t>
      </w:r>
      <w:r w:rsidRPr="00D9600A">
        <w:t>Maystrenko</w:t>
      </w:r>
      <w:r w:rsidR="001B369A" w:rsidRPr="00D9600A">
        <w:t xml:space="preserve"> </w:t>
      </w:r>
      <w:r w:rsidRPr="00D9600A">
        <w:t>Y</w:t>
      </w:r>
      <w:r w:rsidR="001B369A" w:rsidRPr="00D9600A">
        <w:t xml:space="preserve"> </w:t>
      </w:r>
      <w:r w:rsidRPr="00D9600A">
        <w:t>(2018)</w:t>
      </w:r>
      <w:r w:rsidR="005102B7" w:rsidRPr="00D9600A">
        <w:t xml:space="preserve"> </w:t>
      </w:r>
      <w:r w:rsidRPr="00D9600A">
        <w:t>The regional 3D stress field of Nordland, northern Norway – insights from numerical modelling. In</w:t>
      </w:r>
      <w:r w:rsidR="001B369A" w:rsidRPr="00D9600A">
        <w:t>:</w:t>
      </w:r>
      <w:r w:rsidRPr="00D9600A">
        <w:t xml:space="preserve"> Olesen et al. (</w:t>
      </w:r>
      <w:r w:rsidR="00FC7C91" w:rsidRPr="00D9600A">
        <w:t>ed</w:t>
      </w:r>
      <w:r w:rsidRPr="00D9600A">
        <w:t xml:space="preserve">) Neotectonics in Nordland – Implications for petroleum exploration (NEONOR2), </w:t>
      </w:r>
      <w:r w:rsidR="00D90AD6" w:rsidRPr="00D9600A">
        <w:t xml:space="preserve">Report 2018.010, </w:t>
      </w:r>
      <w:proofErr w:type="spellStart"/>
      <w:r w:rsidR="00E72D5D" w:rsidRPr="00D9600A">
        <w:t>Norge</w:t>
      </w:r>
      <w:r w:rsidR="00A46424" w:rsidRPr="00D9600A">
        <w:t>s</w:t>
      </w:r>
      <w:proofErr w:type="spellEnd"/>
      <w:r w:rsidR="00A46424" w:rsidRPr="00D9600A">
        <w:t xml:space="preserve"> </w:t>
      </w:r>
      <w:proofErr w:type="spellStart"/>
      <w:r w:rsidR="00A46424" w:rsidRPr="00D9600A">
        <w:t>Geologiske</w:t>
      </w:r>
      <w:proofErr w:type="spellEnd"/>
      <w:r w:rsidR="00A46424" w:rsidRPr="00D9600A">
        <w:t xml:space="preserve"> </w:t>
      </w:r>
      <w:proofErr w:type="spellStart"/>
      <w:r w:rsidR="00A46424" w:rsidRPr="00D9600A">
        <w:t>Undersøkelse</w:t>
      </w:r>
      <w:proofErr w:type="spellEnd"/>
      <w:r w:rsidRPr="00D9600A">
        <w:t xml:space="preserve">, </w:t>
      </w:r>
      <w:r w:rsidR="00B86255" w:rsidRPr="00D9600A">
        <w:t xml:space="preserve">pp </w:t>
      </w:r>
      <w:r w:rsidRPr="00D9600A">
        <w:t>215–240.</w:t>
      </w:r>
    </w:p>
    <w:p w14:paraId="7F73FA92" w14:textId="2D84ED55" w:rsidR="0069787B" w:rsidRPr="00D9600A" w:rsidRDefault="0069787B" w:rsidP="00DD4437">
      <w:pPr>
        <w:pStyle w:val="References"/>
        <w:jc w:val="both"/>
      </w:pPr>
      <w:r w:rsidRPr="00D9600A">
        <w:t>Gradmann S, Olesen</w:t>
      </w:r>
      <w:r w:rsidR="003A328C" w:rsidRPr="00D9600A">
        <w:t xml:space="preserve"> O</w:t>
      </w:r>
      <w:r w:rsidRPr="00D9600A">
        <w:t xml:space="preserve">, Keiding </w:t>
      </w:r>
      <w:r w:rsidR="003A328C" w:rsidRPr="00D9600A">
        <w:t xml:space="preserve">M, </w:t>
      </w:r>
      <w:r w:rsidRPr="00D9600A">
        <w:t xml:space="preserve">Maystrenko </w:t>
      </w:r>
      <w:r w:rsidR="003A328C" w:rsidRPr="00D9600A">
        <w:t xml:space="preserve">Y </w:t>
      </w:r>
      <w:r w:rsidRPr="00D9600A">
        <w:t>(2024)</w:t>
      </w:r>
      <w:r w:rsidR="003A328C" w:rsidRPr="00D9600A">
        <w:t xml:space="preserve"> </w:t>
      </w:r>
      <w:r w:rsidRPr="00D9600A">
        <w:t>The 3D stress field of Nordland, northern Norway - insights from numerical modelling. Geological Society, London, Special Publications</w:t>
      </w:r>
      <w:r w:rsidR="00940692" w:rsidRPr="00D9600A">
        <w:t xml:space="preserve"> </w:t>
      </w:r>
      <w:r w:rsidRPr="00D9600A">
        <w:t>546</w:t>
      </w:r>
      <w:r w:rsidR="00662CC2" w:rsidRPr="00D9600A">
        <w:t>:</w:t>
      </w:r>
      <w:r w:rsidR="006D4700" w:rsidRPr="00D9600A">
        <w:t>215-238</w:t>
      </w:r>
      <w:r w:rsidRPr="00D9600A">
        <w:t xml:space="preserve">. </w:t>
      </w:r>
      <w:hyperlink r:id="rId50" w:history="1">
        <w:r w:rsidR="00C72EBF" w:rsidRPr="00D9600A">
          <w:rPr>
            <w:rStyle w:val="Hyperlink"/>
          </w:rPr>
          <w:t>https://doi.org/10.1144/SP546-2023-163</w:t>
        </w:r>
      </w:hyperlink>
    </w:p>
    <w:p w14:paraId="1F60A143" w14:textId="1D7F4F3D" w:rsidR="0069787B" w:rsidRPr="00D9600A" w:rsidRDefault="0069787B" w:rsidP="00DD4437">
      <w:pPr>
        <w:pStyle w:val="References"/>
        <w:jc w:val="both"/>
      </w:pPr>
      <w:r w:rsidRPr="00D9600A">
        <w:lastRenderedPageBreak/>
        <w:t>Gregersen S, Lindholm</w:t>
      </w:r>
      <w:r w:rsidR="00F361F1" w:rsidRPr="00D9600A">
        <w:t xml:space="preserve"> C</w:t>
      </w:r>
      <w:r w:rsidRPr="00D9600A">
        <w:t xml:space="preserve">, </w:t>
      </w:r>
      <w:proofErr w:type="spellStart"/>
      <w:r w:rsidRPr="00D9600A">
        <w:t>Korja</w:t>
      </w:r>
      <w:proofErr w:type="spellEnd"/>
      <w:r w:rsidR="00A63EB0" w:rsidRPr="00D9600A">
        <w:t xml:space="preserve"> A</w:t>
      </w:r>
      <w:r w:rsidRPr="00D9600A">
        <w:t>, Lund</w:t>
      </w:r>
      <w:r w:rsidR="00A63EB0" w:rsidRPr="00D9600A">
        <w:t xml:space="preserve"> B</w:t>
      </w:r>
      <w:r w:rsidRPr="00D9600A">
        <w:t>,</w:t>
      </w:r>
      <w:r w:rsidR="00A63EB0" w:rsidRPr="00D9600A">
        <w:t xml:space="preserve"> </w:t>
      </w:r>
      <w:r w:rsidRPr="00D9600A">
        <w:t>Uski</w:t>
      </w:r>
      <w:r w:rsidR="00A63EB0" w:rsidRPr="00D9600A">
        <w:t xml:space="preserve"> M</w:t>
      </w:r>
      <w:r w:rsidRPr="00D9600A">
        <w:t>, Oinonen</w:t>
      </w:r>
      <w:r w:rsidR="00A63EB0" w:rsidRPr="00D9600A">
        <w:t xml:space="preserve"> K</w:t>
      </w:r>
      <w:r w:rsidRPr="00D9600A">
        <w:t>, Voss</w:t>
      </w:r>
      <w:r w:rsidR="00A63EB0" w:rsidRPr="00D9600A">
        <w:t xml:space="preserve"> PH</w:t>
      </w:r>
      <w:r w:rsidRPr="00D9600A">
        <w:t>,</w:t>
      </w:r>
      <w:r w:rsidR="00A63EB0" w:rsidRPr="00D9600A">
        <w:t xml:space="preserve"> </w:t>
      </w:r>
      <w:r w:rsidRPr="00D9600A">
        <w:t xml:space="preserve">Keiding </w:t>
      </w:r>
      <w:r w:rsidR="00A63EB0" w:rsidRPr="00D9600A">
        <w:t xml:space="preserve">M </w:t>
      </w:r>
      <w:r w:rsidRPr="00D9600A">
        <w:t>(2021) Seismicity and Sources of Stress in Fennoscandia. In</w:t>
      </w:r>
      <w:r w:rsidR="004B7126" w:rsidRPr="00D9600A">
        <w:t>: Steffen H, Olesen O</w:t>
      </w:r>
      <w:r w:rsidR="00542861" w:rsidRPr="00D9600A">
        <w:t xml:space="preserve">, Sutinen R </w:t>
      </w:r>
      <w:r w:rsidR="004B7126" w:rsidRPr="00D9600A">
        <w:t>(ed)</w:t>
      </w:r>
      <w:r w:rsidR="001D7D0A" w:rsidRPr="00D9600A">
        <w:t xml:space="preserve"> </w:t>
      </w:r>
      <w:r w:rsidRPr="00D9600A">
        <w:t>Glacially-Triggered Faulting</w:t>
      </w:r>
      <w:r w:rsidR="006A7DC1" w:rsidRPr="00D9600A">
        <w:t xml:space="preserve">, </w:t>
      </w:r>
      <w:r w:rsidRPr="00D9600A">
        <w:t>Cambridge University Press</w:t>
      </w:r>
      <w:r w:rsidR="00ED2528" w:rsidRPr="00D9600A">
        <w:t xml:space="preserve">, pp </w:t>
      </w:r>
      <w:r w:rsidR="00884478" w:rsidRPr="00D9600A">
        <w:t>177-</w:t>
      </w:r>
      <w:r w:rsidR="005C5826" w:rsidRPr="00D9600A">
        <w:t>197</w:t>
      </w:r>
      <w:r w:rsidRPr="00D9600A">
        <w:t>.</w:t>
      </w:r>
      <w:r w:rsidR="00AC4DB5" w:rsidRPr="00D9600A">
        <w:t xml:space="preserve"> </w:t>
      </w:r>
      <w:hyperlink r:id="rId51" w:history="1">
        <w:r w:rsidR="00C72EBF" w:rsidRPr="00D9600A">
          <w:rPr>
            <w:rStyle w:val="Hyperlink"/>
          </w:rPr>
          <w:t>https://doi.org/10.1017/9781108779906</w:t>
        </w:r>
      </w:hyperlink>
    </w:p>
    <w:p w14:paraId="5917424F" w14:textId="7329DE18" w:rsidR="0069787B" w:rsidRPr="00D9600A" w:rsidRDefault="0069787B" w:rsidP="00DD4437">
      <w:pPr>
        <w:pStyle w:val="References"/>
        <w:jc w:val="both"/>
      </w:pPr>
      <w:proofErr w:type="spellStart"/>
      <w:r w:rsidRPr="00D9600A">
        <w:t>Gülerce</w:t>
      </w:r>
      <w:proofErr w:type="spellEnd"/>
      <w:r w:rsidRPr="00D9600A">
        <w:t xml:space="preserve"> Z, Abrahamson </w:t>
      </w:r>
      <w:r w:rsidR="005C5826" w:rsidRPr="00D9600A">
        <w:t xml:space="preserve">N </w:t>
      </w:r>
      <w:r w:rsidRPr="00D9600A">
        <w:t>(2011)</w:t>
      </w:r>
      <w:r w:rsidR="005C5826" w:rsidRPr="00D9600A">
        <w:t xml:space="preserve"> </w:t>
      </w:r>
      <w:r w:rsidRPr="00D9600A">
        <w:t>Site‐specific design spectra for vertical ground motions. Earthquake Spectra 27 (4): 1023‐1047.</w:t>
      </w:r>
      <w:r w:rsidR="00FB3445" w:rsidRPr="00D9600A">
        <w:t xml:space="preserve"> </w:t>
      </w:r>
      <w:hyperlink r:id="rId52" w:history="1">
        <w:r w:rsidR="00FB3445" w:rsidRPr="00D9600A">
          <w:rPr>
            <w:rStyle w:val="Hyperlink"/>
          </w:rPr>
          <w:t>https://doi.org/10.1193/1.3651317</w:t>
        </w:r>
      </w:hyperlink>
    </w:p>
    <w:p w14:paraId="6C57A8AA" w14:textId="08FA376B" w:rsidR="0069787B" w:rsidRPr="00D9600A" w:rsidRDefault="0069787B" w:rsidP="00DD4437">
      <w:pPr>
        <w:pStyle w:val="References"/>
        <w:jc w:val="both"/>
      </w:pPr>
      <w:r w:rsidRPr="00D9600A">
        <w:t>Hansen</w:t>
      </w:r>
      <w:r w:rsidR="006C4518" w:rsidRPr="00D9600A">
        <w:t xml:space="preserve"> </w:t>
      </w:r>
      <w:r w:rsidRPr="00D9600A">
        <w:t xml:space="preserve">R, Bungum </w:t>
      </w:r>
      <w:r w:rsidR="006C4518" w:rsidRPr="00D9600A">
        <w:t xml:space="preserve">H, </w:t>
      </w:r>
      <w:r w:rsidRPr="00D9600A">
        <w:t xml:space="preserve">Alsaker </w:t>
      </w:r>
      <w:r w:rsidR="006C4518" w:rsidRPr="00D9600A">
        <w:t xml:space="preserve">A </w:t>
      </w:r>
      <w:r w:rsidRPr="00D9600A">
        <w:t>(1989)</w:t>
      </w:r>
      <w:r w:rsidR="006C4518" w:rsidRPr="00D9600A">
        <w:t xml:space="preserve"> </w:t>
      </w:r>
      <w:r w:rsidRPr="00D9600A">
        <w:t>Three recent larger earthquakes offshore Norway. Terra Nova 1</w:t>
      </w:r>
      <w:r w:rsidR="006C4518" w:rsidRPr="00D9600A">
        <w:t>:</w:t>
      </w:r>
      <w:r w:rsidRPr="00D9600A">
        <w:t>284-295.</w:t>
      </w:r>
      <w:r w:rsidR="00876846" w:rsidRPr="00D9600A">
        <w:t xml:space="preserve"> </w:t>
      </w:r>
      <w:hyperlink r:id="rId53" w:history="1">
        <w:r w:rsidR="00876846" w:rsidRPr="00D9600A">
          <w:rPr>
            <w:rStyle w:val="Hyperlink"/>
          </w:rPr>
          <w:t>https://doi.org/10.1111/j.1365-3121.1989.tb00371.x</w:t>
        </w:r>
      </w:hyperlink>
    </w:p>
    <w:p w14:paraId="79EE6509" w14:textId="056C6D42" w:rsidR="0069787B" w:rsidRPr="00D9600A" w:rsidRDefault="0069787B" w:rsidP="00F63AD9">
      <w:pPr>
        <w:pStyle w:val="References"/>
        <w:jc w:val="both"/>
      </w:pPr>
      <w:r w:rsidRPr="00D9600A">
        <w:t>Harper J F (1989)</w:t>
      </w:r>
      <w:r w:rsidR="002526EB" w:rsidRPr="00D9600A">
        <w:t xml:space="preserve"> </w:t>
      </w:r>
      <w:r w:rsidRPr="00D9600A">
        <w:t xml:space="preserve">Forces driving plate tectonics: The use of simple dynamic models, </w:t>
      </w:r>
      <w:r w:rsidR="002D2C21" w:rsidRPr="00D9600A">
        <w:t xml:space="preserve">Reviews in Aquatic Science </w:t>
      </w:r>
      <w:r w:rsidRPr="00D9600A">
        <w:t>1</w:t>
      </w:r>
      <w:r w:rsidR="002D2C21" w:rsidRPr="00D9600A">
        <w:t>:</w:t>
      </w:r>
      <w:r w:rsidRPr="00D9600A">
        <w:t>319-336.</w:t>
      </w:r>
    </w:p>
    <w:p w14:paraId="49A6FE09" w14:textId="3FEC89A9" w:rsidR="0069787B" w:rsidRPr="00D9600A" w:rsidRDefault="0069787B" w:rsidP="00DD4437">
      <w:pPr>
        <w:pStyle w:val="References"/>
        <w:jc w:val="both"/>
      </w:pPr>
      <w:r w:rsidRPr="00D9600A">
        <w:t>Hicks E, Bungum</w:t>
      </w:r>
      <w:r w:rsidR="009870BB" w:rsidRPr="00D9600A">
        <w:t xml:space="preserve"> H, </w:t>
      </w:r>
      <w:r w:rsidRPr="00D9600A">
        <w:t xml:space="preserve">Lindholm </w:t>
      </w:r>
      <w:r w:rsidR="009870BB" w:rsidRPr="00D9600A">
        <w:t xml:space="preserve">C </w:t>
      </w:r>
      <w:r w:rsidRPr="00D9600A">
        <w:t>(2000)</w:t>
      </w:r>
      <w:r w:rsidR="009870BB" w:rsidRPr="00D9600A">
        <w:t xml:space="preserve"> </w:t>
      </w:r>
      <w:r w:rsidRPr="00D9600A">
        <w:t xml:space="preserve">Stress inversions of earthquake focal mechanism solutions from onshore and offshore Norway. </w:t>
      </w:r>
      <w:r w:rsidR="00AB5CC4" w:rsidRPr="00D9600A">
        <w:t xml:space="preserve">Norsk </w:t>
      </w:r>
      <w:proofErr w:type="spellStart"/>
      <w:r w:rsidR="00AB5CC4" w:rsidRPr="00D9600A">
        <w:t>Geologisk</w:t>
      </w:r>
      <w:proofErr w:type="spellEnd"/>
      <w:r w:rsidR="00AB5CC4" w:rsidRPr="00D9600A">
        <w:t xml:space="preserve"> </w:t>
      </w:r>
      <w:proofErr w:type="spellStart"/>
      <w:r w:rsidR="00AB5CC4" w:rsidRPr="00D9600A">
        <w:t>Tidsskrift</w:t>
      </w:r>
      <w:proofErr w:type="spellEnd"/>
      <w:r w:rsidR="00AB5CC4" w:rsidRPr="00D9600A">
        <w:t xml:space="preserve"> </w:t>
      </w:r>
      <w:r w:rsidRPr="00D9600A">
        <w:t>80</w:t>
      </w:r>
      <w:r w:rsidR="009870BB" w:rsidRPr="00D9600A">
        <w:t>:</w:t>
      </w:r>
      <w:r w:rsidRPr="00D9600A">
        <w:t>235-250.</w:t>
      </w:r>
      <w:r w:rsidR="0032798D" w:rsidRPr="00D9600A">
        <w:t xml:space="preserve"> </w:t>
      </w:r>
      <w:hyperlink r:id="rId54" w:history="1">
        <w:r w:rsidR="0032798D" w:rsidRPr="00D9600A">
          <w:rPr>
            <w:rStyle w:val="Hyperlink"/>
          </w:rPr>
          <w:t>https://doi.org/10.1080/00291960051030545</w:t>
        </w:r>
      </w:hyperlink>
    </w:p>
    <w:p w14:paraId="5318E3E5" w14:textId="3189A9E2" w:rsidR="00554445" w:rsidRPr="00D9600A" w:rsidRDefault="00554445" w:rsidP="00F63AD9">
      <w:pPr>
        <w:pStyle w:val="References"/>
        <w:jc w:val="both"/>
      </w:pPr>
      <w:r w:rsidRPr="00D9600A">
        <w:t>Hicks</w:t>
      </w:r>
      <w:r w:rsidR="003D2528" w:rsidRPr="00D9600A">
        <w:t xml:space="preserve"> </w:t>
      </w:r>
      <w:r w:rsidRPr="00D9600A">
        <w:t>E</w:t>
      </w:r>
      <w:r w:rsidR="003D2528" w:rsidRPr="00D9600A">
        <w:t xml:space="preserve">, </w:t>
      </w:r>
      <w:proofErr w:type="spellStart"/>
      <w:r w:rsidRPr="00D9600A">
        <w:t>Ottemöller</w:t>
      </w:r>
      <w:proofErr w:type="spellEnd"/>
      <w:r w:rsidRPr="00D9600A">
        <w:t xml:space="preserve"> </w:t>
      </w:r>
      <w:r w:rsidR="003D2528" w:rsidRPr="00D9600A">
        <w:t xml:space="preserve">L </w:t>
      </w:r>
      <w:r w:rsidRPr="00D9600A">
        <w:t>(2001)</w:t>
      </w:r>
      <w:r w:rsidR="003D2528" w:rsidRPr="00D9600A">
        <w:t xml:space="preserve"> </w:t>
      </w:r>
      <w:r w:rsidRPr="00D9600A">
        <w:t>The ML 4.5 Stord/</w:t>
      </w:r>
      <w:proofErr w:type="spellStart"/>
      <w:r w:rsidRPr="00D9600A">
        <w:t>Bømlo</w:t>
      </w:r>
      <w:proofErr w:type="spellEnd"/>
      <w:r w:rsidRPr="00D9600A">
        <w:t xml:space="preserve">, southwestern Norway, earthquake of 12 August 2000. </w:t>
      </w:r>
      <w:r w:rsidR="006820BA" w:rsidRPr="00D9600A">
        <w:t xml:space="preserve">Norsk </w:t>
      </w:r>
      <w:proofErr w:type="spellStart"/>
      <w:r w:rsidR="006820BA" w:rsidRPr="00D9600A">
        <w:t>Geologisk</w:t>
      </w:r>
      <w:proofErr w:type="spellEnd"/>
      <w:r w:rsidR="006820BA" w:rsidRPr="00D9600A">
        <w:t xml:space="preserve"> </w:t>
      </w:r>
      <w:proofErr w:type="spellStart"/>
      <w:r w:rsidR="006820BA" w:rsidRPr="00D9600A">
        <w:t>Tidsskrift</w:t>
      </w:r>
      <w:proofErr w:type="spellEnd"/>
      <w:r w:rsidR="006820BA" w:rsidRPr="00D9600A" w:rsidDel="003D2528">
        <w:t xml:space="preserve"> </w:t>
      </w:r>
      <w:r w:rsidRPr="00D9600A">
        <w:t>81</w:t>
      </w:r>
      <w:r w:rsidR="00063DB6" w:rsidRPr="00D9600A">
        <w:t>:</w:t>
      </w:r>
      <w:r w:rsidRPr="00D9600A">
        <w:t>293-304.</w:t>
      </w:r>
    </w:p>
    <w:p w14:paraId="266C6B2C" w14:textId="634BA0AB" w:rsidR="0069787B" w:rsidRPr="00D9600A" w:rsidRDefault="0069787B" w:rsidP="00DD4437">
      <w:pPr>
        <w:pStyle w:val="References"/>
        <w:jc w:val="both"/>
      </w:pPr>
      <w:r w:rsidRPr="00D9600A">
        <w:t>Janutyte</w:t>
      </w:r>
      <w:r w:rsidR="0046031D" w:rsidRPr="00D9600A">
        <w:t xml:space="preserve"> </w:t>
      </w:r>
      <w:r w:rsidRPr="00D9600A">
        <w:t>I</w:t>
      </w:r>
      <w:r w:rsidR="0046031D" w:rsidRPr="00D9600A">
        <w:t xml:space="preserve">, </w:t>
      </w:r>
      <w:r w:rsidRPr="00D9600A">
        <w:t>Lindholm</w:t>
      </w:r>
      <w:r w:rsidR="0046031D" w:rsidRPr="00D9600A">
        <w:t xml:space="preserve"> </w:t>
      </w:r>
      <w:r w:rsidRPr="00D9600A">
        <w:t>C</w:t>
      </w:r>
      <w:r w:rsidR="0046031D" w:rsidRPr="00D9600A">
        <w:t xml:space="preserve"> </w:t>
      </w:r>
      <w:r w:rsidRPr="00D9600A">
        <w:t>(2017)</w:t>
      </w:r>
      <w:r w:rsidR="0046031D" w:rsidRPr="00D9600A">
        <w:t xml:space="preserve"> </w:t>
      </w:r>
      <w:r w:rsidRPr="00D9600A">
        <w:t>Earthquake source mechanisms in onshore and offshore Nordland, northern Norway. Norwegian Journal of Geology 97</w:t>
      </w:r>
      <w:r w:rsidR="00063DB6" w:rsidRPr="00D9600A">
        <w:t>:</w:t>
      </w:r>
      <w:r w:rsidRPr="00D9600A">
        <w:t>177–189</w:t>
      </w:r>
      <w:r w:rsidR="00387311" w:rsidRPr="00D9600A">
        <w:t xml:space="preserve">. </w:t>
      </w:r>
      <w:hyperlink r:id="rId55" w:history="1">
        <w:r w:rsidR="0046031D" w:rsidRPr="00D9600A">
          <w:rPr>
            <w:rStyle w:val="Hyperlink"/>
          </w:rPr>
          <w:t>https://dx.doi.org/10.17850/njg97-3-03</w:t>
        </w:r>
      </w:hyperlink>
    </w:p>
    <w:p w14:paraId="285850E6" w14:textId="2BAAF530" w:rsidR="0069787B" w:rsidRPr="00D9600A" w:rsidRDefault="0069787B" w:rsidP="00F63AD9">
      <w:pPr>
        <w:pStyle w:val="References"/>
        <w:jc w:val="both"/>
      </w:pPr>
      <w:r w:rsidRPr="00D9600A">
        <w:t>Janutyte</w:t>
      </w:r>
      <w:r w:rsidR="00063DB6" w:rsidRPr="00D9600A">
        <w:t xml:space="preserve"> I</w:t>
      </w:r>
      <w:r w:rsidRPr="00D9600A">
        <w:t>, Lindholm C</w:t>
      </w:r>
      <w:r w:rsidR="00063DB6" w:rsidRPr="00D9600A">
        <w:t xml:space="preserve">, </w:t>
      </w:r>
      <w:r w:rsidRPr="00D9600A">
        <w:t>Olesen O</w:t>
      </w:r>
      <w:r w:rsidR="00063DB6" w:rsidRPr="00D9600A">
        <w:t xml:space="preserve"> </w:t>
      </w:r>
      <w:r w:rsidRPr="00D9600A">
        <w:t>(2017)</w:t>
      </w:r>
      <w:r w:rsidR="00063DB6" w:rsidRPr="00D9600A">
        <w:t xml:space="preserve"> </w:t>
      </w:r>
      <w:r w:rsidRPr="00D9600A">
        <w:t>Relation between seismicity and tectonic structures offshore and onshore Nordland, northern Norway.</w:t>
      </w:r>
      <w:r w:rsidR="004D3D88" w:rsidRPr="00D9600A">
        <w:t xml:space="preserve"> </w:t>
      </w:r>
      <w:r w:rsidRPr="00D9600A">
        <w:t>Norwegian Journal of Geology 97</w:t>
      </w:r>
      <w:r w:rsidR="00063DB6" w:rsidRPr="00D9600A">
        <w:t>:</w:t>
      </w:r>
      <w:r w:rsidRPr="00D9600A">
        <w:t xml:space="preserve">161–175, </w:t>
      </w:r>
      <w:hyperlink r:id="rId56" w:history="1">
        <w:r w:rsidR="0060427E" w:rsidRPr="00D9600A">
          <w:rPr>
            <w:rStyle w:val="Hyperlink"/>
          </w:rPr>
          <w:t>https://dx.doi.org/10.17850/njg97-3-02</w:t>
        </w:r>
      </w:hyperlink>
      <w:r w:rsidRPr="00D9600A">
        <w:t>.</w:t>
      </w:r>
    </w:p>
    <w:p w14:paraId="02C4F0C2" w14:textId="43E93CE2" w:rsidR="004D3D88" w:rsidRPr="00D9600A" w:rsidRDefault="0060427E" w:rsidP="00DD4437">
      <w:pPr>
        <w:pStyle w:val="References"/>
        <w:jc w:val="both"/>
      </w:pPr>
      <w:r w:rsidRPr="00D9600A">
        <w:t>Johnston</w:t>
      </w:r>
      <w:r w:rsidR="004D3D88" w:rsidRPr="00D9600A">
        <w:t xml:space="preserve"> </w:t>
      </w:r>
      <w:r w:rsidRPr="00D9600A">
        <w:t>AC</w:t>
      </w:r>
      <w:r w:rsidR="004D3D88" w:rsidRPr="00D9600A">
        <w:t xml:space="preserve">, </w:t>
      </w:r>
      <w:r w:rsidRPr="00D9600A">
        <w:t>Coppersmith</w:t>
      </w:r>
      <w:r w:rsidR="004D3D88" w:rsidRPr="00D9600A">
        <w:t xml:space="preserve"> KJ</w:t>
      </w:r>
      <w:r w:rsidRPr="00D9600A">
        <w:t>, Kanter</w:t>
      </w:r>
      <w:r w:rsidR="004D3D88" w:rsidRPr="00D9600A">
        <w:t xml:space="preserve"> LR,</w:t>
      </w:r>
      <w:r w:rsidRPr="00D9600A">
        <w:t xml:space="preserve"> Cornell </w:t>
      </w:r>
      <w:r w:rsidR="004D3D88" w:rsidRPr="00D9600A">
        <w:t xml:space="preserve">CA </w:t>
      </w:r>
      <w:r w:rsidRPr="00D9600A">
        <w:t>(1994)</w:t>
      </w:r>
      <w:r w:rsidR="004D3D88" w:rsidRPr="00D9600A">
        <w:t xml:space="preserve"> </w:t>
      </w:r>
      <w:r w:rsidRPr="00D9600A">
        <w:t>The earthquakes of stable continental regions</w:t>
      </w:r>
      <w:r w:rsidR="001737FD" w:rsidRPr="00D9600A">
        <w:t xml:space="preserve">. </w:t>
      </w:r>
      <w:r w:rsidRPr="00D9600A">
        <w:t>Electric Power Research Institute (EPRI)</w:t>
      </w:r>
      <w:r w:rsidR="001737FD" w:rsidRPr="00D9600A">
        <w:t xml:space="preserve">. </w:t>
      </w:r>
      <w:hyperlink r:id="rId57" w:history="1">
        <w:r w:rsidR="00CD6C85" w:rsidRPr="00D9600A">
          <w:rPr>
            <w:rStyle w:val="Hyperlink"/>
          </w:rPr>
          <w:t>https://www.epri.com/research/products/TR-102261-V1</w:t>
        </w:r>
      </w:hyperlink>
      <w:r w:rsidRPr="00D9600A">
        <w:t>.</w:t>
      </w:r>
      <w:r w:rsidR="00CD6C85" w:rsidRPr="00D9600A">
        <w:t xml:space="preserve"> Accessed 18 </w:t>
      </w:r>
      <w:r w:rsidR="004120CE" w:rsidRPr="00D9600A">
        <w:t>July</w:t>
      </w:r>
      <w:r w:rsidR="00CD6C85" w:rsidRPr="00D9600A">
        <w:t xml:space="preserve"> 20</w:t>
      </w:r>
      <w:r w:rsidR="004120CE" w:rsidRPr="00D9600A">
        <w:t>24</w:t>
      </w:r>
    </w:p>
    <w:p w14:paraId="1AE1F9CC" w14:textId="72DA112B" w:rsidR="009B4E53" w:rsidRPr="00D9600A" w:rsidRDefault="009B4E53" w:rsidP="00DD4437">
      <w:pPr>
        <w:pStyle w:val="References"/>
        <w:jc w:val="both"/>
      </w:pPr>
      <w:r w:rsidRPr="00D9600A">
        <w:t>Joyner</w:t>
      </w:r>
      <w:r w:rsidR="004120CE" w:rsidRPr="00D9600A">
        <w:t xml:space="preserve"> </w:t>
      </w:r>
      <w:r w:rsidRPr="00D9600A">
        <w:t>WB, Warrick</w:t>
      </w:r>
      <w:r w:rsidR="004120CE" w:rsidRPr="00D9600A">
        <w:t xml:space="preserve"> RE</w:t>
      </w:r>
      <w:r w:rsidRPr="00D9600A">
        <w:t xml:space="preserve">, </w:t>
      </w:r>
      <w:proofErr w:type="spellStart"/>
      <w:r w:rsidRPr="00D9600A">
        <w:t>Fumal</w:t>
      </w:r>
      <w:proofErr w:type="spellEnd"/>
      <w:r w:rsidRPr="00D9600A">
        <w:t xml:space="preserve"> </w:t>
      </w:r>
      <w:r w:rsidR="004120CE" w:rsidRPr="00D9600A">
        <w:t xml:space="preserve">TE </w:t>
      </w:r>
      <w:r w:rsidRPr="00D9600A">
        <w:t>(1981)</w:t>
      </w:r>
      <w:r w:rsidR="004120CE" w:rsidRPr="00D9600A">
        <w:t xml:space="preserve"> </w:t>
      </w:r>
      <w:r w:rsidRPr="00D9600A">
        <w:t>The effect of Quaternary alluvium on strong ground motion in the Coyote Lake, California, earthquake of 1979. Bulletin of the Seismological Society of America. 71(4)</w:t>
      </w:r>
      <w:r w:rsidR="004120CE" w:rsidRPr="00D9600A">
        <w:t>:</w:t>
      </w:r>
      <w:r w:rsidRPr="00D9600A">
        <w:t>1333–1349.</w:t>
      </w:r>
      <w:r w:rsidR="004120CE" w:rsidRPr="00D9600A">
        <w:t xml:space="preserve"> </w:t>
      </w:r>
      <w:hyperlink r:id="rId58" w:history="1">
        <w:r w:rsidR="00235CB5" w:rsidRPr="00D9600A">
          <w:rPr>
            <w:rStyle w:val="Hyperlink"/>
          </w:rPr>
          <w:t>https://doi.org/10.1785/BSSA0710041333</w:t>
        </w:r>
      </w:hyperlink>
    </w:p>
    <w:p w14:paraId="2440F7ED" w14:textId="74FDA734" w:rsidR="0069787B" w:rsidRPr="00D9600A" w:rsidRDefault="0069787B" w:rsidP="00DD4437">
      <w:pPr>
        <w:pStyle w:val="References"/>
        <w:jc w:val="both"/>
      </w:pPr>
      <w:r w:rsidRPr="00D9600A">
        <w:t xml:space="preserve">Keiding M, </w:t>
      </w:r>
      <w:proofErr w:type="spellStart"/>
      <w:r w:rsidRPr="00D9600A">
        <w:t>Kreemer</w:t>
      </w:r>
      <w:proofErr w:type="spellEnd"/>
      <w:r w:rsidR="00235CB5" w:rsidRPr="00D9600A">
        <w:t xml:space="preserve"> C</w:t>
      </w:r>
      <w:r w:rsidRPr="00D9600A">
        <w:t>, Lindholm</w:t>
      </w:r>
      <w:r w:rsidR="00235CB5" w:rsidRPr="00D9600A">
        <w:t xml:space="preserve"> C</w:t>
      </w:r>
      <w:r w:rsidRPr="00D9600A">
        <w:t>, Gradmann</w:t>
      </w:r>
      <w:r w:rsidR="00030F2E" w:rsidRPr="00D9600A">
        <w:t xml:space="preserve"> S</w:t>
      </w:r>
      <w:r w:rsidRPr="00D9600A">
        <w:t xml:space="preserve">, Olesen </w:t>
      </w:r>
      <w:r w:rsidR="00030F2E" w:rsidRPr="00D9600A">
        <w:t xml:space="preserve">O, </w:t>
      </w:r>
      <w:r w:rsidRPr="00D9600A">
        <w:t xml:space="preserve">Kierulf </w:t>
      </w:r>
      <w:r w:rsidR="00030F2E" w:rsidRPr="00D9600A">
        <w:t xml:space="preserve">HP </w:t>
      </w:r>
      <w:r w:rsidRPr="00D9600A">
        <w:t>(2015)</w:t>
      </w:r>
      <w:r w:rsidR="00030F2E" w:rsidRPr="00D9600A">
        <w:t xml:space="preserve"> </w:t>
      </w:r>
      <w:r w:rsidRPr="00D9600A">
        <w:t xml:space="preserve">A comparison of strain rates and seismicity for Fennoscandia: depth dependency of deformation from glacial isostatic adjustment. </w:t>
      </w:r>
      <w:r w:rsidR="004B6B06" w:rsidRPr="00D9600A">
        <w:t xml:space="preserve">Geophysical Journal International </w:t>
      </w:r>
      <w:r w:rsidRPr="00D9600A">
        <w:t>202</w:t>
      </w:r>
      <w:r w:rsidR="004B6B06" w:rsidRPr="00D9600A">
        <w:t>:</w:t>
      </w:r>
      <w:r w:rsidRPr="00D9600A">
        <w:t>1021–1028</w:t>
      </w:r>
      <w:r w:rsidR="004B6B06" w:rsidRPr="00D9600A">
        <w:t>.</w:t>
      </w:r>
      <w:r w:rsidR="00D3661A" w:rsidRPr="00D9600A">
        <w:t xml:space="preserve"> </w:t>
      </w:r>
      <w:hyperlink r:id="rId59" w:history="1">
        <w:r w:rsidR="00D3661A" w:rsidRPr="00D9600A">
          <w:rPr>
            <w:rStyle w:val="Hyperlink"/>
          </w:rPr>
          <w:t>https://doi.org/10.1093/gji/ggv207</w:t>
        </w:r>
      </w:hyperlink>
    </w:p>
    <w:p w14:paraId="6B740754" w14:textId="6FE86F18" w:rsidR="0069787B" w:rsidRPr="00D9600A" w:rsidRDefault="0069787B" w:rsidP="00DD4437">
      <w:pPr>
        <w:pStyle w:val="References"/>
        <w:jc w:val="both"/>
      </w:pPr>
      <w:r w:rsidRPr="00D9600A">
        <w:t>Kierulf HP, Steffen</w:t>
      </w:r>
      <w:r w:rsidR="009D6829" w:rsidRPr="00D9600A">
        <w:t xml:space="preserve"> H</w:t>
      </w:r>
      <w:r w:rsidRPr="00D9600A">
        <w:t>, Simpson</w:t>
      </w:r>
      <w:r w:rsidR="009D6829" w:rsidRPr="00D9600A">
        <w:t xml:space="preserve"> MJR</w:t>
      </w:r>
      <w:r w:rsidRPr="00D9600A">
        <w:t>, Lidberg</w:t>
      </w:r>
      <w:r w:rsidR="009D6829" w:rsidRPr="00D9600A">
        <w:t xml:space="preserve"> M</w:t>
      </w:r>
      <w:r w:rsidRPr="00D9600A">
        <w:t>, Wu</w:t>
      </w:r>
      <w:r w:rsidR="009D6829" w:rsidRPr="00D9600A">
        <w:t xml:space="preserve"> P</w:t>
      </w:r>
      <w:r w:rsidRPr="00D9600A">
        <w:t xml:space="preserve">, Wang </w:t>
      </w:r>
      <w:r w:rsidR="009D6829" w:rsidRPr="00D9600A">
        <w:t xml:space="preserve">H </w:t>
      </w:r>
      <w:r w:rsidRPr="00D9600A">
        <w:t xml:space="preserve">(2014) A GPS velocity field for Fennoscandia and a consistent comparison to glacial isostatic adjustment models. </w:t>
      </w:r>
      <w:r w:rsidR="005626DC" w:rsidRPr="00D9600A">
        <w:t>Journal of Geophysical Research</w:t>
      </w:r>
      <w:r w:rsidR="00DB7DAE" w:rsidRPr="00D9600A">
        <w:t xml:space="preserve"> </w:t>
      </w:r>
      <w:r w:rsidR="00047965" w:rsidRPr="00D9600A">
        <w:t>119(8):</w:t>
      </w:r>
      <w:r w:rsidR="00DB7DAE" w:rsidRPr="00D9600A">
        <w:t>6613-</w:t>
      </w:r>
      <w:r w:rsidR="00047965" w:rsidRPr="00D9600A">
        <w:t>6629</w:t>
      </w:r>
      <w:r w:rsidR="005626DC" w:rsidRPr="00D9600A">
        <w:t xml:space="preserve">. </w:t>
      </w:r>
      <w:hyperlink r:id="rId60" w:history="1">
        <w:r w:rsidR="00047965" w:rsidRPr="00D9600A">
          <w:rPr>
            <w:rStyle w:val="Hyperlink"/>
          </w:rPr>
          <w:t>https://doi.org/10.1002/2013JB010889</w:t>
        </w:r>
      </w:hyperlink>
    </w:p>
    <w:p w14:paraId="5D49FF40" w14:textId="0DBDF85B" w:rsidR="0069787B" w:rsidRPr="00D9600A" w:rsidRDefault="0069787B" w:rsidP="00F63AD9">
      <w:pPr>
        <w:pStyle w:val="References"/>
        <w:jc w:val="both"/>
      </w:pPr>
      <w:proofErr w:type="spellStart"/>
      <w:r w:rsidRPr="00D9600A">
        <w:t>Ksienzyk</w:t>
      </w:r>
      <w:proofErr w:type="spellEnd"/>
      <w:r w:rsidRPr="00D9600A">
        <w:t xml:space="preserve"> A, Dunkl</w:t>
      </w:r>
      <w:r w:rsidR="00970228" w:rsidRPr="00D9600A">
        <w:t xml:space="preserve"> I</w:t>
      </w:r>
      <w:r w:rsidRPr="00D9600A">
        <w:t>, Jacobs</w:t>
      </w:r>
      <w:r w:rsidR="00970228" w:rsidRPr="00D9600A">
        <w:t xml:space="preserve"> J</w:t>
      </w:r>
      <w:r w:rsidRPr="00D9600A">
        <w:t>, Fossen</w:t>
      </w:r>
      <w:r w:rsidR="00970228" w:rsidRPr="00D9600A">
        <w:t xml:space="preserve"> H, </w:t>
      </w:r>
      <w:r w:rsidRPr="00D9600A">
        <w:t>Kohlmann</w:t>
      </w:r>
      <w:r w:rsidR="00970228" w:rsidRPr="00D9600A">
        <w:t xml:space="preserve"> F</w:t>
      </w:r>
      <w:r w:rsidRPr="00D9600A">
        <w:t xml:space="preserve"> (2014) From orogen to passive margin: constraints from fission track and (U–Th)/He analyses on Mesozoic uplift and fault reactivation in SW Norway. Geological Society, London, Special Publications 390</w:t>
      </w:r>
      <w:r w:rsidR="00970228" w:rsidRPr="00D9600A">
        <w:t>:</w:t>
      </w:r>
      <w:r w:rsidRPr="00D9600A">
        <w:t>679-702</w:t>
      </w:r>
      <w:r w:rsidR="00970228" w:rsidRPr="00D9600A">
        <w:t xml:space="preserve">. </w:t>
      </w:r>
      <w:hyperlink r:id="rId61" w:history="1">
        <w:r w:rsidR="008009FA" w:rsidRPr="00D9600A">
          <w:rPr>
            <w:rStyle w:val="Hyperlink"/>
          </w:rPr>
          <w:t>https://doi.org/10.1144/SP390.27</w:t>
        </w:r>
      </w:hyperlink>
    </w:p>
    <w:p w14:paraId="7CB7DC5A" w14:textId="4BB8123C" w:rsidR="008009FA" w:rsidRPr="00D9600A" w:rsidRDefault="008009FA" w:rsidP="00DD4437">
      <w:pPr>
        <w:pStyle w:val="References"/>
        <w:jc w:val="both"/>
      </w:pPr>
      <w:r w:rsidRPr="00D9600A">
        <w:t>Mitchell</w:t>
      </w:r>
      <w:r w:rsidR="006B5B36" w:rsidRPr="00D9600A">
        <w:t xml:space="preserve"> </w:t>
      </w:r>
      <w:r w:rsidRPr="00D9600A">
        <w:t>BJ, Bungum</w:t>
      </w:r>
      <w:r w:rsidR="006B5B36" w:rsidRPr="00D9600A">
        <w:t xml:space="preserve"> H</w:t>
      </w:r>
      <w:r w:rsidRPr="00D9600A">
        <w:t>, Chan</w:t>
      </w:r>
      <w:r w:rsidR="006B5B36" w:rsidRPr="00D9600A">
        <w:t xml:space="preserve"> WW</w:t>
      </w:r>
      <w:r w:rsidRPr="00D9600A">
        <w:t xml:space="preserve"> </w:t>
      </w:r>
      <w:r w:rsidR="006B5B36" w:rsidRPr="00D9600A">
        <w:t xml:space="preserve">, </w:t>
      </w:r>
      <w:r w:rsidRPr="00D9600A">
        <w:t xml:space="preserve">Mitchell </w:t>
      </w:r>
      <w:r w:rsidR="006B5B36" w:rsidRPr="00D9600A">
        <w:t xml:space="preserve">BP </w:t>
      </w:r>
      <w:r w:rsidRPr="00D9600A">
        <w:t>(1990)</w:t>
      </w:r>
      <w:r w:rsidR="006B5B36" w:rsidRPr="00D9600A">
        <w:t xml:space="preserve"> </w:t>
      </w:r>
      <w:r w:rsidRPr="00D9600A">
        <w:t xml:space="preserve">Seismicity and present-day tectonics of the Svalbard region. </w:t>
      </w:r>
      <w:r w:rsidR="006B5B36" w:rsidRPr="00D9600A">
        <w:t>Geophysical Journal International</w:t>
      </w:r>
      <w:r w:rsidR="006B5B36" w:rsidRPr="00D9600A" w:rsidDel="006B5B36">
        <w:t xml:space="preserve"> </w:t>
      </w:r>
      <w:r w:rsidRPr="00D9600A">
        <w:t>102</w:t>
      </w:r>
      <w:r w:rsidR="006B5B36" w:rsidRPr="00D9600A">
        <w:t>:</w:t>
      </w:r>
      <w:r w:rsidRPr="00D9600A">
        <w:t>139-149</w:t>
      </w:r>
      <w:r w:rsidR="00C762BF" w:rsidRPr="00D9600A">
        <w:t xml:space="preserve">. </w:t>
      </w:r>
      <w:hyperlink r:id="rId62" w:history="1">
        <w:r w:rsidR="00C762BF" w:rsidRPr="00D9600A">
          <w:rPr>
            <w:rStyle w:val="Hyperlink"/>
          </w:rPr>
          <w:t>https://doi.org/10.1111/j.1365-246X.1990.tb00536.x</w:t>
        </w:r>
      </w:hyperlink>
    </w:p>
    <w:p w14:paraId="7AD21D14" w14:textId="0E7D5927" w:rsidR="0069787B" w:rsidRPr="00D9600A" w:rsidRDefault="0069787B" w:rsidP="00DD4437">
      <w:pPr>
        <w:pStyle w:val="References"/>
        <w:jc w:val="both"/>
      </w:pPr>
      <w:r w:rsidRPr="00D9600A">
        <w:t>Muir-Wood R</w:t>
      </w:r>
      <w:r w:rsidR="00A525B5" w:rsidRPr="00D9600A">
        <w:t xml:space="preserve"> </w:t>
      </w:r>
      <w:r w:rsidRPr="00D9600A">
        <w:t>(2000)</w:t>
      </w:r>
      <w:r w:rsidR="00A525B5" w:rsidRPr="00D9600A">
        <w:t xml:space="preserve"> </w:t>
      </w:r>
      <w:r w:rsidRPr="00D9600A">
        <w:t xml:space="preserve">Deglaciation Seismotectonics: a principal influence on intraplate </w:t>
      </w:r>
      <w:proofErr w:type="spellStart"/>
      <w:r w:rsidRPr="00D9600A">
        <w:t>seismogenesis</w:t>
      </w:r>
      <w:proofErr w:type="spellEnd"/>
      <w:r w:rsidRPr="00D9600A">
        <w:t xml:space="preserve"> at high latitudes. Quaternary Science Reviews 19</w:t>
      </w:r>
      <w:r w:rsidR="00A525B5" w:rsidRPr="00D9600A">
        <w:t>:</w:t>
      </w:r>
      <w:r w:rsidRPr="00D9600A">
        <w:t>1399</w:t>
      </w:r>
      <w:r w:rsidR="00765D8D" w:rsidRPr="00D9600A">
        <w:t>-</w:t>
      </w:r>
      <w:r w:rsidRPr="00D9600A">
        <w:t>1411</w:t>
      </w:r>
      <w:r w:rsidR="00A525B5" w:rsidRPr="00D9600A">
        <w:t xml:space="preserve">. </w:t>
      </w:r>
      <w:hyperlink r:id="rId63" w:history="1">
        <w:r w:rsidR="00A525B5" w:rsidRPr="00D9600A">
          <w:rPr>
            <w:rStyle w:val="Hyperlink"/>
          </w:rPr>
          <w:t>https://doi.org/10.1016/S0277-3791(00)00069-X</w:t>
        </w:r>
      </w:hyperlink>
    </w:p>
    <w:p w14:paraId="69B27882" w14:textId="69C1C319" w:rsidR="0069787B" w:rsidRPr="00D9600A" w:rsidRDefault="0069787B" w:rsidP="00F63AD9">
      <w:pPr>
        <w:pStyle w:val="References"/>
        <w:jc w:val="both"/>
      </w:pPr>
      <w:r w:rsidRPr="00D9600A">
        <w:t>NORSAR</w:t>
      </w:r>
      <w:r w:rsidR="00011F56" w:rsidRPr="00D9600A">
        <w:t xml:space="preserve">, </w:t>
      </w:r>
      <w:r w:rsidRPr="00D9600A">
        <w:t xml:space="preserve">Risk Engineering, Inc. (1991). Ground Motions from Earthquakes on the Norwegian Continental Shelf. </w:t>
      </w:r>
      <w:r w:rsidR="00011F56" w:rsidRPr="00D9600A">
        <w:t xml:space="preserve">Technical Report for </w:t>
      </w:r>
      <w:proofErr w:type="spellStart"/>
      <w:r w:rsidRPr="00D9600A">
        <w:t>Operatørkomite</w:t>
      </w:r>
      <w:proofErr w:type="spellEnd"/>
      <w:r w:rsidRPr="00D9600A">
        <w:t xml:space="preserve"> Nord (OKN), Stavanger.</w:t>
      </w:r>
    </w:p>
    <w:p w14:paraId="7EC5F0F5" w14:textId="52922990" w:rsidR="0069787B" w:rsidRPr="00D9600A" w:rsidRDefault="0069787B" w:rsidP="00DD4437">
      <w:pPr>
        <w:pStyle w:val="References"/>
        <w:jc w:val="both"/>
      </w:pPr>
      <w:r w:rsidRPr="00D9600A">
        <w:t>Olesen</w:t>
      </w:r>
      <w:r w:rsidR="0095205A" w:rsidRPr="00D9600A">
        <w:t xml:space="preserve"> </w:t>
      </w:r>
      <w:r w:rsidRPr="00D9600A">
        <w:t>O, Bungum</w:t>
      </w:r>
      <w:r w:rsidR="0095205A" w:rsidRPr="00D9600A">
        <w:t xml:space="preserve"> </w:t>
      </w:r>
      <w:r w:rsidRPr="00D9600A">
        <w:t xml:space="preserve">H, </w:t>
      </w:r>
      <w:proofErr w:type="spellStart"/>
      <w:r w:rsidRPr="00D9600A">
        <w:t>Dehls</w:t>
      </w:r>
      <w:proofErr w:type="spellEnd"/>
      <w:r w:rsidRPr="00D9600A">
        <w:t xml:space="preserve"> J, Lindholm</w:t>
      </w:r>
      <w:r w:rsidR="0095205A" w:rsidRPr="00D9600A">
        <w:t xml:space="preserve"> C</w:t>
      </w:r>
      <w:r w:rsidRPr="00D9600A">
        <w:t>, Pascal C</w:t>
      </w:r>
      <w:r w:rsidR="00BB7D9E" w:rsidRPr="00D9600A">
        <w:t xml:space="preserve">, </w:t>
      </w:r>
      <w:r w:rsidRPr="00D9600A">
        <w:t>Roberts</w:t>
      </w:r>
      <w:r w:rsidR="00BB7D9E" w:rsidRPr="00D9600A">
        <w:t xml:space="preserve"> D </w:t>
      </w:r>
      <w:r w:rsidRPr="00D9600A">
        <w:t xml:space="preserve">(2013). Neotectonics, seismicity and contemporary stress field in Norway – mechanisms and implications. In </w:t>
      </w:r>
      <w:proofErr w:type="spellStart"/>
      <w:r w:rsidR="00AB3204" w:rsidRPr="00D9600A">
        <w:t>Forfattere</w:t>
      </w:r>
      <w:proofErr w:type="spellEnd"/>
      <w:r w:rsidR="00AB3204" w:rsidRPr="00D9600A">
        <w:t xml:space="preserve"> Olsen L</w:t>
      </w:r>
      <w:r w:rsidR="00AB3204" w:rsidRPr="00D9600A" w:rsidDel="00AB3204">
        <w:t xml:space="preserve"> </w:t>
      </w:r>
      <w:r w:rsidRPr="00D9600A">
        <w:t>, Fredin O</w:t>
      </w:r>
      <w:r w:rsidR="00AB3204" w:rsidRPr="00D9600A">
        <w:t>, O</w:t>
      </w:r>
      <w:r w:rsidRPr="00D9600A">
        <w:t>lesen O</w:t>
      </w:r>
      <w:r w:rsidR="00AB3204" w:rsidRPr="00D9600A">
        <w:t xml:space="preserve"> </w:t>
      </w:r>
      <w:r w:rsidRPr="00D9600A">
        <w:t>(ed) Quaternary Geology of Norway, Geological Survey of Norway</w:t>
      </w:r>
      <w:r w:rsidR="00F26DD2" w:rsidRPr="00D9600A">
        <w:t>,</w:t>
      </w:r>
      <w:r w:rsidRPr="00D9600A">
        <w:t xml:space="preserve"> Special Publication</w:t>
      </w:r>
      <w:r w:rsidR="00B3138A" w:rsidRPr="00D9600A">
        <w:t xml:space="preserve"> </w:t>
      </w:r>
      <w:r w:rsidRPr="00D9600A">
        <w:t>13</w:t>
      </w:r>
      <w:r w:rsidR="00F9507B" w:rsidRPr="00D9600A">
        <w:t>:</w:t>
      </w:r>
      <w:r w:rsidRPr="00D9600A">
        <w:t>145–17</w:t>
      </w:r>
      <w:r w:rsidR="008847B0" w:rsidRPr="00D9600A">
        <w:t>3</w:t>
      </w:r>
      <w:r w:rsidR="00B3138A" w:rsidRPr="00D9600A">
        <w:t>.</w:t>
      </w:r>
    </w:p>
    <w:p w14:paraId="0AB9F020" w14:textId="4AB0E4D1" w:rsidR="0069787B" w:rsidRPr="00D9600A" w:rsidRDefault="0069787B" w:rsidP="00F63AD9">
      <w:pPr>
        <w:pStyle w:val="References"/>
        <w:jc w:val="both"/>
      </w:pPr>
      <w:r w:rsidRPr="00D9600A">
        <w:t>Olesen</w:t>
      </w:r>
      <w:r w:rsidR="00C3165F" w:rsidRPr="00D9600A">
        <w:t xml:space="preserve"> </w:t>
      </w:r>
      <w:r w:rsidRPr="00D9600A">
        <w:t>O, Janutyte</w:t>
      </w:r>
      <w:r w:rsidR="00C3165F" w:rsidRPr="00D9600A">
        <w:t xml:space="preserve"> </w:t>
      </w:r>
      <w:r w:rsidRPr="00D9600A">
        <w:t>I, Michálek</w:t>
      </w:r>
      <w:r w:rsidR="00C3165F" w:rsidRPr="00D9600A">
        <w:t xml:space="preserve"> </w:t>
      </w:r>
      <w:r w:rsidRPr="00D9600A">
        <w:t>J</w:t>
      </w:r>
      <w:r w:rsidR="00485840" w:rsidRPr="00D9600A">
        <w:t xml:space="preserve"> et al</w:t>
      </w:r>
      <w:r w:rsidRPr="00D9600A">
        <w:t xml:space="preserve"> (2018)</w:t>
      </w:r>
      <w:r w:rsidR="00CD4E97" w:rsidRPr="00D9600A">
        <w:t xml:space="preserve"> </w:t>
      </w:r>
      <w:r w:rsidRPr="00D9600A">
        <w:t>Neotectonics in Nordland - Implications for petroleum exploration (NEONOR2). NGU Report No. 2018.010</w:t>
      </w:r>
      <w:r w:rsidR="00E706C5" w:rsidRPr="00D9600A">
        <w:t xml:space="preserve">. </w:t>
      </w:r>
      <w:hyperlink r:id="rId64" w:history="1">
        <w:r w:rsidR="00457C1E" w:rsidRPr="00D9600A">
          <w:rPr>
            <w:rStyle w:val="Hyperlink"/>
          </w:rPr>
          <w:t>https://openarchive.ngu.no/ngu-xmlui/handle/11250/2664211</w:t>
        </w:r>
      </w:hyperlink>
      <w:r w:rsidR="00457C1E" w:rsidRPr="00D9600A">
        <w:t xml:space="preserve">. </w:t>
      </w:r>
      <w:r w:rsidR="00E706C5" w:rsidRPr="00D9600A">
        <w:t xml:space="preserve">Assessed </w:t>
      </w:r>
      <w:r w:rsidR="00457C1E" w:rsidRPr="00D9600A">
        <w:t>18 July 2024.</w:t>
      </w:r>
    </w:p>
    <w:p w14:paraId="4C1EC1FC" w14:textId="7C8C1745" w:rsidR="005613A9" w:rsidRPr="00D9600A" w:rsidRDefault="005D1141" w:rsidP="005613A9">
      <w:pPr>
        <w:pStyle w:val="References"/>
        <w:jc w:val="both"/>
      </w:pPr>
      <w:r w:rsidRPr="00D9600A">
        <w:t xml:space="preserve">Olesen O, Olsen L, Gibbons S, Ruud B, </w:t>
      </w:r>
      <w:proofErr w:type="spellStart"/>
      <w:r w:rsidRPr="00D9600A">
        <w:t>Høgaas</w:t>
      </w:r>
      <w:proofErr w:type="spellEnd"/>
      <w:r w:rsidRPr="00D9600A">
        <w:t xml:space="preserve"> F, Johansen TA, Kværna T (2022) Postglacial Faulting in Norway; Large Magnitude Earthquakes of the Late Holocene Age</w:t>
      </w:r>
      <w:r w:rsidR="005613A9" w:rsidRPr="00D9600A">
        <w:t>. In: Steffen H, Olesen O, Sutinen R (ed) Glacially-Triggered Faulting, Cambridge University Press, pp 1</w:t>
      </w:r>
      <w:r w:rsidR="00DE6718" w:rsidRPr="00D9600A">
        <w:t>98</w:t>
      </w:r>
      <w:r w:rsidR="005613A9" w:rsidRPr="00D9600A">
        <w:t>-</w:t>
      </w:r>
      <w:r w:rsidR="00DE6718" w:rsidRPr="00D9600A">
        <w:t>217</w:t>
      </w:r>
      <w:r w:rsidR="005613A9" w:rsidRPr="00D9600A">
        <w:t xml:space="preserve">. </w:t>
      </w:r>
      <w:hyperlink r:id="rId65" w:history="1">
        <w:r w:rsidR="005613A9" w:rsidRPr="00D9600A">
          <w:rPr>
            <w:rStyle w:val="Hyperlink"/>
          </w:rPr>
          <w:t>https://doi.org/10.1017/9781108779906</w:t>
        </w:r>
      </w:hyperlink>
    </w:p>
    <w:p w14:paraId="55F18D70" w14:textId="52534F90" w:rsidR="00BF2262" w:rsidRPr="00D9600A" w:rsidRDefault="0069787B" w:rsidP="00F63AD9">
      <w:pPr>
        <w:pStyle w:val="References"/>
        <w:ind w:left="0" w:firstLine="0"/>
        <w:jc w:val="both"/>
      </w:pPr>
      <w:r w:rsidRPr="00D9600A">
        <w:lastRenderedPageBreak/>
        <w:t>Olsen L, Olesen</w:t>
      </w:r>
      <w:r w:rsidR="001B287D" w:rsidRPr="00D9600A">
        <w:t xml:space="preserve"> O</w:t>
      </w:r>
      <w:r w:rsidRPr="00D9600A">
        <w:t xml:space="preserve">, </w:t>
      </w:r>
      <w:proofErr w:type="spellStart"/>
      <w:r w:rsidRPr="00D9600A">
        <w:t>Høgaas</w:t>
      </w:r>
      <w:proofErr w:type="spellEnd"/>
      <w:r w:rsidRPr="00D9600A">
        <w:t xml:space="preserve"> F</w:t>
      </w:r>
      <w:r w:rsidR="001B287D" w:rsidRPr="00D9600A">
        <w:t xml:space="preserve"> et al</w:t>
      </w:r>
      <w:r w:rsidRPr="00D9600A">
        <w:t xml:space="preserve"> </w:t>
      </w:r>
      <w:r w:rsidR="004F144F" w:rsidRPr="00D9600A">
        <w:t>(2022)</w:t>
      </w:r>
      <w:r w:rsidR="001B287D" w:rsidRPr="00D9600A">
        <w:t xml:space="preserve"> </w:t>
      </w:r>
      <w:r w:rsidR="00BF2262" w:rsidRPr="00D9600A">
        <w:t xml:space="preserve">Trenching and 14C dating of the </w:t>
      </w:r>
      <w:proofErr w:type="spellStart"/>
      <w:r w:rsidR="00BF2262" w:rsidRPr="00D9600A">
        <w:t>Stuorgurra</w:t>
      </w:r>
      <w:proofErr w:type="spellEnd"/>
      <w:r w:rsidR="00BF2262" w:rsidRPr="00D9600A">
        <w:t xml:space="preserve"> Fault Complex in </w:t>
      </w:r>
      <w:proofErr w:type="spellStart"/>
      <w:r w:rsidR="00BF2262" w:rsidRPr="00D9600A">
        <w:t>Finnmark</w:t>
      </w:r>
      <w:proofErr w:type="spellEnd"/>
      <w:r w:rsidR="00BF2262" w:rsidRPr="00D9600A">
        <w:t>, Northern Norway – with some accompanying data included. NGU report No. 2022.010.</w:t>
      </w:r>
    </w:p>
    <w:p w14:paraId="4F755A43" w14:textId="465DC3E4" w:rsidR="005652E2" w:rsidRPr="00D9600A" w:rsidRDefault="0069787B" w:rsidP="00F63AD9">
      <w:pPr>
        <w:pStyle w:val="References"/>
        <w:jc w:val="both"/>
      </w:pPr>
      <w:r w:rsidRPr="00D9600A">
        <w:t>Olsen L</w:t>
      </w:r>
      <w:r w:rsidR="00770F71" w:rsidRPr="00D9600A">
        <w:t xml:space="preserve">, </w:t>
      </w:r>
      <w:r w:rsidRPr="00D9600A">
        <w:t>Olese</w:t>
      </w:r>
      <w:r w:rsidR="00770F71" w:rsidRPr="00D9600A">
        <w:t xml:space="preserve">n O </w:t>
      </w:r>
      <w:r w:rsidRPr="00D9600A">
        <w:t>(2023)</w:t>
      </w:r>
      <w:r w:rsidR="00770F71" w:rsidRPr="00D9600A">
        <w:t xml:space="preserve"> </w:t>
      </w:r>
      <w:r w:rsidRPr="00D9600A">
        <w:t xml:space="preserve">Trenching and 14C dating of the postglacial Stuoragurra Fault Complex in </w:t>
      </w:r>
      <w:proofErr w:type="spellStart"/>
      <w:r w:rsidRPr="00D9600A">
        <w:t>Finnmark</w:t>
      </w:r>
      <w:proofErr w:type="spellEnd"/>
      <w:r w:rsidRPr="00D9600A">
        <w:t>, Northern Norway, and geohazard implications. NGU report No. 2023.026.</w:t>
      </w:r>
      <w:r w:rsidR="00770F71" w:rsidRPr="00D9600A">
        <w:t xml:space="preserve"> </w:t>
      </w:r>
      <w:hyperlink r:id="rId66" w:history="1">
        <w:r w:rsidR="00770F71" w:rsidRPr="00D9600A">
          <w:rPr>
            <w:rStyle w:val="Hyperlink"/>
          </w:rPr>
          <w:t>https://www.ngu.no/publikasjon/trenching-and-14c-dating-postglacial-stuoragurra-fault-complex-finnmark-northern-norway</w:t>
        </w:r>
      </w:hyperlink>
      <w:r w:rsidR="00770F71" w:rsidRPr="00D9600A">
        <w:t>. Assessed 18 July 2024.</w:t>
      </w:r>
    </w:p>
    <w:p w14:paraId="3A25438C" w14:textId="2BAF88DB" w:rsidR="0069787B" w:rsidRPr="00D9600A" w:rsidRDefault="0069787B" w:rsidP="00DD4437">
      <w:pPr>
        <w:pStyle w:val="References"/>
        <w:jc w:val="both"/>
      </w:pPr>
      <w:r w:rsidRPr="00D9600A">
        <w:t>Pascal C</w:t>
      </w:r>
      <w:r w:rsidR="00C8228C" w:rsidRPr="00D9600A">
        <w:t xml:space="preserve">, </w:t>
      </w:r>
      <w:proofErr w:type="spellStart"/>
      <w:r w:rsidRPr="00D9600A">
        <w:t>Cloetingh</w:t>
      </w:r>
      <w:proofErr w:type="spellEnd"/>
      <w:r w:rsidR="00C8228C" w:rsidRPr="00D9600A">
        <w:t xml:space="preserve"> S </w:t>
      </w:r>
      <w:r w:rsidRPr="00D9600A">
        <w:t>(2009)</w:t>
      </w:r>
      <w:r w:rsidR="00C8228C" w:rsidRPr="00D9600A">
        <w:t xml:space="preserve"> </w:t>
      </w:r>
      <w:r w:rsidRPr="00D9600A">
        <w:t>Gravitational potential stresses and stress field of passive continental margins: Insights from the south-Norway shelf. Earth and Planetary Science Letters 277</w:t>
      </w:r>
      <w:r w:rsidR="008977F4" w:rsidRPr="00D9600A">
        <w:t>:</w:t>
      </w:r>
      <w:r w:rsidRPr="00D9600A">
        <w:t>464–473</w:t>
      </w:r>
      <w:r w:rsidR="008977F4" w:rsidRPr="00D9600A">
        <w:t xml:space="preserve">. </w:t>
      </w:r>
      <w:hyperlink r:id="rId67" w:history="1">
        <w:r w:rsidR="008977F4" w:rsidRPr="00D9600A">
          <w:rPr>
            <w:rStyle w:val="Hyperlink"/>
          </w:rPr>
          <w:t>https://doi.org/10.1016/j.epsl.2008.11.014</w:t>
        </w:r>
      </w:hyperlink>
    </w:p>
    <w:p w14:paraId="429D2149" w14:textId="14DF6C35" w:rsidR="0069787B" w:rsidRPr="00D9600A" w:rsidRDefault="0069787B" w:rsidP="00DD4437">
      <w:pPr>
        <w:pStyle w:val="References"/>
        <w:jc w:val="both"/>
      </w:pPr>
      <w:proofErr w:type="spellStart"/>
      <w:r w:rsidRPr="00D9600A">
        <w:t>Pirli</w:t>
      </w:r>
      <w:proofErr w:type="spellEnd"/>
      <w:r w:rsidR="00202C64" w:rsidRPr="00D9600A">
        <w:t xml:space="preserve"> M, </w:t>
      </w:r>
      <w:r w:rsidR="004C2477" w:rsidRPr="00D9600A">
        <w:t xml:space="preserve">Schweitzer J, </w:t>
      </w:r>
      <w:proofErr w:type="spellStart"/>
      <w:r w:rsidR="004C2477" w:rsidRPr="00D9600A">
        <w:t>Ottemöller</w:t>
      </w:r>
      <w:proofErr w:type="spellEnd"/>
      <w:r w:rsidR="004C2477" w:rsidRPr="00D9600A">
        <w:t xml:space="preserve"> L et al (</w:t>
      </w:r>
      <w:r w:rsidR="00202C64" w:rsidRPr="00D9600A">
        <w:t xml:space="preserve">2010) </w:t>
      </w:r>
      <w:r w:rsidRPr="00D9600A">
        <w:t xml:space="preserve">Preliminary Analysis of the 21 February 2008 Svalbard (Norway) Seismic Sequence. Seismological Research Letters </w:t>
      </w:r>
      <w:r w:rsidR="00EE1311" w:rsidRPr="00D9600A">
        <w:t>81:</w:t>
      </w:r>
      <w:r w:rsidRPr="00D9600A">
        <w:t>63-75</w:t>
      </w:r>
      <w:r w:rsidR="00EE1311" w:rsidRPr="00D9600A">
        <w:t xml:space="preserve">. </w:t>
      </w:r>
      <w:hyperlink r:id="rId68" w:history="1">
        <w:r w:rsidR="00EE1311" w:rsidRPr="00D9600A">
          <w:rPr>
            <w:rStyle w:val="Hyperlink"/>
          </w:rPr>
          <w:t>https://doi.org/10.1785/gssrl.81.1.63</w:t>
        </w:r>
      </w:hyperlink>
    </w:p>
    <w:p w14:paraId="2112B5AD" w14:textId="29B10F19" w:rsidR="0069787B" w:rsidRPr="00D9600A" w:rsidRDefault="0069787B" w:rsidP="00F63AD9">
      <w:pPr>
        <w:pStyle w:val="References"/>
        <w:jc w:val="both"/>
      </w:pPr>
      <w:r w:rsidRPr="00D9600A">
        <w:t>Ramberg</w:t>
      </w:r>
      <w:r w:rsidR="00BC422D" w:rsidRPr="00D9600A">
        <w:t xml:space="preserve"> </w:t>
      </w:r>
      <w:r w:rsidRPr="00D9600A">
        <w:t xml:space="preserve">IB, </w:t>
      </w:r>
      <w:proofErr w:type="spellStart"/>
      <w:r w:rsidRPr="00D9600A">
        <w:t>Bryhni</w:t>
      </w:r>
      <w:proofErr w:type="spellEnd"/>
      <w:r w:rsidR="00BC422D" w:rsidRPr="00D9600A">
        <w:t xml:space="preserve"> </w:t>
      </w:r>
      <w:r w:rsidRPr="00D9600A">
        <w:t xml:space="preserve">I, </w:t>
      </w:r>
      <w:proofErr w:type="spellStart"/>
      <w:r w:rsidRPr="00D9600A">
        <w:t>Nøttvedt</w:t>
      </w:r>
      <w:proofErr w:type="spellEnd"/>
      <w:r w:rsidRPr="00D9600A">
        <w:t xml:space="preserve"> A</w:t>
      </w:r>
      <w:r w:rsidR="00BC422D" w:rsidRPr="00D9600A">
        <w:t xml:space="preserve">, </w:t>
      </w:r>
      <w:proofErr w:type="spellStart"/>
      <w:r w:rsidR="00770190" w:rsidRPr="00D9600A">
        <w:t>Rangnes</w:t>
      </w:r>
      <w:proofErr w:type="spellEnd"/>
      <w:r w:rsidR="00BC422D" w:rsidRPr="00D9600A">
        <w:t xml:space="preserve"> </w:t>
      </w:r>
      <w:r w:rsidR="00770190" w:rsidRPr="00D9600A">
        <w:t>K</w:t>
      </w:r>
      <w:r w:rsidR="00BC422D" w:rsidRPr="00D9600A">
        <w:t xml:space="preserve"> </w:t>
      </w:r>
      <w:r w:rsidRPr="00D9600A">
        <w:t>(2</w:t>
      </w:r>
      <w:r w:rsidR="003B4BA9" w:rsidRPr="00D9600A">
        <w:t>008</w:t>
      </w:r>
      <w:r w:rsidRPr="00D9600A">
        <w:t>)</w:t>
      </w:r>
      <w:r w:rsidR="00BC422D" w:rsidRPr="00D9600A">
        <w:t xml:space="preserve"> </w:t>
      </w:r>
      <w:r w:rsidR="00E61F3A" w:rsidRPr="00D9600A">
        <w:t>The Making of a Land - Geology of Norway</w:t>
      </w:r>
      <w:r w:rsidR="00CB0D79" w:rsidRPr="00D9600A">
        <w:t>.</w:t>
      </w:r>
      <w:r w:rsidR="00E61F3A" w:rsidRPr="00D9600A" w:rsidDel="003F58DD">
        <w:t xml:space="preserve"> </w:t>
      </w:r>
      <w:r w:rsidRPr="00D9600A">
        <w:t xml:space="preserve">Norsk </w:t>
      </w:r>
      <w:proofErr w:type="spellStart"/>
      <w:r w:rsidR="003C0C34" w:rsidRPr="00D9600A">
        <w:t>G</w:t>
      </w:r>
      <w:r w:rsidRPr="00D9600A">
        <w:t>eologisk</w:t>
      </w:r>
      <w:proofErr w:type="spellEnd"/>
      <w:r w:rsidRPr="00D9600A">
        <w:t xml:space="preserve"> </w:t>
      </w:r>
      <w:proofErr w:type="spellStart"/>
      <w:r w:rsidR="003C0C34" w:rsidRPr="00D9600A">
        <w:t>F</w:t>
      </w:r>
      <w:r w:rsidRPr="00D9600A">
        <w:t>orening</w:t>
      </w:r>
      <w:proofErr w:type="spellEnd"/>
      <w:r w:rsidR="008B225C" w:rsidRPr="00D9600A">
        <w:t xml:space="preserve">, </w:t>
      </w:r>
      <w:r w:rsidR="004616B1" w:rsidRPr="00D9600A">
        <w:t>ISBN978-82-92-</w:t>
      </w:r>
      <w:r w:rsidR="00B16874" w:rsidRPr="00D9600A">
        <w:t>39442-7.</w:t>
      </w:r>
    </w:p>
    <w:p w14:paraId="43762819" w14:textId="63715D7D" w:rsidR="00A65002" w:rsidRPr="00D9600A" w:rsidRDefault="0069787B" w:rsidP="00086453">
      <w:pPr>
        <w:pStyle w:val="References"/>
        <w:jc w:val="both"/>
      </w:pPr>
      <w:r w:rsidRPr="00D9600A">
        <w:t>Richardson</w:t>
      </w:r>
      <w:r w:rsidR="0094565E" w:rsidRPr="00D9600A">
        <w:t xml:space="preserve"> RM</w:t>
      </w:r>
      <w:r w:rsidRPr="00D9600A">
        <w:t>, Solomon</w:t>
      </w:r>
      <w:r w:rsidR="0094565E" w:rsidRPr="00D9600A">
        <w:t xml:space="preserve"> SC</w:t>
      </w:r>
      <w:r w:rsidRPr="00D9600A">
        <w:t>, Sleep</w:t>
      </w:r>
      <w:r w:rsidR="0094565E" w:rsidRPr="00D9600A">
        <w:t xml:space="preserve"> NH</w:t>
      </w:r>
      <w:r w:rsidRPr="00D9600A">
        <w:t xml:space="preserve"> (1979)</w:t>
      </w:r>
      <w:r w:rsidR="0094565E" w:rsidRPr="00D9600A">
        <w:t xml:space="preserve"> </w:t>
      </w:r>
      <w:r w:rsidRPr="00D9600A">
        <w:t>Tectonic stress in the plates</w:t>
      </w:r>
      <w:r w:rsidR="004C4246" w:rsidRPr="00D9600A">
        <w:t xml:space="preserve">. </w:t>
      </w:r>
      <w:r w:rsidRPr="00D9600A">
        <w:t>Rev</w:t>
      </w:r>
      <w:r w:rsidR="00B77A91" w:rsidRPr="00D9600A">
        <w:t>iews</w:t>
      </w:r>
      <w:r w:rsidR="004C4246" w:rsidRPr="00D9600A">
        <w:t xml:space="preserve"> of </w:t>
      </w:r>
      <w:r w:rsidRPr="00D9600A">
        <w:t>Geophys</w:t>
      </w:r>
      <w:r w:rsidR="004C4246" w:rsidRPr="00D9600A">
        <w:t xml:space="preserve">ics </w:t>
      </w:r>
      <w:r w:rsidRPr="00D9600A">
        <w:t>17</w:t>
      </w:r>
      <w:r w:rsidR="00A65002" w:rsidRPr="00D9600A">
        <w:t>:</w:t>
      </w:r>
      <w:r w:rsidRPr="00D9600A">
        <w:t>981-1019.</w:t>
      </w:r>
      <w:r w:rsidR="00086453" w:rsidRPr="00D9600A">
        <w:t xml:space="preserve"> </w:t>
      </w:r>
      <w:hyperlink r:id="rId69" w:history="1">
        <w:r w:rsidR="004C4246" w:rsidRPr="00D9600A">
          <w:rPr>
            <w:rStyle w:val="Hyperlink"/>
          </w:rPr>
          <w:t>https://doi.org/10.1029/RG017i005p00981</w:t>
        </w:r>
      </w:hyperlink>
    </w:p>
    <w:p w14:paraId="371C3265" w14:textId="165F9C84" w:rsidR="007F6F54" w:rsidRPr="00D9600A" w:rsidRDefault="00AE59FC" w:rsidP="007F6F54">
      <w:pPr>
        <w:pStyle w:val="References"/>
        <w:jc w:val="both"/>
      </w:pPr>
      <w:proofErr w:type="spellStart"/>
      <w:r w:rsidRPr="00D9600A">
        <w:t>Slunga</w:t>
      </w:r>
      <w:proofErr w:type="spellEnd"/>
      <w:r w:rsidRPr="00D9600A">
        <w:t xml:space="preserve"> RS</w:t>
      </w:r>
      <w:r w:rsidR="007F6F54" w:rsidRPr="00D9600A">
        <w:t xml:space="preserve"> (1989) </w:t>
      </w:r>
      <w:r w:rsidRPr="00D9600A">
        <w:t>Focal mechanisms and crustal stresses in the Baltic Shield</w:t>
      </w:r>
      <w:r w:rsidR="007F6F54" w:rsidRPr="00D9600A">
        <w:t xml:space="preserve">. In: Gregersen S and Basham PW (ed) Earthquakes at North Atlantic Passive Margins: Neotectonics and Postglacial Rebound, NATO ASI Series (266), Dordrecht, pp 289-297. </w:t>
      </w:r>
      <w:hyperlink r:id="rId70" w:history="1">
        <w:r w:rsidR="007F6F54" w:rsidRPr="00D9600A">
          <w:rPr>
            <w:rStyle w:val="Hyperlink"/>
          </w:rPr>
          <w:t>https://doi.org/10.1007/978-94-009-2311-9_17</w:t>
        </w:r>
      </w:hyperlink>
    </w:p>
    <w:p w14:paraId="4C1889B9" w14:textId="76B8F7F6" w:rsidR="0069787B" w:rsidRPr="00D9600A" w:rsidRDefault="00E23F8E" w:rsidP="00DD4437">
      <w:pPr>
        <w:pStyle w:val="References"/>
        <w:jc w:val="both"/>
      </w:pPr>
      <w:proofErr w:type="spellStart"/>
      <w:r w:rsidRPr="00D9600A">
        <w:t>Slunga</w:t>
      </w:r>
      <w:proofErr w:type="spellEnd"/>
      <w:r w:rsidRPr="00D9600A">
        <w:t xml:space="preserve"> RS </w:t>
      </w:r>
      <w:r w:rsidR="0069787B" w:rsidRPr="00D9600A">
        <w:t>(1991)</w:t>
      </w:r>
      <w:r w:rsidRPr="00D9600A">
        <w:t xml:space="preserve"> </w:t>
      </w:r>
      <w:r w:rsidR="0069787B" w:rsidRPr="00D9600A">
        <w:t>The Baltic Shield earthquakes. Tectonophysics</w:t>
      </w:r>
      <w:r w:rsidR="00EE17CB" w:rsidRPr="00D9600A">
        <w:t xml:space="preserve"> </w:t>
      </w:r>
      <w:r w:rsidR="0069787B" w:rsidRPr="00D9600A">
        <w:t>89</w:t>
      </w:r>
      <w:r w:rsidR="00EE17CB" w:rsidRPr="00D9600A">
        <w:t>:</w:t>
      </w:r>
      <w:r w:rsidR="0069787B" w:rsidRPr="00D9600A">
        <w:t>323-331.</w:t>
      </w:r>
      <w:r w:rsidR="00EE17CB" w:rsidRPr="00D9600A">
        <w:t xml:space="preserve"> </w:t>
      </w:r>
      <w:hyperlink r:id="rId71" w:history="1">
        <w:r w:rsidR="00EE17CB" w:rsidRPr="00D9600A">
          <w:rPr>
            <w:rStyle w:val="Hyperlink"/>
          </w:rPr>
          <w:t>https://doi.org/10.1016/0040-1951(91)90505-M</w:t>
        </w:r>
      </w:hyperlink>
    </w:p>
    <w:p w14:paraId="64686741" w14:textId="76CC4B5A" w:rsidR="0069787B" w:rsidRPr="00D9600A" w:rsidRDefault="0069787B" w:rsidP="00DD4437">
      <w:pPr>
        <w:pStyle w:val="References"/>
        <w:jc w:val="both"/>
      </w:pPr>
      <w:r w:rsidRPr="00D9600A">
        <w:t>Solomon</w:t>
      </w:r>
      <w:r w:rsidR="002E3BB1" w:rsidRPr="00D9600A">
        <w:t xml:space="preserve"> </w:t>
      </w:r>
      <w:r w:rsidRPr="00D9600A">
        <w:t>SC, Sleep</w:t>
      </w:r>
      <w:r w:rsidR="002E3BB1" w:rsidRPr="00D9600A">
        <w:t xml:space="preserve"> NH</w:t>
      </w:r>
      <w:r w:rsidRPr="00D9600A">
        <w:t>, Richardson</w:t>
      </w:r>
      <w:r w:rsidR="002E3BB1" w:rsidRPr="00D9600A">
        <w:t xml:space="preserve"> RM</w:t>
      </w:r>
      <w:r w:rsidRPr="00D9600A">
        <w:t xml:space="preserve"> (1975)</w:t>
      </w:r>
      <w:r w:rsidR="006D27DC" w:rsidRPr="00D9600A">
        <w:t xml:space="preserve"> </w:t>
      </w:r>
      <w:r w:rsidRPr="00D9600A">
        <w:t>On the forces driving plate tectonics: inferences from absolute plate velocities and intraplate stress</w:t>
      </w:r>
      <w:r w:rsidR="006D27DC" w:rsidRPr="00D9600A">
        <w:t xml:space="preserve">. </w:t>
      </w:r>
      <w:r w:rsidR="00445015" w:rsidRPr="00D9600A">
        <w:t>Geophysical Journal International</w:t>
      </w:r>
      <w:r w:rsidR="00445015" w:rsidRPr="00D9600A" w:rsidDel="00445015">
        <w:t xml:space="preserve"> </w:t>
      </w:r>
      <w:r w:rsidR="002E3BB1" w:rsidRPr="00D9600A">
        <w:t>42(2):</w:t>
      </w:r>
      <w:r w:rsidRPr="00D9600A">
        <w:t>769-801.</w:t>
      </w:r>
      <w:r w:rsidR="002E3BB1" w:rsidRPr="00D9600A">
        <w:t xml:space="preserve"> </w:t>
      </w:r>
      <w:hyperlink r:id="rId72" w:history="1">
        <w:r w:rsidR="002E3BB1" w:rsidRPr="00D9600A">
          <w:rPr>
            <w:rStyle w:val="Hyperlink"/>
          </w:rPr>
          <w:t>https://doi.org/10.1111/j.1365-246X.1975.tb05891.x</w:t>
        </w:r>
      </w:hyperlink>
    </w:p>
    <w:p w14:paraId="144E1BC8" w14:textId="0AA5B246" w:rsidR="0069787B" w:rsidRPr="00D9600A" w:rsidRDefault="0069787B" w:rsidP="00F63AD9">
      <w:pPr>
        <w:pStyle w:val="References"/>
        <w:jc w:val="both"/>
      </w:pPr>
      <w:r w:rsidRPr="00D9600A">
        <w:t>Stephansson</w:t>
      </w:r>
      <w:r w:rsidR="00050F0C" w:rsidRPr="00D9600A">
        <w:t xml:space="preserve"> O</w:t>
      </w:r>
      <w:r w:rsidRPr="00D9600A">
        <w:t xml:space="preserve">, </w:t>
      </w:r>
      <w:proofErr w:type="spellStart"/>
      <w:r w:rsidRPr="00D9600A">
        <w:t>Särkkä</w:t>
      </w:r>
      <w:proofErr w:type="spellEnd"/>
      <w:r w:rsidR="00050F0C" w:rsidRPr="00D9600A">
        <w:t xml:space="preserve"> P</w:t>
      </w:r>
      <w:r w:rsidRPr="00D9600A">
        <w:t xml:space="preserve">, Myrvang </w:t>
      </w:r>
      <w:r w:rsidR="00050F0C" w:rsidRPr="00D9600A">
        <w:t xml:space="preserve">A </w:t>
      </w:r>
      <w:r w:rsidRPr="00D9600A">
        <w:t>(1986)</w:t>
      </w:r>
      <w:r w:rsidR="00050F0C" w:rsidRPr="00D9600A">
        <w:t xml:space="preserve"> </w:t>
      </w:r>
      <w:r w:rsidRPr="00D9600A">
        <w:t>State of stress in Fennoscandia</w:t>
      </w:r>
      <w:r w:rsidR="00EB7ED1" w:rsidRPr="00D9600A">
        <w:t>. I</w:t>
      </w:r>
      <w:r w:rsidRPr="00D9600A">
        <w:t xml:space="preserve">n </w:t>
      </w:r>
      <w:r w:rsidR="00F91976" w:rsidRPr="00D9600A">
        <w:t xml:space="preserve">Stephansson O (ed) </w:t>
      </w:r>
      <w:r w:rsidRPr="00D9600A">
        <w:t xml:space="preserve">Proceedings of the International Symposium on Rock Stress and Rock Stress Measurements, </w:t>
      </w:r>
      <w:proofErr w:type="spellStart"/>
      <w:r w:rsidR="00BE39E8" w:rsidRPr="00D9600A">
        <w:t>Centek</w:t>
      </w:r>
      <w:proofErr w:type="spellEnd"/>
      <w:r w:rsidR="00BE39E8" w:rsidRPr="00D9600A">
        <w:t xml:space="preserve">, </w:t>
      </w:r>
      <w:proofErr w:type="spellStart"/>
      <w:r w:rsidR="00BE39E8" w:rsidRPr="00D9600A">
        <w:t>Luleå</w:t>
      </w:r>
      <w:proofErr w:type="spellEnd"/>
      <w:r w:rsidR="00BE39E8" w:rsidRPr="00D9600A">
        <w:t xml:space="preserve">, Sweden, </w:t>
      </w:r>
      <w:r w:rsidRPr="00D9600A">
        <w:t>pp</w:t>
      </w:r>
      <w:r w:rsidR="00BE39E8" w:rsidRPr="00D9600A">
        <w:t xml:space="preserve"> </w:t>
      </w:r>
      <w:r w:rsidRPr="00D9600A">
        <w:t>21-32</w:t>
      </w:r>
    </w:p>
    <w:p w14:paraId="4106C919" w14:textId="44430AA3" w:rsidR="008009FA" w:rsidRPr="00D9600A" w:rsidRDefault="008009FA" w:rsidP="00DD4437">
      <w:pPr>
        <w:pStyle w:val="References"/>
        <w:jc w:val="both"/>
      </w:pPr>
      <w:r w:rsidRPr="00D9600A">
        <w:t xml:space="preserve">Ueda T, Kato A, Johnson CW, </w:t>
      </w:r>
      <w:proofErr w:type="spellStart"/>
      <w:r w:rsidRPr="00D9600A">
        <w:t>Terakawa</w:t>
      </w:r>
      <w:proofErr w:type="spellEnd"/>
      <w:r w:rsidRPr="00D9600A">
        <w:t xml:space="preserve"> T (2024)</w:t>
      </w:r>
      <w:r w:rsidR="00AF6D5C" w:rsidRPr="00D9600A">
        <w:t xml:space="preserve"> </w:t>
      </w:r>
      <w:r w:rsidRPr="00D9600A">
        <w:t>Seasonal modulation of crustal seismicity in northeastern Japan driven by snow load. Journal of Geophysical Research: Solid Earth 129</w:t>
      </w:r>
      <w:r w:rsidR="0007712B" w:rsidRPr="00D9600A">
        <w:t>:1-17</w:t>
      </w:r>
      <w:r w:rsidRPr="00D9600A">
        <w:t>.</w:t>
      </w:r>
      <w:r w:rsidR="006E4938" w:rsidRPr="00D9600A">
        <w:t xml:space="preserve"> </w:t>
      </w:r>
      <w:hyperlink r:id="rId73" w:history="1">
        <w:r w:rsidR="006E4938" w:rsidRPr="00D9600A">
          <w:rPr>
            <w:rStyle w:val="Hyperlink"/>
          </w:rPr>
          <w:t>https://doi.org/10.1029/2023JB028217</w:t>
        </w:r>
      </w:hyperlink>
    </w:p>
    <w:p w14:paraId="1F99B648" w14:textId="59AA0F66" w:rsidR="00AA1253" w:rsidRPr="00D9600A" w:rsidRDefault="00160C47" w:rsidP="00F63AD9">
      <w:pPr>
        <w:pStyle w:val="References"/>
        <w:jc w:val="both"/>
      </w:pPr>
      <w:r w:rsidRPr="00D9600A">
        <w:t>v</w:t>
      </w:r>
      <w:r w:rsidR="0069787B" w:rsidRPr="00D9600A">
        <w:t xml:space="preserve">an </w:t>
      </w:r>
      <w:proofErr w:type="spellStart"/>
      <w:r w:rsidR="0069787B" w:rsidRPr="00D9600A">
        <w:t>Laaten</w:t>
      </w:r>
      <w:proofErr w:type="spellEnd"/>
      <w:r w:rsidR="0069787B" w:rsidRPr="00D9600A">
        <w:t xml:space="preserve"> M, </w:t>
      </w:r>
      <w:proofErr w:type="spellStart"/>
      <w:r w:rsidR="0069787B" w:rsidRPr="00D9600A">
        <w:t>Wegeler</w:t>
      </w:r>
      <w:proofErr w:type="spellEnd"/>
      <w:r w:rsidR="006E4938" w:rsidRPr="00D9600A">
        <w:t xml:space="preserve"> U, </w:t>
      </w:r>
      <w:proofErr w:type="spellStart"/>
      <w:r w:rsidR="0069787B" w:rsidRPr="00D9600A">
        <w:t>Eulenfield</w:t>
      </w:r>
      <w:proofErr w:type="spellEnd"/>
      <w:r w:rsidR="0069787B" w:rsidRPr="00D9600A">
        <w:t xml:space="preserve"> </w:t>
      </w:r>
      <w:r w:rsidR="006E4938" w:rsidRPr="00D9600A">
        <w:t xml:space="preserve">T </w:t>
      </w:r>
      <w:r w:rsidR="0069787B" w:rsidRPr="00D9600A">
        <w:t>(2023) On the trail of fluids in the northernmost intracontinental earthquake swarm areas of the Leipzig-Regensburg fault zone, Germany. J</w:t>
      </w:r>
      <w:r w:rsidR="00327534" w:rsidRPr="00D9600A">
        <w:t>ournal of</w:t>
      </w:r>
      <w:r w:rsidR="0069787B" w:rsidRPr="00D9600A">
        <w:t xml:space="preserve"> Seismol</w:t>
      </w:r>
      <w:r w:rsidR="009C41D3" w:rsidRPr="00D9600A">
        <w:t>ogy</w:t>
      </w:r>
      <w:r w:rsidR="006E4938" w:rsidRPr="00D9600A">
        <w:t xml:space="preserve"> </w:t>
      </w:r>
      <w:r w:rsidR="0069787B" w:rsidRPr="00D9600A">
        <w:t xml:space="preserve">27:573–597. </w:t>
      </w:r>
      <w:hyperlink r:id="rId74" w:history="1">
        <w:r w:rsidR="00337AF0" w:rsidRPr="00D9600A">
          <w:rPr>
            <w:rStyle w:val="Hyperlink"/>
          </w:rPr>
          <w:t>https://doi.org/10.1007/s10950-023-10146-8</w:t>
        </w:r>
      </w:hyperlink>
    </w:p>
    <w:p w14:paraId="575F3228" w14:textId="5D6D594F" w:rsidR="007B10F9" w:rsidRPr="00D9600A" w:rsidRDefault="007B10F9" w:rsidP="00F63AD9">
      <w:pPr>
        <w:pStyle w:val="References"/>
        <w:jc w:val="both"/>
      </w:pPr>
      <w:r w:rsidRPr="00D9600A">
        <w:t xml:space="preserve">Wiest JD, Fossen </w:t>
      </w:r>
      <w:r w:rsidR="009C41D3" w:rsidRPr="00D9600A">
        <w:t>H</w:t>
      </w:r>
      <w:r w:rsidRPr="00D9600A">
        <w:t xml:space="preserve">, Jacobs </w:t>
      </w:r>
      <w:r w:rsidR="009C41D3" w:rsidRPr="00D9600A">
        <w:t xml:space="preserve">J </w:t>
      </w:r>
      <w:r w:rsidRPr="00D9600A">
        <w:t>(202</w:t>
      </w:r>
      <w:r w:rsidR="00271010" w:rsidRPr="00D9600A">
        <w:t xml:space="preserve">0) </w:t>
      </w:r>
      <w:r w:rsidRPr="00D9600A">
        <w:t>Shear zone evolution during core complex exhumation – Implications for continental detachments</w:t>
      </w:r>
      <w:r w:rsidR="00271010" w:rsidRPr="00D9600A">
        <w:t xml:space="preserve">. Journal of </w:t>
      </w:r>
      <w:r w:rsidR="002F3420" w:rsidRPr="00D9600A">
        <w:t xml:space="preserve">Structural </w:t>
      </w:r>
      <w:r w:rsidR="00271010" w:rsidRPr="00D9600A">
        <w:t>Geology</w:t>
      </w:r>
      <w:r w:rsidR="00543BF2" w:rsidRPr="00D9600A">
        <w:t xml:space="preserve">. </w:t>
      </w:r>
      <w:hyperlink r:id="rId75" w:history="1">
        <w:r w:rsidR="0009789F" w:rsidRPr="00D9600A">
          <w:rPr>
            <w:rStyle w:val="Hyperlink"/>
          </w:rPr>
          <w:t>https://doi.org/10.1016/j.jsg.2020.104139</w:t>
        </w:r>
      </w:hyperlink>
    </w:p>
    <w:p w14:paraId="08E3DAB6" w14:textId="73153F01" w:rsidR="0009789F" w:rsidRPr="00D9600A" w:rsidRDefault="0009789F" w:rsidP="00DD4437">
      <w:pPr>
        <w:pStyle w:val="References"/>
        <w:jc w:val="both"/>
      </w:pPr>
      <w:r w:rsidRPr="00D9600A">
        <w:t>Woo G</w:t>
      </w:r>
      <w:r w:rsidR="00111235" w:rsidRPr="00D9600A">
        <w:t xml:space="preserve"> </w:t>
      </w:r>
      <w:r w:rsidRPr="00D9600A">
        <w:t>(1996)</w:t>
      </w:r>
      <w:r w:rsidR="00111235" w:rsidRPr="00D9600A">
        <w:t xml:space="preserve"> </w:t>
      </w:r>
      <w:r w:rsidRPr="00D9600A">
        <w:t xml:space="preserve">Kernel Estimation Methods for Seismic Hazard Area Source </w:t>
      </w:r>
      <w:proofErr w:type="spellStart"/>
      <w:r w:rsidRPr="00D9600A">
        <w:t>Modeling</w:t>
      </w:r>
      <w:proofErr w:type="spellEnd"/>
      <w:r w:rsidR="009A2AB1" w:rsidRPr="00D9600A">
        <w:t xml:space="preserve">. </w:t>
      </w:r>
      <w:r w:rsidRPr="00D9600A">
        <w:t>Bulletin of the Seismological Society of America 86</w:t>
      </w:r>
      <w:r w:rsidR="009A2AB1" w:rsidRPr="00D9600A">
        <w:t>(</w:t>
      </w:r>
      <w:r w:rsidRPr="00D9600A">
        <w:t>2</w:t>
      </w:r>
      <w:r w:rsidR="009A2AB1" w:rsidRPr="00D9600A">
        <w:t>):</w:t>
      </w:r>
      <w:r w:rsidRPr="00D9600A">
        <w:t>353–362.</w:t>
      </w:r>
      <w:r w:rsidR="009A2AB1" w:rsidRPr="00D9600A">
        <w:t xml:space="preserve"> </w:t>
      </w:r>
      <w:hyperlink r:id="rId76" w:history="1">
        <w:r w:rsidR="009A2AB1" w:rsidRPr="00D9600A">
          <w:rPr>
            <w:rStyle w:val="Hyperlink"/>
          </w:rPr>
          <w:t>https://doi.org/10.1785/BSSA0860020353</w:t>
        </w:r>
      </w:hyperlink>
    </w:p>
    <w:p w14:paraId="5699D71F" w14:textId="26A22E49" w:rsidR="00337AF0" w:rsidRPr="00D9600A" w:rsidRDefault="00337AF0" w:rsidP="007B10F9">
      <w:pPr>
        <w:pStyle w:val="References"/>
      </w:pPr>
    </w:p>
    <w:sectPr w:rsidR="00337AF0" w:rsidRPr="00D9600A">
      <w:headerReference w:type="default" r:id="rId77"/>
      <w:footerReference w:type="default" r:id="rId7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139109" w14:textId="77777777" w:rsidR="006D0141" w:rsidRDefault="006D0141" w:rsidP="005C3382">
      <w:pPr>
        <w:spacing w:after="0" w:line="240" w:lineRule="auto"/>
      </w:pPr>
      <w:r>
        <w:separator/>
      </w:r>
    </w:p>
  </w:endnote>
  <w:endnote w:type="continuationSeparator" w:id="0">
    <w:p w14:paraId="410D7CAD" w14:textId="77777777" w:rsidR="006D0141" w:rsidRDefault="006D0141" w:rsidP="005C3382">
      <w:pPr>
        <w:spacing w:after="0" w:line="240" w:lineRule="auto"/>
      </w:pPr>
      <w:r>
        <w:continuationSeparator/>
      </w:r>
    </w:p>
  </w:endnote>
  <w:endnote w:type="continuationNotice" w:id="1">
    <w:p w14:paraId="438A5537" w14:textId="77777777" w:rsidR="006D0141" w:rsidRDefault="006D01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9013466"/>
      <w:docPartObj>
        <w:docPartGallery w:val="Page Numbers (Bottom of Page)"/>
        <w:docPartUnique/>
      </w:docPartObj>
    </w:sdtPr>
    <w:sdtEndPr/>
    <w:sdtContent>
      <w:p w14:paraId="364ABA53" w14:textId="39C3410F" w:rsidR="005C3382" w:rsidRDefault="005C3382">
        <w:pPr>
          <w:pStyle w:val="Footer"/>
          <w:jc w:val="right"/>
        </w:pPr>
        <w:r>
          <w:fldChar w:fldCharType="begin"/>
        </w:r>
        <w:r>
          <w:instrText>PAGE   \* MERGEFORMAT</w:instrText>
        </w:r>
        <w:r>
          <w:fldChar w:fldCharType="separate"/>
        </w:r>
        <w:r>
          <w:t>2</w:t>
        </w:r>
        <w:r>
          <w:fldChar w:fldCharType="end"/>
        </w:r>
      </w:p>
    </w:sdtContent>
  </w:sdt>
  <w:p w14:paraId="4237D150" w14:textId="77777777" w:rsidR="005C3382" w:rsidRDefault="005C33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B01E67" w14:textId="77777777" w:rsidR="006D0141" w:rsidRDefault="006D0141" w:rsidP="005C3382">
      <w:pPr>
        <w:spacing w:after="0" w:line="240" w:lineRule="auto"/>
      </w:pPr>
      <w:r>
        <w:separator/>
      </w:r>
    </w:p>
  </w:footnote>
  <w:footnote w:type="continuationSeparator" w:id="0">
    <w:p w14:paraId="45175CDA" w14:textId="77777777" w:rsidR="006D0141" w:rsidRDefault="006D0141" w:rsidP="005C3382">
      <w:pPr>
        <w:spacing w:after="0" w:line="240" w:lineRule="auto"/>
      </w:pPr>
      <w:r>
        <w:continuationSeparator/>
      </w:r>
    </w:p>
  </w:footnote>
  <w:footnote w:type="continuationNotice" w:id="1">
    <w:p w14:paraId="5C65514A" w14:textId="77777777" w:rsidR="006D0141" w:rsidRDefault="006D01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2D108" w14:textId="77777777" w:rsidR="00B6722C" w:rsidRDefault="00B672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493B00"/>
    <w:multiLevelType w:val="hybridMultilevel"/>
    <w:tmpl w:val="68DAFD86"/>
    <w:lvl w:ilvl="0" w:tplc="04140001">
      <w:start w:val="1"/>
      <w:numFmt w:val="bullet"/>
      <w:lvlText w:val=""/>
      <w:lvlJc w:val="left"/>
      <w:pPr>
        <w:ind w:left="1077" w:hanging="360"/>
      </w:pPr>
      <w:rPr>
        <w:rFonts w:ascii="Symbol" w:hAnsi="Symbol" w:hint="default"/>
      </w:rPr>
    </w:lvl>
    <w:lvl w:ilvl="1" w:tplc="04140003" w:tentative="1">
      <w:start w:val="1"/>
      <w:numFmt w:val="bullet"/>
      <w:lvlText w:val="o"/>
      <w:lvlJc w:val="left"/>
      <w:pPr>
        <w:ind w:left="1797" w:hanging="360"/>
      </w:pPr>
      <w:rPr>
        <w:rFonts w:ascii="Courier New" w:hAnsi="Courier New" w:cs="Courier New" w:hint="default"/>
      </w:rPr>
    </w:lvl>
    <w:lvl w:ilvl="2" w:tplc="04140005" w:tentative="1">
      <w:start w:val="1"/>
      <w:numFmt w:val="bullet"/>
      <w:lvlText w:val=""/>
      <w:lvlJc w:val="left"/>
      <w:pPr>
        <w:ind w:left="2517" w:hanging="360"/>
      </w:pPr>
      <w:rPr>
        <w:rFonts w:ascii="Wingdings" w:hAnsi="Wingdings" w:hint="default"/>
      </w:rPr>
    </w:lvl>
    <w:lvl w:ilvl="3" w:tplc="04140001" w:tentative="1">
      <w:start w:val="1"/>
      <w:numFmt w:val="bullet"/>
      <w:lvlText w:val=""/>
      <w:lvlJc w:val="left"/>
      <w:pPr>
        <w:ind w:left="3237" w:hanging="360"/>
      </w:pPr>
      <w:rPr>
        <w:rFonts w:ascii="Symbol" w:hAnsi="Symbol" w:hint="default"/>
      </w:rPr>
    </w:lvl>
    <w:lvl w:ilvl="4" w:tplc="04140003" w:tentative="1">
      <w:start w:val="1"/>
      <w:numFmt w:val="bullet"/>
      <w:lvlText w:val="o"/>
      <w:lvlJc w:val="left"/>
      <w:pPr>
        <w:ind w:left="3957" w:hanging="360"/>
      </w:pPr>
      <w:rPr>
        <w:rFonts w:ascii="Courier New" w:hAnsi="Courier New" w:cs="Courier New" w:hint="default"/>
      </w:rPr>
    </w:lvl>
    <w:lvl w:ilvl="5" w:tplc="04140005" w:tentative="1">
      <w:start w:val="1"/>
      <w:numFmt w:val="bullet"/>
      <w:lvlText w:val=""/>
      <w:lvlJc w:val="left"/>
      <w:pPr>
        <w:ind w:left="4677" w:hanging="360"/>
      </w:pPr>
      <w:rPr>
        <w:rFonts w:ascii="Wingdings" w:hAnsi="Wingdings" w:hint="default"/>
      </w:rPr>
    </w:lvl>
    <w:lvl w:ilvl="6" w:tplc="04140001" w:tentative="1">
      <w:start w:val="1"/>
      <w:numFmt w:val="bullet"/>
      <w:lvlText w:val=""/>
      <w:lvlJc w:val="left"/>
      <w:pPr>
        <w:ind w:left="5397" w:hanging="360"/>
      </w:pPr>
      <w:rPr>
        <w:rFonts w:ascii="Symbol" w:hAnsi="Symbol" w:hint="default"/>
      </w:rPr>
    </w:lvl>
    <w:lvl w:ilvl="7" w:tplc="04140003" w:tentative="1">
      <w:start w:val="1"/>
      <w:numFmt w:val="bullet"/>
      <w:lvlText w:val="o"/>
      <w:lvlJc w:val="left"/>
      <w:pPr>
        <w:ind w:left="6117" w:hanging="360"/>
      </w:pPr>
      <w:rPr>
        <w:rFonts w:ascii="Courier New" w:hAnsi="Courier New" w:cs="Courier New" w:hint="default"/>
      </w:rPr>
    </w:lvl>
    <w:lvl w:ilvl="8" w:tplc="04140005" w:tentative="1">
      <w:start w:val="1"/>
      <w:numFmt w:val="bullet"/>
      <w:lvlText w:val=""/>
      <w:lvlJc w:val="left"/>
      <w:pPr>
        <w:ind w:left="6837" w:hanging="360"/>
      </w:pPr>
      <w:rPr>
        <w:rFonts w:ascii="Wingdings" w:hAnsi="Wingdings" w:hint="default"/>
      </w:rPr>
    </w:lvl>
  </w:abstractNum>
  <w:abstractNum w:abstractNumId="1" w15:restartNumberingAfterBreak="0">
    <w:nsid w:val="610661E4"/>
    <w:multiLevelType w:val="hybridMultilevel"/>
    <w:tmpl w:val="554CB1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61233B0D"/>
    <w:multiLevelType w:val="multilevel"/>
    <w:tmpl w:val="BC1C0C10"/>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810826144">
    <w:abstractNumId w:val="1"/>
  </w:num>
  <w:num w:numId="2" w16cid:durableId="1767535872">
    <w:abstractNumId w:val="2"/>
  </w:num>
  <w:num w:numId="3" w16cid:durableId="839463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37F"/>
    <w:rsid w:val="0000093B"/>
    <w:rsid w:val="00003C48"/>
    <w:rsid w:val="0000404B"/>
    <w:rsid w:val="0000482B"/>
    <w:rsid w:val="00004D81"/>
    <w:rsid w:val="00006283"/>
    <w:rsid w:val="000067BA"/>
    <w:rsid w:val="00011561"/>
    <w:rsid w:val="00011AF9"/>
    <w:rsid w:val="00011F56"/>
    <w:rsid w:val="0001210F"/>
    <w:rsid w:val="00014855"/>
    <w:rsid w:val="000148B7"/>
    <w:rsid w:val="000157E2"/>
    <w:rsid w:val="00022CDC"/>
    <w:rsid w:val="000233D3"/>
    <w:rsid w:val="00024C89"/>
    <w:rsid w:val="00024DEB"/>
    <w:rsid w:val="000271D4"/>
    <w:rsid w:val="00027B7A"/>
    <w:rsid w:val="00030F2E"/>
    <w:rsid w:val="000329FE"/>
    <w:rsid w:val="000333C8"/>
    <w:rsid w:val="000333D3"/>
    <w:rsid w:val="000344F7"/>
    <w:rsid w:val="000347E1"/>
    <w:rsid w:val="00036B14"/>
    <w:rsid w:val="000424FA"/>
    <w:rsid w:val="00047965"/>
    <w:rsid w:val="00050DDD"/>
    <w:rsid w:val="00050F0C"/>
    <w:rsid w:val="00051AE3"/>
    <w:rsid w:val="00053D2A"/>
    <w:rsid w:val="00054EDC"/>
    <w:rsid w:val="00055E0A"/>
    <w:rsid w:val="00057D6B"/>
    <w:rsid w:val="00060982"/>
    <w:rsid w:val="00063DB6"/>
    <w:rsid w:val="00064D67"/>
    <w:rsid w:val="00071DB7"/>
    <w:rsid w:val="0007242C"/>
    <w:rsid w:val="000731A3"/>
    <w:rsid w:val="0007712B"/>
    <w:rsid w:val="000853FB"/>
    <w:rsid w:val="00086132"/>
    <w:rsid w:val="00086453"/>
    <w:rsid w:val="0009000C"/>
    <w:rsid w:val="00090519"/>
    <w:rsid w:val="00091AB1"/>
    <w:rsid w:val="00091C75"/>
    <w:rsid w:val="000949C0"/>
    <w:rsid w:val="0009789F"/>
    <w:rsid w:val="000A4176"/>
    <w:rsid w:val="000A6192"/>
    <w:rsid w:val="000B3829"/>
    <w:rsid w:val="000B66E6"/>
    <w:rsid w:val="000C2260"/>
    <w:rsid w:val="000C48E6"/>
    <w:rsid w:val="000C4D56"/>
    <w:rsid w:val="000D0B0C"/>
    <w:rsid w:val="000D172A"/>
    <w:rsid w:val="000D3E2A"/>
    <w:rsid w:val="000E0D8B"/>
    <w:rsid w:val="000E0F60"/>
    <w:rsid w:val="000F0FF5"/>
    <w:rsid w:val="000F5890"/>
    <w:rsid w:val="00100CAD"/>
    <w:rsid w:val="00102CB9"/>
    <w:rsid w:val="00111235"/>
    <w:rsid w:val="00116DD8"/>
    <w:rsid w:val="001222BC"/>
    <w:rsid w:val="0012793E"/>
    <w:rsid w:val="001304BD"/>
    <w:rsid w:val="001321DE"/>
    <w:rsid w:val="00133EAF"/>
    <w:rsid w:val="00135ED3"/>
    <w:rsid w:val="001402A0"/>
    <w:rsid w:val="001420CB"/>
    <w:rsid w:val="00145DA5"/>
    <w:rsid w:val="00146473"/>
    <w:rsid w:val="00146ED9"/>
    <w:rsid w:val="001477F8"/>
    <w:rsid w:val="001520AD"/>
    <w:rsid w:val="00154348"/>
    <w:rsid w:val="0015459F"/>
    <w:rsid w:val="001600D3"/>
    <w:rsid w:val="00160C47"/>
    <w:rsid w:val="00161916"/>
    <w:rsid w:val="00162D42"/>
    <w:rsid w:val="00163754"/>
    <w:rsid w:val="00166FF0"/>
    <w:rsid w:val="00167BF7"/>
    <w:rsid w:val="00171259"/>
    <w:rsid w:val="00171A05"/>
    <w:rsid w:val="001737FD"/>
    <w:rsid w:val="00174E7A"/>
    <w:rsid w:val="00175D8A"/>
    <w:rsid w:val="001776C6"/>
    <w:rsid w:val="00181B42"/>
    <w:rsid w:val="00182721"/>
    <w:rsid w:val="00183270"/>
    <w:rsid w:val="00187E2D"/>
    <w:rsid w:val="0019137F"/>
    <w:rsid w:val="00193166"/>
    <w:rsid w:val="00193463"/>
    <w:rsid w:val="00196FA0"/>
    <w:rsid w:val="001970CC"/>
    <w:rsid w:val="001A6586"/>
    <w:rsid w:val="001A7268"/>
    <w:rsid w:val="001B0DF1"/>
    <w:rsid w:val="001B287D"/>
    <w:rsid w:val="001B369A"/>
    <w:rsid w:val="001B3E42"/>
    <w:rsid w:val="001B478D"/>
    <w:rsid w:val="001B6DE3"/>
    <w:rsid w:val="001B7C6A"/>
    <w:rsid w:val="001C3507"/>
    <w:rsid w:val="001C365E"/>
    <w:rsid w:val="001C377D"/>
    <w:rsid w:val="001C4BAE"/>
    <w:rsid w:val="001C58A4"/>
    <w:rsid w:val="001D41BA"/>
    <w:rsid w:val="001D568F"/>
    <w:rsid w:val="001D7B1C"/>
    <w:rsid w:val="001D7D0A"/>
    <w:rsid w:val="001E069A"/>
    <w:rsid w:val="001E0EF9"/>
    <w:rsid w:val="001E149C"/>
    <w:rsid w:val="001E514C"/>
    <w:rsid w:val="001E57F4"/>
    <w:rsid w:val="001E6658"/>
    <w:rsid w:val="001F09FF"/>
    <w:rsid w:val="001F42AE"/>
    <w:rsid w:val="001F72AA"/>
    <w:rsid w:val="001F7D8C"/>
    <w:rsid w:val="0020219B"/>
    <w:rsid w:val="00202C64"/>
    <w:rsid w:val="00206587"/>
    <w:rsid w:val="00210F4C"/>
    <w:rsid w:val="00211B50"/>
    <w:rsid w:val="0021235F"/>
    <w:rsid w:val="00212D2D"/>
    <w:rsid w:val="00213304"/>
    <w:rsid w:val="0021343F"/>
    <w:rsid w:val="002145F4"/>
    <w:rsid w:val="00214800"/>
    <w:rsid w:val="00214894"/>
    <w:rsid w:val="0022062D"/>
    <w:rsid w:val="0023353A"/>
    <w:rsid w:val="00233B97"/>
    <w:rsid w:val="00235A01"/>
    <w:rsid w:val="00235CB5"/>
    <w:rsid w:val="00237E0D"/>
    <w:rsid w:val="00237E2F"/>
    <w:rsid w:val="002456A5"/>
    <w:rsid w:val="00245E02"/>
    <w:rsid w:val="00247EDC"/>
    <w:rsid w:val="00250096"/>
    <w:rsid w:val="002526EB"/>
    <w:rsid w:val="00253CB0"/>
    <w:rsid w:val="00254D13"/>
    <w:rsid w:val="00261DCF"/>
    <w:rsid w:val="00262336"/>
    <w:rsid w:val="00262B3E"/>
    <w:rsid w:val="00263775"/>
    <w:rsid w:val="0026707B"/>
    <w:rsid w:val="002670EF"/>
    <w:rsid w:val="002709F3"/>
    <w:rsid w:val="00271010"/>
    <w:rsid w:val="00273E9C"/>
    <w:rsid w:val="0027411A"/>
    <w:rsid w:val="002762D7"/>
    <w:rsid w:val="00276B7E"/>
    <w:rsid w:val="00276D12"/>
    <w:rsid w:val="00276F62"/>
    <w:rsid w:val="0028036B"/>
    <w:rsid w:val="00280D0F"/>
    <w:rsid w:val="0028642E"/>
    <w:rsid w:val="00293F20"/>
    <w:rsid w:val="0029553D"/>
    <w:rsid w:val="00296797"/>
    <w:rsid w:val="002A000D"/>
    <w:rsid w:val="002A212B"/>
    <w:rsid w:val="002A2DAA"/>
    <w:rsid w:val="002A7F6D"/>
    <w:rsid w:val="002B138A"/>
    <w:rsid w:val="002B1BEE"/>
    <w:rsid w:val="002B4F9C"/>
    <w:rsid w:val="002C271A"/>
    <w:rsid w:val="002C2E81"/>
    <w:rsid w:val="002C3D61"/>
    <w:rsid w:val="002C4670"/>
    <w:rsid w:val="002C4884"/>
    <w:rsid w:val="002C653E"/>
    <w:rsid w:val="002D2C21"/>
    <w:rsid w:val="002D365E"/>
    <w:rsid w:val="002D3DAB"/>
    <w:rsid w:val="002D744D"/>
    <w:rsid w:val="002E3BB1"/>
    <w:rsid w:val="002E3D52"/>
    <w:rsid w:val="002E4DBB"/>
    <w:rsid w:val="002E547E"/>
    <w:rsid w:val="002E6166"/>
    <w:rsid w:val="002F13BF"/>
    <w:rsid w:val="002F3420"/>
    <w:rsid w:val="002F3D58"/>
    <w:rsid w:val="002F5E12"/>
    <w:rsid w:val="002F7140"/>
    <w:rsid w:val="002F7914"/>
    <w:rsid w:val="00300C71"/>
    <w:rsid w:val="00301C35"/>
    <w:rsid w:val="00302F89"/>
    <w:rsid w:val="00307B81"/>
    <w:rsid w:val="00311D85"/>
    <w:rsid w:val="00312D6B"/>
    <w:rsid w:val="00314D80"/>
    <w:rsid w:val="003167F1"/>
    <w:rsid w:val="00320AEE"/>
    <w:rsid w:val="00321551"/>
    <w:rsid w:val="0032253D"/>
    <w:rsid w:val="003232E5"/>
    <w:rsid w:val="0032371D"/>
    <w:rsid w:val="00326D3D"/>
    <w:rsid w:val="00327534"/>
    <w:rsid w:val="0032798D"/>
    <w:rsid w:val="00331415"/>
    <w:rsid w:val="00331FC1"/>
    <w:rsid w:val="00333D51"/>
    <w:rsid w:val="003368C7"/>
    <w:rsid w:val="00336BC2"/>
    <w:rsid w:val="00337593"/>
    <w:rsid w:val="00337AF0"/>
    <w:rsid w:val="00340C48"/>
    <w:rsid w:val="003417EE"/>
    <w:rsid w:val="00341FD3"/>
    <w:rsid w:val="003469D5"/>
    <w:rsid w:val="00347016"/>
    <w:rsid w:val="003500B7"/>
    <w:rsid w:val="00350582"/>
    <w:rsid w:val="00351430"/>
    <w:rsid w:val="0035167E"/>
    <w:rsid w:val="003569B4"/>
    <w:rsid w:val="00362998"/>
    <w:rsid w:val="0036536B"/>
    <w:rsid w:val="0036595D"/>
    <w:rsid w:val="003669B3"/>
    <w:rsid w:val="00370261"/>
    <w:rsid w:val="00372E4A"/>
    <w:rsid w:val="00372ED8"/>
    <w:rsid w:val="00372F34"/>
    <w:rsid w:val="0037698E"/>
    <w:rsid w:val="00376D3A"/>
    <w:rsid w:val="003773FE"/>
    <w:rsid w:val="003805C2"/>
    <w:rsid w:val="00380A76"/>
    <w:rsid w:val="003864B7"/>
    <w:rsid w:val="00386C10"/>
    <w:rsid w:val="00387311"/>
    <w:rsid w:val="00387677"/>
    <w:rsid w:val="0039157E"/>
    <w:rsid w:val="00393BF8"/>
    <w:rsid w:val="00394A73"/>
    <w:rsid w:val="003953CB"/>
    <w:rsid w:val="00395F74"/>
    <w:rsid w:val="003962FE"/>
    <w:rsid w:val="003A0C15"/>
    <w:rsid w:val="003A23D5"/>
    <w:rsid w:val="003A328C"/>
    <w:rsid w:val="003A72A0"/>
    <w:rsid w:val="003A7C54"/>
    <w:rsid w:val="003B0DB1"/>
    <w:rsid w:val="003B3BBD"/>
    <w:rsid w:val="003B4BA9"/>
    <w:rsid w:val="003B774A"/>
    <w:rsid w:val="003C0C34"/>
    <w:rsid w:val="003C1A49"/>
    <w:rsid w:val="003D2528"/>
    <w:rsid w:val="003E1FEC"/>
    <w:rsid w:val="003E2405"/>
    <w:rsid w:val="003E66DA"/>
    <w:rsid w:val="003F0E5C"/>
    <w:rsid w:val="003F11DD"/>
    <w:rsid w:val="003F231A"/>
    <w:rsid w:val="003F2F48"/>
    <w:rsid w:val="003F58DD"/>
    <w:rsid w:val="004046E3"/>
    <w:rsid w:val="00406DF7"/>
    <w:rsid w:val="0040702F"/>
    <w:rsid w:val="00407CE8"/>
    <w:rsid w:val="004120CE"/>
    <w:rsid w:val="004128E5"/>
    <w:rsid w:val="004139DB"/>
    <w:rsid w:val="0041794B"/>
    <w:rsid w:val="00421D74"/>
    <w:rsid w:val="00421EF0"/>
    <w:rsid w:val="00424BE2"/>
    <w:rsid w:val="00425292"/>
    <w:rsid w:val="004302BE"/>
    <w:rsid w:val="004329C2"/>
    <w:rsid w:val="0043673E"/>
    <w:rsid w:val="00436F6D"/>
    <w:rsid w:val="0043763E"/>
    <w:rsid w:val="00443A0D"/>
    <w:rsid w:val="004448FF"/>
    <w:rsid w:val="00444C6C"/>
    <w:rsid w:val="00445015"/>
    <w:rsid w:val="00446C92"/>
    <w:rsid w:val="00446E22"/>
    <w:rsid w:val="0045068E"/>
    <w:rsid w:val="004511DF"/>
    <w:rsid w:val="004518E3"/>
    <w:rsid w:val="00452A43"/>
    <w:rsid w:val="00452EC6"/>
    <w:rsid w:val="00454494"/>
    <w:rsid w:val="0045762A"/>
    <w:rsid w:val="00457C1E"/>
    <w:rsid w:val="0046031D"/>
    <w:rsid w:val="004616B1"/>
    <w:rsid w:val="00464B2C"/>
    <w:rsid w:val="004651A3"/>
    <w:rsid w:val="00465406"/>
    <w:rsid w:val="00470109"/>
    <w:rsid w:val="00470B05"/>
    <w:rsid w:val="0047187E"/>
    <w:rsid w:val="00472694"/>
    <w:rsid w:val="00473570"/>
    <w:rsid w:val="0047627D"/>
    <w:rsid w:val="00477600"/>
    <w:rsid w:val="00480CDC"/>
    <w:rsid w:val="004815A7"/>
    <w:rsid w:val="004840A3"/>
    <w:rsid w:val="004854AC"/>
    <w:rsid w:val="00485840"/>
    <w:rsid w:val="00493A41"/>
    <w:rsid w:val="00494B0E"/>
    <w:rsid w:val="004965F7"/>
    <w:rsid w:val="004A09B8"/>
    <w:rsid w:val="004A0A92"/>
    <w:rsid w:val="004A2866"/>
    <w:rsid w:val="004A4C80"/>
    <w:rsid w:val="004A6D18"/>
    <w:rsid w:val="004A6D5E"/>
    <w:rsid w:val="004B1F09"/>
    <w:rsid w:val="004B6B06"/>
    <w:rsid w:val="004B7126"/>
    <w:rsid w:val="004C2477"/>
    <w:rsid w:val="004C2E84"/>
    <w:rsid w:val="004C4246"/>
    <w:rsid w:val="004C7010"/>
    <w:rsid w:val="004D0039"/>
    <w:rsid w:val="004D18DE"/>
    <w:rsid w:val="004D3A5E"/>
    <w:rsid w:val="004D3D88"/>
    <w:rsid w:val="004D4920"/>
    <w:rsid w:val="004D4A94"/>
    <w:rsid w:val="004E21BD"/>
    <w:rsid w:val="004E337E"/>
    <w:rsid w:val="004E3785"/>
    <w:rsid w:val="004E6D4D"/>
    <w:rsid w:val="004F0D1E"/>
    <w:rsid w:val="004F136C"/>
    <w:rsid w:val="004F144F"/>
    <w:rsid w:val="004F4506"/>
    <w:rsid w:val="004F609C"/>
    <w:rsid w:val="004F6D44"/>
    <w:rsid w:val="004F79CF"/>
    <w:rsid w:val="00503DFE"/>
    <w:rsid w:val="0050593E"/>
    <w:rsid w:val="00507B33"/>
    <w:rsid w:val="005102B7"/>
    <w:rsid w:val="0051178F"/>
    <w:rsid w:val="005128C4"/>
    <w:rsid w:val="00513B66"/>
    <w:rsid w:val="00516E83"/>
    <w:rsid w:val="005215F4"/>
    <w:rsid w:val="00521D10"/>
    <w:rsid w:val="00527963"/>
    <w:rsid w:val="0053230E"/>
    <w:rsid w:val="005324DC"/>
    <w:rsid w:val="005325EC"/>
    <w:rsid w:val="00533C85"/>
    <w:rsid w:val="00535EC9"/>
    <w:rsid w:val="00537D42"/>
    <w:rsid w:val="00541162"/>
    <w:rsid w:val="00542861"/>
    <w:rsid w:val="00543BF2"/>
    <w:rsid w:val="00550FB4"/>
    <w:rsid w:val="00551CA2"/>
    <w:rsid w:val="00553835"/>
    <w:rsid w:val="00554445"/>
    <w:rsid w:val="00554C89"/>
    <w:rsid w:val="00554D36"/>
    <w:rsid w:val="005613A9"/>
    <w:rsid w:val="00561B23"/>
    <w:rsid w:val="005626DC"/>
    <w:rsid w:val="00563BC1"/>
    <w:rsid w:val="00564E1E"/>
    <w:rsid w:val="005652E2"/>
    <w:rsid w:val="0056619A"/>
    <w:rsid w:val="00566695"/>
    <w:rsid w:val="005678EA"/>
    <w:rsid w:val="00567BB7"/>
    <w:rsid w:val="00570471"/>
    <w:rsid w:val="0057391D"/>
    <w:rsid w:val="0057433E"/>
    <w:rsid w:val="00575C16"/>
    <w:rsid w:val="005800BA"/>
    <w:rsid w:val="0058217A"/>
    <w:rsid w:val="00583FBA"/>
    <w:rsid w:val="005853F1"/>
    <w:rsid w:val="00585EA4"/>
    <w:rsid w:val="00586800"/>
    <w:rsid w:val="005870D2"/>
    <w:rsid w:val="00591E61"/>
    <w:rsid w:val="005921BD"/>
    <w:rsid w:val="005950C5"/>
    <w:rsid w:val="005972B5"/>
    <w:rsid w:val="00597AF0"/>
    <w:rsid w:val="005A3A65"/>
    <w:rsid w:val="005A3F8B"/>
    <w:rsid w:val="005A4945"/>
    <w:rsid w:val="005A73F3"/>
    <w:rsid w:val="005A767B"/>
    <w:rsid w:val="005B0BE8"/>
    <w:rsid w:val="005B3C21"/>
    <w:rsid w:val="005B4813"/>
    <w:rsid w:val="005B4F4B"/>
    <w:rsid w:val="005C160E"/>
    <w:rsid w:val="005C3382"/>
    <w:rsid w:val="005C3532"/>
    <w:rsid w:val="005C471C"/>
    <w:rsid w:val="005C5826"/>
    <w:rsid w:val="005D1141"/>
    <w:rsid w:val="005D7583"/>
    <w:rsid w:val="005E1CD8"/>
    <w:rsid w:val="005E2A55"/>
    <w:rsid w:val="005E507D"/>
    <w:rsid w:val="005F534A"/>
    <w:rsid w:val="005F580D"/>
    <w:rsid w:val="005F6ADC"/>
    <w:rsid w:val="00600EB5"/>
    <w:rsid w:val="006010B0"/>
    <w:rsid w:val="00601A20"/>
    <w:rsid w:val="0060427E"/>
    <w:rsid w:val="00604456"/>
    <w:rsid w:val="00605701"/>
    <w:rsid w:val="00611D57"/>
    <w:rsid w:val="00616C5A"/>
    <w:rsid w:val="006234EF"/>
    <w:rsid w:val="00624E7C"/>
    <w:rsid w:val="00626BEC"/>
    <w:rsid w:val="00631E96"/>
    <w:rsid w:val="00634148"/>
    <w:rsid w:val="006349C4"/>
    <w:rsid w:val="00637D71"/>
    <w:rsid w:val="00641FD2"/>
    <w:rsid w:val="0064438C"/>
    <w:rsid w:val="00646810"/>
    <w:rsid w:val="00652D56"/>
    <w:rsid w:val="00653873"/>
    <w:rsid w:val="00653CB7"/>
    <w:rsid w:val="00657793"/>
    <w:rsid w:val="006616B6"/>
    <w:rsid w:val="00662B06"/>
    <w:rsid w:val="00662CC2"/>
    <w:rsid w:val="00672F9D"/>
    <w:rsid w:val="0067304D"/>
    <w:rsid w:val="00674CC4"/>
    <w:rsid w:val="00675D55"/>
    <w:rsid w:val="006820BA"/>
    <w:rsid w:val="00682E0E"/>
    <w:rsid w:val="00682F02"/>
    <w:rsid w:val="00683FFE"/>
    <w:rsid w:val="0068437D"/>
    <w:rsid w:val="006913F8"/>
    <w:rsid w:val="00692672"/>
    <w:rsid w:val="00693A12"/>
    <w:rsid w:val="0069787B"/>
    <w:rsid w:val="00697E44"/>
    <w:rsid w:val="006A1BDD"/>
    <w:rsid w:val="006A1F99"/>
    <w:rsid w:val="006A226B"/>
    <w:rsid w:val="006A24D4"/>
    <w:rsid w:val="006A32BE"/>
    <w:rsid w:val="006A3736"/>
    <w:rsid w:val="006A6DC0"/>
    <w:rsid w:val="006A6EBC"/>
    <w:rsid w:val="006A7DC1"/>
    <w:rsid w:val="006B0DFF"/>
    <w:rsid w:val="006B10A4"/>
    <w:rsid w:val="006B2343"/>
    <w:rsid w:val="006B5B36"/>
    <w:rsid w:val="006B5FF5"/>
    <w:rsid w:val="006B79E3"/>
    <w:rsid w:val="006C0BF8"/>
    <w:rsid w:val="006C1D33"/>
    <w:rsid w:val="006C38A6"/>
    <w:rsid w:val="006C4518"/>
    <w:rsid w:val="006D0141"/>
    <w:rsid w:val="006D27DC"/>
    <w:rsid w:val="006D4700"/>
    <w:rsid w:val="006D5992"/>
    <w:rsid w:val="006D62FE"/>
    <w:rsid w:val="006D6D8C"/>
    <w:rsid w:val="006E01DC"/>
    <w:rsid w:val="006E14BA"/>
    <w:rsid w:val="006E4107"/>
    <w:rsid w:val="006E4938"/>
    <w:rsid w:val="006E5562"/>
    <w:rsid w:val="006E7933"/>
    <w:rsid w:val="006F0927"/>
    <w:rsid w:val="006F6F48"/>
    <w:rsid w:val="00703113"/>
    <w:rsid w:val="00703174"/>
    <w:rsid w:val="0070430D"/>
    <w:rsid w:val="007047C6"/>
    <w:rsid w:val="007047FA"/>
    <w:rsid w:val="007104C6"/>
    <w:rsid w:val="00711575"/>
    <w:rsid w:val="007134C5"/>
    <w:rsid w:val="0071430F"/>
    <w:rsid w:val="0071446A"/>
    <w:rsid w:val="00714ED5"/>
    <w:rsid w:val="00716E37"/>
    <w:rsid w:val="007233C5"/>
    <w:rsid w:val="007274C6"/>
    <w:rsid w:val="00733AA1"/>
    <w:rsid w:val="00744D7C"/>
    <w:rsid w:val="007452AD"/>
    <w:rsid w:val="00745720"/>
    <w:rsid w:val="0074619C"/>
    <w:rsid w:val="0074654D"/>
    <w:rsid w:val="00750DF9"/>
    <w:rsid w:val="00751392"/>
    <w:rsid w:val="0075166D"/>
    <w:rsid w:val="00753AA8"/>
    <w:rsid w:val="00753EAF"/>
    <w:rsid w:val="00760670"/>
    <w:rsid w:val="00764932"/>
    <w:rsid w:val="0076507E"/>
    <w:rsid w:val="00765D8D"/>
    <w:rsid w:val="007666C5"/>
    <w:rsid w:val="00770190"/>
    <w:rsid w:val="007708D0"/>
    <w:rsid w:val="00770F71"/>
    <w:rsid w:val="00773192"/>
    <w:rsid w:val="007870FB"/>
    <w:rsid w:val="00787D25"/>
    <w:rsid w:val="00792269"/>
    <w:rsid w:val="00793863"/>
    <w:rsid w:val="00794427"/>
    <w:rsid w:val="007944BD"/>
    <w:rsid w:val="007A027E"/>
    <w:rsid w:val="007A1505"/>
    <w:rsid w:val="007A2830"/>
    <w:rsid w:val="007A2C3D"/>
    <w:rsid w:val="007A3A47"/>
    <w:rsid w:val="007B10F9"/>
    <w:rsid w:val="007B32E3"/>
    <w:rsid w:val="007B501E"/>
    <w:rsid w:val="007C231A"/>
    <w:rsid w:val="007C3262"/>
    <w:rsid w:val="007C4A78"/>
    <w:rsid w:val="007D01CE"/>
    <w:rsid w:val="007D30CF"/>
    <w:rsid w:val="007D40A3"/>
    <w:rsid w:val="007E5459"/>
    <w:rsid w:val="007E72BE"/>
    <w:rsid w:val="007E7722"/>
    <w:rsid w:val="007E7FC0"/>
    <w:rsid w:val="007F6F54"/>
    <w:rsid w:val="008009FA"/>
    <w:rsid w:val="00806B2A"/>
    <w:rsid w:val="00813603"/>
    <w:rsid w:val="00814196"/>
    <w:rsid w:val="00816D70"/>
    <w:rsid w:val="0081769F"/>
    <w:rsid w:val="008200E5"/>
    <w:rsid w:val="0082201E"/>
    <w:rsid w:val="00822A93"/>
    <w:rsid w:val="008238F3"/>
    <w:rsid w:val="008246EB"/>
    <w:rsid w:val="0082525B"/>
    <w:rsid w:val="00825689"/>
    <w:rsid w:val="008257E0"/>
    <w:rsid w:val="00826CD5"/>
    <w:rsid w:val="00830C31"/>
    <w:rsid w:val="00832E73"/>
    <w:rsid w:val="00835BD3"/>
    <w:rsid w:val="008408FA"/>
    <w:rsid w:val="00844A67"/>
    <w:rsid w:val="00846181"/>
    <w:rsid w:val="00850F60"/>
    <w:rsid w:val="00851644"/>
    <w:rsid w:val="008520C8"/>
    <w:rsid w:val="0085300A"/>
    <w:rsid w:val="00853A89"/>
    <w:rsid w:val="008541FB"/>
    <w:rsid w:val="00855A19"/>
    <w:rsid w:val="00860340"/>
    <w:rsid w:val="00861418"/>
    <w:rsid w:val="008618BB"/>
    <w:rsid w:val="00862D5C"/>
    <w:rsid w:val="008656C8"/>
    <w:rsid w:val="00873C2A"/>
    <w:rsid w:val="00876846"/>
    <w:rsid w:val="00876CF4"/>
    <w:rsid w:val="00882349"/>
    <w:rsid w:val="0088345F"/>
    <w:rsid w:val="00884108"/>
    <w:rsid w:val="00884478"/>
    <w:rsid w:val="008847B0"/>
    <w:rsid w:val="008847B1"/>
    <w:rsid w:val="008855F4"/>
    <w:rsid w:val="00886992"/>
    <w:rsid w:val="008875F0"/>
    <w:rsid w:val="00887D95"/>
    <w:rsid w:val="00887E58"/>
    <w:rsid w:val="00890023"/>
    <w:rsid w:val="00891BD2"/>
    <w:rsid w:val="008977F4"/>
    <w:rsid w:val="00897B12"/>
    <w:rsid w:val="008A0B89"/>
    <w:rsid w:val="008A0BC7"/>
    <w:rsid w:val="008A4A38"/>
    <w:rsid w:val="008A5E15"/>
    <w:rsid w:val="008B1F10"/>
    <w:rsid w:val="008B225C"/>
    <w:rsid w:val="008B2798"/>
    <w:rsid w:val="008B351E"/>
    <w:rsid w:val="008B389C"/>
    <w:rsid w:val="008B3AE7"/>
    <w:rsid w:val="008C0059"/>
    <w:rsid w:val="008C3420"/>
    <w:rsid w:val="008C3AAF"/>
    <w:rsid w:val="008C49CC"/>
    <w:rsid w:val="008C4E83"/>
    <w:rsid w:val="008C61D6"/>
    <w:rsid w:val="008D163C"/>
    <w:rsid w:val="008D1D50"/>
    <w:rsid w:val="008D27CF"/>
    <w:rsid w:val="008D6612"/>
    <w:rsid w:val="008E071A"/>
    <w:rsid w:val="008E1416"/>
    <w:rsid w:val="008E1999"/>
    <w:rsid w:val="008E383D"/>
    <w:rsid w:val="008E3914"/>
    <w:rsid w:val="008E5286"/>
    <w:rsid w:val="008E7FB0"/>
    <w:rsid w:val="008F020C"/>
    <w:rsid w:val="008F3CEF"/>
    <w:rsid w:val="008F4367"/>
    <w:rsid w:val="008F4A7C"/>
    <w:rsid w:val="0090428E"/>
    <w:rsid w:val="00905487"/>
    <w:rsid w:val="009054CD"/>
    <w:rsid w:val="00906972"/>
    <w:rsid w:val="00911BC5"/>
    <w:rsid w:val="00911D4E"/>
    <w:rsid w:val="00912284"/>
    <w:rsid w:val="009130CF"/>
    <w:rsid w:val="0091431F"/>
    <w:rsid w:val="0092334D"/>
    <w:rsid w:val="00925CF1"/>
    <w:rsid w:val="00930F70"/>
    <w:rsid w:val="00931BF0"/>
    <w:rsid w:val="00933843"/>
    <w:rsid w:val="00934369"/>
    <w:rsid w:val="0093681B"/>
    <w:rsid w:val="00936E46"/>
    <w:rsid w:val="00940692"/>
    <w:rsid w:val="00943059"/>
    <w:rsid w:val="009452BE"/>
    <w:rsid w:val="009454D2"/>
    <w:rsid w:val="0094565E"/>
    <w:rsid w:val="00946937"/>
    <w:rsid w:val="00950DD6"/>
    <w:rsid w:val="0095205A"/>
    <w:rsid w:val="00954290"/>
    <w:rsid w:val="009600B2"/>
    <w:rsid w:val="00960B7C"/>
    <w:rsid w:val="00962860"/>
    <w:rsid w:val="00964BB3"/>
    <w:rsid w:val="00964FDC"/>
    <w:rsid w:val="009657EB"/>
    <w:rsid w:val="009662AA"/>
    <w:rsid w:val="00966A73"/>
    <w:rsid w:val="00967720"/>
    <w:rsid w:val="00970228"/>
    <w:rsid w:val="00970B66"/>
    <w:rsid w:val="009742AD"/>
    <w:rsid w:val="0097680D"/>
    <w:rsid w:val="0097699D"/>
    <w:rsid w:val="00977E36"/>
    <w:rsid w:val="0098192B"/>
    <w:rsid w:val="0098344B"/>
    <w:rsid w:val="00984506"/>
    <w:rsid w:val="009870BB"/>
    <w:rsid w:val="0099143A"/>
    <w:rsid w:val="00994056"/>
    <w:rsid w:val="00994FA9"/>
    <w:rsid w:val="0099548C"/>
    <w:rsid w:val="00995DD2"/>
    <w:rsid w:val="00996031"/>
    <w:rsid w:val="00996D9F"/>
    <w:rsid w:val="009A1417"/>
    <w:rsid w:val="009A2AB1"/>
    <w:rsid w:val="009A2E0C"/>
    <w:rsid w:val="009B0C03"/>
    <w:rsid w:val="009B211F"/>
    <w:rsid w:val="009B48F4"/>
    <w:rsid w:val="009B4E53"/>
    <w:rsid w:val="009C23C6"/>
    <w:rsid w:val="009C338B"/>
    <w:rsid w:val="009C41D3"/>
    <w:rsid w:val="009C5420"/>
    <w:rsid w:val="009D3C4B"/>
    <w:rsid w:val="009D6829"/>
    <w:rsid w:val="009D7754"/>
    <w:rsid w:val="009E5159"/>
    <w:rsid w:val="009E7509"/>
    <w:rsid w:val="009F4CCC"/>
    <w:rsid w:val="009F51C9"/>
    <w:rsid w:val="00A01C68"/>
    <w:rsid w:val="00A047E8"/>
    <w:rsid w:val="00A058E4"/>
    <w:rsid w:val="00A05FAE"/>
    <w:rsid w:val="00A064A5"/>
    <w:rsid w:val="00A10CA3"/>
    <w:rsid w:val="00A150BD"/>
    <w:rsid w:val="00A1578C"/>
    <w:rsid w:val="00A15FA6"/>
    <w:rsid w:val="00A17EA0"/>
    <w:rsid w:val="00A20752"/>
    <w:rsid w:val="00A2282F"/>
    <w:rsid w:val="00A24282"/>
    <w:rsid w:val="00A2564D"/>
    <w:rsid w:val="00A258F4"/>
    <w:rsid w:val="00A329DA"/>
    <w:rsid w:val="00A35987"/>
    <w:rsid w:val="00A37250"/>
    <w:rsid w:val="00A374FD"/>
    <w:rsid w:val="00A414F4"/>
    <w:rsid w:val="00A41A62"/>
    <w:rsid w:val="00A452F1"/>
    <w:rsid w:val="00A4588B"/>
    <w:rsid w:val="00A46259"/>
    <w:rsid w:val="00A46424"/>
    <w:rsid w:val="00A4768F"/>
    <w:rsid w:val="00A505AF"/>
    <w:rsid w:val="00A51653"/>
    <w:rsid w:val="00A522DD"/>
    <w:rsid w:val="00A525B5"/>
    <w:rsid w:val="00A54498"/>
    <w:rsid w:val="00A572A9"/>
    <w:rsid w:val="00A622C2"/>
    <w:rsid w:val="00A62878"/>
    <w:rsid w:val="00A62A76"/>
    <w:rsid w:val="00A63EB0"/>
    <w:rsid w:val="00A65002"/>
    <w:rsid w:val="00A719E4"/>
    <w:rsid w:val="00A753D5"/>
    <w:rsid w:val="00A75B01"/>
    <w:rsid w:val="00A76410"/>
    <w:rsid w:val="00A83F99"/>
    <w:rsid w:val="00A8696B"/>
    <w:rsid w:val="00AA1253"/>
    <w:rsid w:val="00AB0E46"/>
    <w:rsid w:val="00AB3204"/>
    <w:rsid w:val="00AB5CC4"/>
    <w:rsid w:val="00AB5D82"/>
    <w:rsid w:val="00AC0805"/>
    <w:rsid w:val="00AC2DD1"/>
    <w:rsid w:val="00AC372F"/>
    <w:rsid w:val="00AC3743"/>
    <w:rsid w:val="00AC4DB5"/>
    <w:rsid w:val="00AC7037"/>
    <w:rsid w:val="00AD27D1"/>
    <w:rsid w:val="00AD71FA"/>
    <w:rsid w:val="00AE0AFE"/>
    <w:rsid w:val="00AE12C6"/>
    <w:rsid w:val="00AE1905"/>
    <w:rsid w:val="00AE5732"/>
    <w:rsid w:val="00AE59FC"/>
    <w:rsid w:val="00AF47D6"/>
    <w:rsid w:val="00AF6D5C"/>
    <w:rsid w:val="00AF774C"/>
    <w:rsid w:val="00B01D00"/>
    <w:rsid w:val="00B05656"/>
    <w:rsid w:val="00B05AF4"/>
    <w:rsid w:val="00B060F5"/>
    <w:rsid w:val="00B06EB7"/>
    <w:rsid w:val="00B11B2B"/>
    <w:rsid w:val="00B14B68"/>
    <w:rsid w:val="00B1582B"/>
    <w:rsid w:val="00B16169"/>
    <w:rsid w:val="00B16874"/>
    <w:rsid w:val="00B22A4A"/>
    <w:rsid w:val="00B2453C"/>
    <w:rsid w:val="00B25981"/>
    <w:rsid w:val="00B27ACA"/>
    <w:rsid w:val="00B27D09"/>
    <w:rsid w:val="00B30D42"/>
    <w:rsid w:val="00B3138A"/>
    <w:rsid w:val="00B32951"/>
    <w:rsid w:val="00B33606"/>
    <w:rsid w:val="00B336CE"/>
    <w:rsid w:val="00B35068"/>
    <w:rsid w:val="00B350FA"/>
    <w:rsid w:val="00B436B7"/>
    <w:rsid w:val="00B43859"/>
    <w:rsid w:val="00B44F86"/>
    <w:rsid w:val="00B465EE"/>
    <w:rsid w:val="00B53BF4"/>
    <w:rsid w:val="00B54A15"/>
    <w:rsid w:val="00B55389"/>
    <w:rsid w:val="00B6722C"/>
    <w:rsid w:val="00B67C18"/>
    <w:rsid w:val="00B67F60"/>
    <w:rsid w:val="00B7149A"/>
    <w:rsid w:val="00B758F1"/>
    <w:rsid w:val="00B77A91"/>
    <w:rsid w:val="00B77FEE"/>
    <w:rsid w:val="00B82842"/>
    <w:rsid w:val="00B86255"/>
    <w:rsid w:val="00B90EA5"/>
    <w:rsid w:val="00B912BF"/>
    <w:rsid w:val="00B922A1"/>
    <w:rsid w:val="00B97DB1"/>
    <w:rsid w:val="00BA00B3"/>
    <w:rsid w:val="00BA0549"/>
    <w:rsid w:val="00BA1441"/>
    <w:rsid w:val="00BA2223"/>
    <w:rsid w:val="00BA2BF7"/>
    <w:rsid w:val="00BA49B6"/>
    <w:rsid w:val="00BA4B4A"/>
    <w:rsid w:val="00BA6C5B"/>
    <w:rsid w:val="00BB7D9E"/>
    <w:rsid w:val="00BC28EA"/>
    <w:rsid w:val="00BC3ABB"/>
    <w:rsid w:val="00BC422D"/>
    <w:rsid w:val="00BD17C2"/>
    <w:rsid w:val="00BD21BF"/>
    <w:rsid w:val="00BE1242"/>
    <w:rsid w:val="00BE286B"/>
    <w:rsid w:val="00BE39E8"/>
    <w:rsid w:val="00BF0539"/>
    <w:rsid w:val="00BF0F22"/>
    <w:rsid w:val="00BF2262"/>
    <w:rsid w:val="00C00BAF"/>
    <w:rsid w:val="00C049CF"/>
    <w:rsid w:val="00C0519F"/>
    <w:rsid w:val="00C071E8"/>
    <w:rsid w:val="00C07FFD"/>
    <w:rsid w:val="00C131B4"/>
    <w:rsid w:val="00C13E39"/>
    <w:rsid w:val="00C1673C"/>
    <w:rsid w:val="00C17738"/>
    <w:rsid w:val="00C21453"/>
    <w:rsid w:val="00C21866"/>
    <w:rsid w:val="00C221D6"/>
    <w:rsid w:val="00C240CE"/>
    <w:rsid w:val="00C24778"/>
    <w:rsid w:val="00C2533B"/>
    <w:rsid w:val="00C26CB8"/>
    <w:rsid w:val="00C3165F"/>
    <w:rsid w:val="00C340C0"/>
    <w:rsid w:val="00C34B04"/>
    <w:rsid w:val="00C35790"/>
    <w:rsid w:val="00C35C03"/>
    <w:rsid w:val="00C40D56"/>
    <w:rsid w:val="00C42315"/>
    <w:rsid w:val="00C4381C"/>
    <w:rsid w:val="00C44209"/>
    <w:rsid w:val="00C44F86"/>
    <w:rsid w:val="00C45255"/>
    <w:rsid w:val="00C455DF"/>
    <w:rsid w:val="00C46BB6"/>
    <w:rsid w:val="00C47AFB"/>
    <w:rsid w:val="00C52C81"/>
    <w:rsid w:val="00C53BBB"/>
    <w:rsid w:val="00C6364D"/>
    <w:rsid w:val="00C638F9"/>
    <w:rsid w:val="00C67B33"/>
    <w:rsid w:val="00C715AC"/>
    <w:rsid w:val="00C7183E"/>
    <w:rsid w:val="00C71B4F"/>
    <w:rsid w:val="00C72EBF"/>
    <w:rsid w:val="00C75596"/>
    <w:rsid w:val="00C759DD"/>
    <w:rsid w:val="00C75FFC"/>
    <w:rsid w:val="00C762BF"/>
    <w:rsid w:val="00C766CC"/>
    <w:rsid w:val="00C770B0"/>
    <w:rsid w:val="00C77BA7"/>
    <w:rsid w:val="00C80632"/>
    <w:rsid w:val="00C81642"/>
    <w:rsid w:val="00C8228C"/>
    <w:rsid w:val="00C87049"/>
    <w:rsid w:val="00C917C2"/>
    <w:rsid w:val="00C920CE"/>
    <w:rsid w:val="00C9330B"/>
    <w:rsid w:val="00C94362"/>
    <w:rsid w:val="00C9523D"/>
    <w:rsid w:val="00C96928"/>
    <w:rsid w:val="00CA0240"/>
    <w:rsid w:val="00CA0AD2"/>
    <w:rsid w:val="00CA1003"/>
    <w:rsid w:val="00CA27EC"/>
    <w:rsid w:val="00CA2A62"/>
    <w:rsid w:val="00CA2C6D"/>
    <w:rsid w:val="00CA3213"/>
    <w:rsid w:val="00CA52D5"/>
    <w:rsid w:val="00CA5A38"/>
    <w:rsid w:val="00CB0D79"/>
    <w:rsid w:val="00CB2666"/>
    <w:rsid w:val="00CB34B3"/>
    <w:rsid w:val="00CC0264"/>
    <w:rsid w:val="00CC0FF0"/>
    <w:rsid w:val="00CC13B7"/>
    <w:rsid w:val="00CC4B7D"/>
    <w:rsid w:val="00CC5B54"/>
    <w:rsid w:val="00CC7737"/>
    <w:rsid w:val="00CC7A95"/>
    <w:rsid w:val="00CD07DA"/>
    <w:rsid w:val="00CD2B1F"/>
    <w:rsid w:val="00CD4E97"/>
    <w:rsid w:val="00CD6055"/>
    <w:rsid w:val="00CD6C85"/>
    <w:rsid w:val="00CD7AA1"/>
    <w:rsid w:val="00CE5513"/>
    <w:rsid w:val="00CE74D4"/>
    <w:rsid w:val="00CE773C"/>
    <w:rsid w:val="00CF11C4"/>
    <w:rsid w:val="00CF73C2"/>
    <w:rsid w:val="00D079EC"/>
    <w:rsid w:val="00D1074F"/>
    <w:rsid w:val="00D11E83"/>
    <w:rsid w:val="00D12806"/>
    <w:rsid w:val="00D1298C"/>
    <w:rsid w:val="00D159C8"/>
    <w:rsid w:val="00D202C9"/>
    <w:rsid w:val="00D20F4B"/>
    <w:rsid w:val="00D224E8"/>
    <w:rsid w:val="00D26004"/>
    <w:rsid w:val="00D27589"/>
    <w:rsid w:val="00D309C1"/>
    <w:rsid w:val="00D3137A"/>
    <w:rsid w:val="00D3141C"/>
    <w:rsid w:val="00D3661A"/>
    <w:rsid w:val="00D36E26"/>
    <w:rsid w:val="00D37249"/>
    <w:rsid w:val="00D37A3A"/>
    <w:rsid w:val="00D402FC"/>
    <w:rsid w:val="00D40EC8"/>
    <w:rsid w:val="00D43069"/>
    <w:rsid w:val="00D45675"/>
    <w:rsid w:val="00D456BD"/>
    <w:rsid w:val="00D47F04"/>
    <w:rsid w:val="00D51BCF"/>
    <w:rsid w:val="00D528F5"/>
    <w:rsid w:val="00D53286"/>
    <w:rsid w:val="00D53471"/>
    <w:rsid w:val="00D53800"/>
    <w:rsid w:val="00D54BE6"/>
    <w:rsid w:val="00D60479"/>
    <w:rsid w:val="00D6190D"/>
    <w:rsid w:val="00D6448A"/>
    <w:rsid w:val="00D6521F"/>
    <w:rsid w:val="00D67B94"/>
    <w:rsid w:val="00D74CD4"/>
    <w:rsid w:val="00D751B5"/>
    <w:rsid w:val="00D771F9"/>
    <w:rsid w:val="00D77CB4"/>
    <w:rsid w:val="00D80FDE"/>
    <w:rsid w:val="00D83600"/>
    <w:rsid w:val="00D83E25"/>
    <w:rsid w:val="00D84F3C"/>
    <w:rsid w:val="00D868F4"/>
    <w:rsid w:val="00D90AD6"/>
    <w:rsid w:val="00D9600A"/>
    <w:rsid w:val="00D967CB"/>
    <w:rsid w:val="00D96F67"/>
    <w:rsid w:val="00DA4659"/>
    <w:rsid w:val="00DA5D7E"/>
    <w:rsid w:val="00DA74CE"/>
    <w:rsid w:val="00DB176E"/>
    <w:rsid w:val="00DB24C7"/>
    <w:rsid w:val="00DB4D7C"/>
    <w:rsid w:val="00DB574D"/>
    <w:rsid w:val="00DB7D3E"/>
    <w:rsid w:val="00DB7DAE"/>
    <w:rsid w:val="00DC19D5"/>
    <w:rsid w:val="00DC1BA0"/>
    <w:rsid w:val="00DC5F60"/>
    <w:rsid w:val="00DC77BF"/>
    <w:rsid w:val="00DC7D15"/>
    <w:rsid w:val="00DD2264"/>
    <w:rsid w:val="00DD3E29"/>
    <w:rsid w:val="00DD4437"/>
    <w:rsid w:val="00DD5469"/>
    <w:rsid w:val="00DE371B"/>
    <w:rsid w:val="00DE5E2B"/>
    <w:rsid w:val="00DE655A"/>
    <w:rsid w:val="00DE6718"/>
    <w:rsid w:val="00DF0FCE"/>
    <w:rsid w:val="00DF10A4"/>
    <w:rsid w:val="00DF1CAD"/>
    <w:rsid w:val="00DF6F2C"/>
    <w:rsid w:val="00E03D6C"/>
    <w:rsid w:val="00E04100"/>
    <w:rsid w:val="00E10D4E"/>
    <w:rsid w:val="00E12747"/>
    <w:rsid w:val="00E14CDE"/>
    <w:rsid w:val="00E14DA0"/>
    <w:rsid w:val="00E15717"/>
    <w:rsid w:val="00E161CD"/>
    <w:rsid w:val="00E1789A"/>
    <w:rsid w:val="00E205A1"/>
    <w:rsid w:val="00E220CC"/>
    <w:rsid w:val="00E22D98"/>
    <w:rsid w:val="00E23F8E"/>
    <w:rsid w:val="00E260C5"/>
    <w:rsid w:val="00E268AF"/>
    <w:rsid w:val="00E269DE"/>
    <w:rsid w:val="00E3188F"/>
    <w:rsid w:val="00E32ABA"/>
    <w:rsid w:val="00E32E20"/>
    <w:rsid w:val="00E344CA"/>
    <w:rsid w:val="00E41DE1"/>
    <w:rsid w:val="00E44E4E"/>
    <w:rsid w:val="00E467C1"/>
    <w:rsid w:val="00E47923"/>
    <w:rsid w:val="00E51F4D"/>
    <w:rsid w:val="00E54148"/>
    <w:rsid w:val="00E54869"/>
    <w:rsid w:val="00E578C1"/>
    <w:rsid w:val="00E5799C"/>
    <w:rsid w:val="00E57B17"/>
    <w:rsid w:val="00E60803"/>
    <w:rsid w:val="00E61F3A"/>
    <w:rsid w:val="00E64E40"/>
    <w:rsid w:val="00E64F91"/>
    <w:rsid w:val="00E65B8D"/>
    <w:rsid w:val="00E706C5"/>
    <w:rsid w:val="00E71F34"/>
    <w:rsid w:val="00E72D5D"/>
    <w:rsid w:val="00E73D26"/>
    <w:rsid w:val="00E74F9D"/>
    <w:rsid w:val="00E76376"/>
    <w:rsid w:val="00E8102E"/>
    <w:rsid w:val="00E83542"/>
    <w:rsid w:val="00E8411B"/>
    <w:rsid w:val="00E8590D"/>
    <w:rsid w:val="00E8592A"/>
    <w:rsid w:val="00E863D3"/>
    <w:rsid w:val="00E86D49"/>
    <w:rsid w:val="00E90E4C"/>
    <w:rsid w:val="00E91D24"/>
    <w:rsid w:val="00EA035C"/>
    <w:rsid w:val="00EA3140"/>
    <w:rsid w:val="00EA51DF"/>
    <w:rsid w:val="00EA5BA3"/>
    <w:rsid w:val="00EB108B"/>
    <w:rsid w:val="00EB4CBC"/>
    <w:rsid w:val="00EB56AF"/>
    <w:rsid w:val="00EB7ED1"/>
    <w:rsid w:val="00EC206B"/>
    <w:rsid w:val="00EC371A"/>
    <w:rsid w:val="00EC6A97"/>
    <w:rsid w:val="00EC7BF6"/>
    <w:rsid w:val="00ED0946"/>
    <w:rsid w:val="00ED1181"/>
    <w:rsid w:val="00ED2528"/>
    <w:rsid w:val="00ED278C"/>
    <w:rsid w:val="00ED7173"/>
    <w:rsid w:val="00EE0AF6"/>
    <w:rsid w:val="00EE1311"/>
    <w:rsid w:val="00EE17CB"/>
    <w:rsid w:val="00EE57C0"/>
    <w:rsid w:val="00EE6873"/>
    <w:rsid w:val="00EE6949"/>
    <w:rsid w:val="00EE70D5"/>
    <w:rsid w:val="00EF08E4"/>
    <w:rsid w:val="00EF2663"/>
    <w:rsid w:val="00EF2E10"/>
    <w:rsid w:val="00EF6ADF"/>
    <w:rsid w:val="00EF7601"/>
    <w:rsid w:val="00F00529"/>
    <w:rsid w:val="00F03164"/>
    <w:rsid w:val="00F0460A"/>
    <w:rsid w:val="00F06299"/>
    <w:rsid w:val="00F143C1"/>
    <w:rsid w:val="00F16416"/>
    <w:rsid w:val="00F16426"/>
    <w:rsid w:val="00F24E48"/>
    <w:rsid w:val="00F26DD2"/>
    <w:rsid w:val="00F34323"/>
    <w:rsid w:val="00F34C72"/>
    <w:rsid w:val="00F361F1"/>
    <w:rsid w:val="00F36CD7"/>
    <w:rsid w:val="00F42FAF"/>
    <w:rsid w:val="00F44397"/>
    <w:rsid w:val="00F45134"/>
    <w:rsid w:val="00F47A62"/>
    <w:rsid w:val="00F514BF"/>
    <w:rsid w:val="00F518A3"/>
    <w:rsid w:val="00F52165"/>
    <w:rsid w:val="00F5340A"/>
    <w:rsid w:val="00F55B3B"/>
    <w:rsid w:val="00F57E52"/>
    <w:rsid w:val="00F63821"/>
    <w:rsid w:val="00F63AD9"/>
    <w:rsid w:val="00F66CE2"/>
    <w:rsid w:val="00F701EA"/>
    <w:rsid w:val="00F706A2"/>
    <w:rsid w:val="00F71F5B"/>
    <w:rsid w:val="00F73C71"/>
    <w:rsid w:val="00F74C6D"/>
    <w:rsid w:val="00F80956"/>
    <w:rsid w:val="00F81A7E"/>
    <w:rsid w:val="00F82510"/>
    <w:rsid w:val="00F87501"/>
    <w:rsid w:val="00F91976"/>
    <w:rsid w:val="00F9507B"/>
    <w:rsid w:val="00F96D62"/>
    <w:rsid w:val="00F97D98"/>
    <w:rsid w:val="00FA1316"/>
    <w:rsid w:val="00FA3EEA"/>
    <w:rsid w:val="00FB19DC"/>
    <w:rsid w:val="00FB286A"/>
    <w:rsid w:val="00FB3445"/>
    <w:rsid w:val="00FB45D3"/>
    <w:rsid w:val="00FB654F"/>
    <w:rsid w:val="00FC0375"/>
    <w:rsid w:val="00FC7C91"/>
    <w:rsid w:val="00FD2AF8"/>
    <w:rsid w:val="00FE21DA"/>
    <w:rsid w:val="00FE6DBF"/>
    <w:rsid w:val="00FF067F"/>
    <w:rsid w:val="42297306"/>
    <w:rsid w:val="54E1813E"/>
    <w:rsid w:val="5A9D67E9"/>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B98881"/>
  <w15:chartTrackingRefBased/>
  <w15:docId w15:val="{5002426D-FE38-44D1-8A57-40FF20662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BodyText1"/>
    <w:next w:val="BodyText1"/>
    <w:link w:val="Heading1Char"/>
    <w:uiPriority w:val="9"/>
    <w:qFormat/>
    <w:rsid w:val="000157E2"/>
    <w:pPr>
      <w:keepNext/>
      <w:keepLines/>
      <w:numPr>
        <w:numId w:val="2"/>
      </w:numPr>
      <w:spacing w:before="360" w:after="160" w:line="240" w:lineRule="auto"/>
      <w:ind w:left="357" w:hanging="357"/>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0157E2"/>
    <w:pPr>
      <w:keepNext/>
      <w:keepLines/>
      <w:numPr>
        <w:ilvl w:val="1"/>
        <w:numId w:val="2"/>
      </w:numPr>
      <w:spacing w:before="360" w:after="120" w:line="360" w:lineRule="auto"/>
      <w:outlineLvl w:val="1"/>
    </w:pPr>
    <w:rPr>
      <w:rFonts w:ascii="Times New Roman" w:eastAsiaTheme="majorEastAsia" w:hAnsi="Times New Roman" w:cstheme="majorBidi"/>
      <w:b/>
      <w:szCs w:val="26"/>
      <w:lang w:val="en-GB"/>
    </w:rPr>
  </w:style>
  <w:style w:type="paragraph" w:styleId="Heading3">
    <w:name w:val="heading 3"/>
    <w:basedOn w:val="Normal"/>
    <w:next w:val="Normal"/>
    <w:link w:val="Heading3Char"/>
    <w:uiPriority w:val="9"/>
    <w:unhideWhenUsed/>
    <w:qFormat/>
    <w:rsid w:val="000157E2"/>
    <w:pPr>
      <w:keepNext/>
      <w:keepLines/>
      <w:numPr>
        <w:ilvl w:val="2"/>
        <w:numId w:val="2"/>
      </w:numPr>
      <w:spacing w:before="40" w:after="0" w:line="278" w:lineRule="auto"/>
      <w:outlineLvl w:val="2"/>
    </w:pPr>
    <w:rPr>
      <w:rFonts w:asciiTheme="majorHAnsi" w:eastAsiaTheme="majorEastAsia" w:hAnsiTheme="majorHAnsi" w:cstheme="majorBidi"/>
      <w:color w:val="1F3763" w:themeColor="accent1" w:themeShade="7F"/>
      <w:sz w:val="24"/>
      <w:szCs w:val="24"/>
      <w:lang w:val="en-GB"/>
    </w:rPr>
  </w:style>
  <w:style w:type="paragraph" w:styleId="Heading4">
    <w:name w:val="heading 4"/>
    <w:basedOn w:val="Normal"/>
    <w:next w:val="Normal"/>
    <w:link w:val="Heading4Char"/>
    <w:uiPriority w:val="9"/>
    <w:semiHidden/>
    <w:unhideWhenUsed/>
    <w:qFormat/>
    <w:rsid w:val="000157E2"/>
    <w:pPr>
      <w:keepNext/>
      <w:keepLines/>
      <w:numPr>
        <w:ilvl w:val="3"/>
        <w:numId w:val="2"/>
      </w:numPr>
      <w:spacing w:before="40" w:after="0" w:line="278" w:lineRule="auto"/>
      <w:outlineLvl w:val="3"/>
    </w:pPr>
    <w:rPr>
      <w:rFonts w:asciiTheme="majorHAnsi" w:eastAsiaTheme="majorEastAsia" w:hAnsiTheme="majorHAnsi" w:cstheme="majorBidi"/>
      <w:i/>
      <w:iCs/>
      <w:color w:val="2F5496" w:themeColor="accent1" w:themeShade="BF"/>
      <w:sz w:val="24"/>
      <w:szCs w:val="24"/>
      <w:lang w:val="en-GB"/>
    </w:rPr>
  </w:style>
  <w:style w:type="paragraph" w:styleId="Heading5">
    <w:name w:val="heading 5"/>
    <w:basedOn w:val="Normal"/>
    <w:next w:val="Normal"/>
    <w:link w:val="Heading5Char"/>
    <w:uiPriority w:val="9"/>
    <w:semiHidden/>
    <w:unhideWhenUsed/>
    <w:qFormat/>
    <w:rsid w:val="000157E2"/>
    <w:pPr>
      <w:keepNext/>
      <w:keepLines/>
      <w:numPr>
        <w:ilvl w:val="4"/>
        <w:numId w:val="2"/>
      </w:numPr>
      <w:spacing w:before="40" w:after="0" w:line="278" w:lineRule="auto"/>
      <w:outlineLvl w:val="4"/>
    </w:pPr>
    <w:rPr>
      <w:rFonts w:asciiTheme="majorHAnsi" w:eastAsiaTheme="majorEastAsia" w:hAnsiTheme="majorHAnsi" w:cstheme="majorBidi"/>
      <w:color w:val="2F5496" w:themeColor="accent1" w:themeShade="BF"/>
      <w:sz w:val="24"/>
      <w:szCs w:val="24"/>
      <w:lang w:val="en-GB"/>
    </w:rPr>
  </w:style>
  <w:style w:type="paragraph" w:styleId="Heading6">
    <w:name w:val="heading 6"/>
    <w:basedOn w:val="Normal"/>
    <w:next w:val="Normal"/>
    <w:link w:val="Heading6Char"/>
    <w:uiPriority w:val="9"/>
    <w:semiHidden/>
    <w:unhideWhenUsed/>
    <w:qFormat/>
    <w:rsid w:val="000157E2"/>
    <w:pPr>
      <w:keepNext/>
      <w:keepLines/>
      <w:numPr>
        <w:ilvl w:val="5"/>
        <w:numId w:val="2"/>
      </w:numPr>
      <w:spacing w:before="40" w:after="0" w:line="278" w:lineRule="auto"/>
      <w:outlineLvl w:val="5"/>
    </w:pPr>
    <w:rPr>
      <w:rFonts w:asciiTheme="majorHAnsi" w:eastAsiaTheme="majorEastAsia" w:hAnsiTheme="majorHAnsi" w:cstheme="majorBidi"/>
      <w:color w:val="1F3763" w:themeColor="accent1" w:themeShade="7F"/>
      <w:sz w:val="24"/>
      <w:szCs w:val="24"/>
      <w:lang w:val="en-GB"/>
    </w:rPr>
  </w:style>
  <w:style w:type="paragraph" w:styleId="Heading7">
    <w:name w:val="heading 7"/>
    <w:basedOn w:val="Normal"/>
    <w:next w:val="Normal"/>
    <w:link w:val="Heading7Char"/>
    <w:uiPriority w:val="9"/>
    <w:semiHidden/>
    <w:unhideWhenUsed/>
    <w:qFormat/>
    <w:rsid w:val="000157E2"/>
    <w:pPr>
      <w:keepNext/>
      <w:keepLines/>
      <w:numPr>
        <w:ilvl w:val="6"/>
        <w:numId w:val="2"/>
      </w:numPr>
      <w:spacing w:before="40" w:after="0" w:line="278" w:lineRule="auto"/>
      <w:outlineLvl w:val="6"/>
    </w:pPr>
    <w:rPr>
      <w:rFonts w:asciiTheme="majorHAnsi" w:eastAsiaTheme="majorEastAsia" w:hAnsiTheme="majorHAnsi" w:cstheme="majorBidi"/>
      <w:i/>
      <w:iCs/>
      <w:color w:val="1F3763" w:themeColor="accent1" w:themeShade="7F"/>
      <w:sz w:val="24"/>
      <w:szCs w:val="24"/>
      <w:lang w:val="en-GB"/>
    </w:rPr>
  </w:style>
  <w:style w:type="paragraph" w:styleId="Heading8">
    <w:name w:val="heading 8"/>
    <w:basedOn w:val="Normal"/>
    <w:next w:val="Normal"/>
    <w:link w:val="Heading8Char"/>
    <w:uiPriority w:val="9"/>
    <w:semiHidden/>
    <w:unhideWhenUsed/>
    <w:qFormat/>
    <w:rsid w:val="000157E2"/>
    <w:pPr>
      <w:keepNext/>
      <w:keepLines/>
      <w:numPr>
        <w:ilvl w:val="7"/>
        <w:numId w:val="2"/>
      </w:numPr>
      <w:spacing w:before="40" w:after="0" w:line="278" w:lineRule="auto"/>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0157E2"/>
    <w:pPr>
      <w:keepNext/>
      <w:keepLines/>
      <w:numPr>
        <w:ilvl w:val="8"/>
        <w:numId w:val="2"/>
      </w:numPr>
      <w:spacing w:before="40" w:after="0" w:line="278" w:lineRule="auto"/>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6A97"/>
    <w:pPr>
      <w:ind w:left="720"/>
      <w:contextualSpacing/>
    </w:pPr>
  </w:style>
  <w:style w:type="character" w:customStyle="1" w:styleId="Heading1Char">
    <w:name w:val="Heading 1 Char"/>
    <w:basedOn w:val="DefaultParagraphFont"/>
    <w:link w:val="Heading1"/>
    <w:uiPriority w:val="9"/>
    <w:rsid w:val="000157E2"/>
    <w:rPr>
      <w:rFonts w:ascii="Times New Roman" w:eastAsiaTheme="majorEastAsia" w:hAnsi="Times New Roman" w:cstheme="majorBidi"/>
      <w:b/>
      <w:kern w:val="0"/>
      <w:sz w:val="24"/>
      <w:szCs w:val="32"/>
      <w:lang w:val="en-US"/>
      <w14:ligatures w14:val="none"/>
    </w:rPr>
  </w:style>
  <w:style w:type="character" w:customStyle="1" w:styleId="Heading2Char">
    <w:name w:val="Heading 2 Char"/>
    <w:basedOn w:val="DefaultParagraphFont"/>
    <w:link w:val="Heading2"/>
    <w:uiPriority w:val="9"/>
    <w:rsid w:val="000157E2"/>
    <w:rPr>
      <w:rFonts w:ascii="Times New Roman" w:eastAsiaTheme="majorEastAsia" w:hAnsi="Times New Roman" w:cstheme="majorBidi"/>
      <w:b/>
      <w:szCs w:val="26"/>
      <w:lang w:val="en-GB"/>
    </w:rPr>
  </w:style>
  <w:style w:type="character" w:customStyle="1" w:styleId="Heading3Char">
    <w:name w:val="Heading 3 Char"/>
    <w:basedOn w:val="DefaultParagraphFont"/>
    <w:link w:val="Heading3"/>
    <w:uiPriority w:val="9"/>
    <w:rsid w:val="000157E2"/>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semiHidden/>
    <w:rsid w:val="000157E2"/>
    <w:rPr>
      <w:rFonts w:asciiTheme="majorHAnsi" w:eastAsiaTheme="majorEastAsia" w:hAnsiTheme="majorHAnsi" w:cstheme="majorBidi"/>
      <w:i/>
      <w:iCs/>
      <w:color w:val="2F5496" w:themeColor="accent1" w:themeShade="BF"/>
      <w:sz w:val="24"/>
      <w:szCs w:val="24"/>
      <w:lang w:val="en-GB"/>
    </w:rPr>
  </w:style>
  <w:style w:type="character" w:customStyle="1" w:styleId="Heading5Char">
    <w:name w:val="Heading 5 Char"/>
    <w:basedOn w:val="DefaultParagraphFont"/>
    <w:link w:val="Heading5"/>
    <w:uiPriority w:val="9"/>
    <w:semiHidden/>
    <w:rsid w:val="000157E2"/>
    <w:rPr>
      <w:rFonts w:asciiTheme="majorHAnsi" w:eastAsiaTheme="majorEastAsia" w:hAnsiTheme="majorHAnsi" w:cstheme="majorBidi"/>
      <w:color w:val="2F5496" w:themeColor="accent1" w:themeShade="BF"/>
      <w:sz w:val="24"/>
      <w:szCs w:val="24"/>
      <w:lang w:val="en-GB"/>
    </w:rPr>
  </w:style>
  <w:style w:type="character" w:customStyle="1" w:styleId="Heading6Char">
    <w:name w:val="Heading 6 Char"/>
    <w:basedOn w:val="DefaultParagraphFont"/>
    <w:link w:val="Heading6"/>
    <w:uiPriority w:val="9"/>
    <w:semiHidden/>
    <w:rsid w:val="000157E2"/>
    <w:rPr>
      <w:rFonts w:asciiTheme="majorHAnsi" w:eastAsiaTheme="majorEastAsia" w:hAnsiTheme="majorHAnsi" w:cstheme="majorBidi"/>
      <w:color w:val="1F3763" w:themeColor="accent1" w:themeShade="7F"/>
      <w:sz w:val="24"/>
      <w:szCs w:val="24"/>
      <w:lang w:val="en-GB"/>
    </w:rPr>
  </w:style>
  <w:style w:type="character" w:customStyle="1" w:styleId="Heading7Char">
    <w:name w:val="Heading 7 Char"/>
    <w:basedOn w:val="DefaultParagraphFont"/>
    <w:link w:val="Heading7"/>
    <w:uiPriority w:val="9"/>
    <w:semiHidden/>
    <w:rsid w:val="000157E2"/>
    <w:rPr>
      <w:rFonts w:asciiTheme="majorHAnsi" w:eastAsiaTheme="majorEastAsia" w:hAnsiTheme="majorHAnsi" w:cstheme="majorBidi"/>
      <w:i/>
      <w:iCs/>
      <w:color w:val="1F3763" w:themeColor="accent1" w:themeShade="7F"/>
      <w:sz w:val="24"/>
      <w:szCs w:val="24"/>
      <w:lang w:val="en-GB"/>
    </w:rPr>
  </w:style>
  <w:style w:type="character" w:customStyle="1" w:styleId="Heading8Char">
    <w:name w:val="Heading 8 Char"/>
    <w:basedOn w:val="DefaultParagraphFont"/>
    <w:link w:val="Heading8"/>
    <w:uiPriority w:val="9"/>
    <w:semiHidden/>
    <w:rsid w:val="000157E2"/>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0157E2"/>
    <w:rPr>
      <w:rFonts w:asciiTheme="majorHAnsi" w:eastAsiaTheme="majorEastAsia" w:hAnsiTheme="majorHAnsi" w:cstheme="majorBidi"/>
      <w:i/>
      <w:iCs/>
      <w:color w:val="272727" w:themeColor="text1" w:themeTint="D8"/>
      <w:sz w:val="21"/>
      <w:szCs w:val="21"/>
      <w:lang w:val="en-GB"/>
    </w:rPr>
  </w:style>
  <w:style w:type="character" w:styleId="CommentReference">
    <w:name w:val="annotation reference"/>
    <w:basedOn w:val="DefaultParagraphFont"/>
    <w:uiPriority w:val="99"/>
    <w:semiHidden/>
    <w:unhideWhenUsed/>
    <w:rsid w:val="000157E2"/>
    <w:rPr>
      <w:sz w:val="16"/>
      <w:szCs w:val="16"/>
    </w:rPr>
  </w:style>
  <w:style w:type="paragraph" w:styleId="CommentText">
    <w:name w:val="annotation text"/>
    <w:basedOn w:val="Normal"/>
    <w:link w:val="CommentTextChar"/>
    <w:uiPriority w:val="99"/>
    <w:unhideWhenUsed/>
    <w:rsid w:val="000157E2"/>
    <w:pPr>
      <w:spacing w:line="240" w:lineRule="auto"/>
    </w:pPr>
    <w:rPr>
      <w:sz w:val="20"/>
      <w:szCs w:val="20"/>
      <w:lang w:val="en-GB"/>
    </w:rPr>
  </w:style>
  <w:style w:type="character" w:customStyle="1" w:styleId="CommentTextChar">
    <w:name w:val="Comment Text Char"/>
    <w:basedOn w:val="DefaultParagraphFont"/>
    <w:link w:val="CommentText"/>
    <w:uiPriority w:val="99"/>
    <w:rsid w:val="000157E2"/>
    <w:rPr>
      <w:sz w:val="20"/>
      <w:szCs w:val="20"/>
      <w:lang w:val="en-GB"/>
    </w:rPr>
  </w:style>
  <w:style w:type="table" w:styleId="TableGrid">
    <w:name w:val="Table Grid"/>
    <w:basedOn w:val="TableNormal"/>
    <w:uiPriority w:val="39"/>
    <w:rsid w:val="000157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next w:val="BodyText2"/>
    <w:rsid w:val="000157E2"/>
    <w:pPr>
      <w:spacing w:after="0" w:line="312" w:lineRule="auto"/>
    </w:pPr>
    <w:rPr>
      <w:rFonts w:ascii="Times New Roman" w:eastAsia="Calibri" w:hAnsi="Times New Roman" w:cs="Times New Roman"/>
      <w:kern w:val="0"/>
      <w:szCs w:val="24"/>
      <w:lang w:val="en-US"/>
      <w14:ligatures w14:val="none"/>
    </w:rPr>
  </w:style>
  <w:style w:type="paragraph" w:customStyle="1" w:styleId="BodyText2">
    <w:name w:val="Body Text2"/>
    <w:basedOn w:val="BodyText1"/>
    <w:qFormat/>
    <w:rsid w:val="000157E2"/>
    <w:pPr>
      <w:ind w:firstLine="567"/>
    </w:pPr>
  </w:style>
  <w:style w:type="paragraph" w:customStyle="1" w:styleId="FigureCaption">
    <w:name w:val="Figure Caption"/>
    <w:basedOn w:val="BodyText1"/>
    <w:qFormat/>
    <w:rsid w:val="000157E2"/>
    <w:pPr>
      <w:spacing w:before="120" w:after="480" w:line="240" w:lineRule="auto"/>
      <w:ind w:left="567" w:hanging="567"/>
    </w:pPr>
    <w:rPr>
      <w:sz w:val="20"/>
    </w:rPr>
  </w:style>
  <w:style w:type="paragraph" w:styleId="Header">
    <w:name w:val="header"/>
    <w:basedOn w:val="Normal"/>
    <w:link w:val="HeaderChar"/>
    <w:uiPriority w:val="99"/>
    <w:unhideWhenUsed/>
    <w:rsid w:val="005C3382"/>
    <w:pPr>
      <w:tabs>
        <w:tab w:val="center" w:pos="4536"/>
        <w:tab w:val="right" w:pos="9072"/>
      </w:tabs>
      <w:spacing w:after="0" w:line="240" w:lineRule="auto"/>
    </w:pPr>
  </w:style>
  <w:style w:type="character" w:customStyle="1" w:styleId="HeaderChar">
    <w:name w:val="Header Char"/>
    <w:basedOn w:val="DefaultParagraphFont"/>
    <w:link w:val="Header"/>
    <w:uiPriority w:val="99"/>
    <w:rsid w:val="005C3382"/>
  </w:style>
  <w:style w:type="paragraph" w:styleId="Footer">
    <w:name w:val="footer"/>
    <w:basedOn w:val="Normal"/>
    <w:link w:val="FooterChar"/>
    <w:uiPriority w:val="99"/>
    <w:unhideWhenUsed/>
    <w:rsid w:val="005C3382"/>
    <w:pPr>
      <w:tabs>
        <w:tab w:val="center" w:pos="4536"/>
        <w:tab w:val="right" w:pos="9072"/>
      </w:tabs>
      <w:spacing w:after="0" w:line="240" w:lineRule="auto"/>
    </w:pPr>
  </w:style>
  <w:style w:type="character" w:customStyle="1" w:styleId="FooterChar">
    <w:name w:val="Footer Char"/>
    <w:basedOn w:val="DefaultParagraphFont"/>
    <w:link w:val="Footer"/>
    <w:uiPriority w:val="99"/>
    <w:rsid w:val="005C3382"/>
  </w:style>
  <w:style w:type="paragraph" w:styleId="Title">
    <w:name w:val="Title"/>
    <w:basedOn w:val="BodyText1"/>
    <w:next w:val="BodyText1"/>
    <w:link w:val="TitleChar"/>
    <w:uiPriority w:val="1"/>
    <w:qFormat/>
    <w:rsid w:val="008C49CC"/>
    <w:pPr>
      <w:spacing w:before="360" w:after="360" w:line="240" w:lineRule="auto"/>
      <w:contextualSpacing/>
    </w:pPr>
    <w:rPr>
      <w:rFonts w:eastAsiaTheme="majorEastAsia" w:cstheme="majorBidi"/>
      <w:b/>
      <w:spacing w:val="-10"/>
      <w:kern w:val="28"/>
      <w:sz w:val="40"/>
      <w:szCs w:val="56"/>
    </w:rPr>
  </w:style>
  <w:style w:type="character" w:customStyle="1" w:styleId="TitleChar">
    <w:name w:val="Title Char"/>
    <w:basedOn w:val="DefaultParagraphFont"/>
    <w:link w:val="Title"/>
    <w:uiPriority w:val="1"/>
    <w:rsid w:val="008C49CC"/>
    <w:rPr>
      <w:rFonts w:ascii="Times New Roman" w:eastAsiaTheme="majorEastAsia" w:hAnsi="Times New Roman" w:cstheme="majorBidi"/>
      <w:b/>
      <w:spacing w:val="-10"/>
      <w:kern w:val="28"/>
      <w:sz w:val="40"/>
      <w:szCs w:val="56"/>
      <w:lang w:val="en-US"/>
      <w14:ligatures w14:val="none"/>
    </w:rPr>
  </w:style>
  <w:style w:type="paragraph" w:customStyle="1" w:styleId="TableParagraph">
    <w:name w:val="Table Paragraph"/>
    <w:basedOn w:val="Normal"/>
    <w:uiPriority w:val="1"/>
    <w:qFormat/>
    <w:rsid w:val="00154348"/>
    <w:pPr>
      <w:autoSpaceDE w:val="0"/>
      <w:autoSpaceDN w:val="0"/>
      <w:adjustRightInd w:val="0"/>
      <w:spacing w:after="0" w:line="271" w:lineRule="exact"/>
      <w:ind w:left="11"/>
      <w:jc w:val="center"/>
    </w:pPr>
    <w:rPr>
      <w:rFonts w:ascii="Calibri" w:hAnsi="Calibri" w:cs="Calibri"/>
      <w:kern w:val="0"/>
      <w:sz w:val="24"/>
      <w:szCs w:val="24"/>
    </w:rPr>
  </w:style>
  <w:style w:type="paragraph" w:styleId="CommentSubject">
    <w:name w:val="annotation subject"/>
    <w:basedOn w:val="CommentText"/>
    <w:next w:val="CommentText"/>
    <w:link w:val="CommentSubjectChar"/>
    <w:uiPriority w:val="99"/>
    <w:semiHidden/>
    <w:unhideWhenUsed/>
    <w:rsid w:val="0057433E"/>
    <w:rPr>
      <w:b/>
      <w:bCs/>
      <w:lang w:val="nb-NO"/>
    </w:rPr>
  </w:style>
  <w:style w:type="character" w:customStyle="1" w:styleId="CommentSubjectChar">
    <w:name w:val="Comment Subject Char"/>
    <w:basedOn w:val="CommentTextChar"/>
    <w:link w:val="CommentSubject"/>
    <w:uiPriority w:val="99"/>
    <w:semiHidden/>
    <w:rsid w:val="0057433E"/>
    <w:rPr>
      <w:b/>
      <w:bCs/>
      <w:sz w:val="20"/>
      <w:szCs w:val="20"/>
      <w:lang w:val="en-GB"/>
    </w:rPr>
  </w:style>
  <w:style w:type="paragraph" w:styleId="Revision">
    <w:name w:val="Revision"/>
    <w:hidden/>
    <w:uiPriority w:val="99"/>
    <w:semiHidden/>
    <w:rsid w:val="00CA52D5"/>
    <w:pPr>
      <w:spacing w:after="0" w:line="240" w:lineRule="auto"/>
    </w:pPr>
  </w:style>
  <w:style w:type="character" w:styleId="Hyperlink">
    <w:name w:val="Hyperlink"/>
    <w:basedOn w:val="DefaultParagraphFont"/>
    <w:uiPriority w:val="99"/>
    <w:unhideWhenUsed/>
    <w:rsid w:val="0058217A"/>
    <w:rPr>
      <w:color w:val="0563C1" w:themeColor="hyperlink"/>
      <w:u w:val="single"/>
    </w:rPr>
  </w:style>
  <w:style w:type="character" w:styleId="UnresolvedMention">
    <w:name w:val="Unresolved Mention"/>
    <w:basedOn w:val="DefaultParagraphFont"/>
    <w:uiPriority w:val="99"/>
    <w:semiHidden/>
    <w:unhideWhenUsed/>
    <w:rsid w:val="0058217A"/>
    <w:rPr>
      <w:color w:val="605E5C"/>
      <w:shd w:val="clear" w:color="auto" w:fill="E1DFDD"/>
    </w:rPr>
  </w:style>
  <w:style w:type="paragraph" w:customStyle="1" w:styleId="References">
    <w:name w:val="References"/>
    <w:basedOn w:val="ListParagraph"/>
    <w:rsid w:val="00AA1253"/>
    <w:pPr>
      <w:spacing w:after="120" w:line="240" w:lineRule="auto"/>
      <w:ind w:left="567" w:hanging="567"/>
      <w:contextualSpacing w:val="0"/>
    </w:pPr>
    <w:rPr>
      <w:rFonts w:ascii="Times New Roman" w:hAnsi="Times New Roman"/>
      <w:sz w:val="20"/>
      <w:szCs w:val="24"/>
      <w:lang w:val="en-GB"/>
    </w:rPr>
  </w:style>
  <w:style w:type="character" w:styleId="Strong">
    <w:name w:val="Strong"/>
    <w:basedOn w:val="DefaultParagraphFont"/>
    <w:uiPriority w:val="22"/>
    <w:qFormat/>
    <w:rsid w:val="00F80956"/>
    <w:rPr>
      <w:b/>
      <w:bCs/>
    </w:rPr>
  </w:style>
  <w:style w:type="character" w:styleId="FollowedHyperlink">
    <w:name w:val="FollowedHyperlink"/>
    <w:basedOn w:val="DefaultParagraphFont"/>
    <w:uiPriority w:val="99"/>
    <w:semiHidden/>
    <w:unhideWhenUsed/>
    <w:rsid w:val="00FE21DA"/>
    <w:rPr>
      <w:color w:val="954F72" w:themeColor="followedHyperlink"/>
      <w:u w:val="single"/>
    </w:rPr>
  </w:style>
  <w:style w:type="paragraph" w:customStyle="1" w:styleId="References2">
    <w:name w:val="References2"/>
    <w:basedOn w:val="ListParagraph"/>
    <w:qFormat/>
    <w:rsid w:val="00A329DA"/>
    <w:pPr>
      <w:spacing w:after="0" w:line="240" w:lineRule="auto"/>
      <w:ind w:hanging="72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825699">
      <w:bodyDiv w:val="1"/>
      <w:marLeft w:val="0"/>
      <w:marRight w:val="0"/>
      <w:marTop w:val="0"/>
      <w:marBottom w:val="0"/>
      <w:divBdr>
        <w:top w:val="none" w:sz="0" w:space="0" w:color="auto"/>
        <w:left w:val="none" w:sz="0" w:space="0" w:color="auto"/>
        <w:bottom w:val="none" w:sz="0" w:space="0" w:color="auto"/>
        <w:right w:val="none" w:sz="0" w:space="0" w:color="auto"/>
      </w:divBdr>
    </w:div>
    <w:div w:id="1329671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1.jpeg"/><Relationship Id="rId42" Type="http://schemas.openxmlformats.org/officeDocument/2006/relationships/hyperlink" Target="https://doi.org/10.1007/s10950-005-9006-7" TargetMode="External"/><Relationship Id="rId47" Type="http://schemas.openxmlformats.org/officeDocument/2006/relationships/hyperlink" Target="https://doi.org/10.1144/0016-764904-136" TargetMode="External"/><Relationship Id="rId63" Type="http://schemas.openxmlformats.org/officeDocument/2006/relationships/hyperlink" Target="https://doi.org/10.1016/S0277-3791(00)00069-X" TargetMode="External"/><Relationship Id="rId68" Type="http://schemas.openxmlformats.org/officeDocument/2006/relationships/hyperlink" Target="https://doi.org/10.1785/gssrl.81.1.63" TargetMode="External"/><Relationship Id="rId16" Type="http://schemas.openxmlformats.org/officeDocument/2006/relationships/image" Target="media/image6.jpeg"/><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hyperlink" Target="https://doi.org/10.1785/BSSA0870020327" TargetMode="External"/><Relationship Id="rId37" Type="http://schemas.openxmlformats.org/officeDocument/2006/relationships/hyperlink" Target="http://doi.org/10.1785/0120080357" TargetMode="External"/><Relationship Id="rId40" Type="http://schemas.openxmlformats.org/officeDocument/2006/relationships/hyperlink" Target="https://doi.org/10.1144/0016-76492009-009" TargetMode="External"/><Relationship Id="rId45" Type="http://schemas.openxmlformats.org/officeDocument/2006/relationships/hyperlink" Target="https://doi.org/10.1144/gsl.sp.2000.167.01.19" TargetMode="External"/><Relationship Id="rId53" Type="http://schemas.openxmlformats.org/officeDocument/2006/relationships/hyperlink" Target="https://doi.org/10.1111/j.1365-3121.1989.tb00371.x" TargetMode="External"/><Relationship Id="rId58" Type="http://schemas.openxmlformats.org/officeDocument/2006/relationships/hyperlink" Target="https://doi.org/10.1785/BSSA0710041333" TargetMode="External"/><Relationship Id="rId66" Type="http://schemas.openxmlformats.org/officeDocument/2006/relationships/hyperlink" Target="https://www.ngu.no/publikasjon/trenching-and-14c-dating-postglacial-stuoragurra-fault-complex-finnmark-northern-norway" TargetMode="External"/><Relationship Id="rId74" Type="http://schemas.openxmlformats.org/officeDocument/2006/relationships/hyperlink" Target="https://doi.org/10.1007/s10950-023-10146-8" TargetMode="Externa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doi.org/10.1144/SP390.27" TargetMode="External"/><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yperlink" Target="https://doi.org/10.1007/978-94-009-2311-9_17" TargetMode="External"/><Relationship Id="rId30" Type="http://schemas.openxmlformats.org/officeDocument/2006/relationships/hyperlink" Target="https://doi.org/10.1785/0120100285" TargetMode="External"/><Relationship Id="rId35" Type="http://schemas.openxmlformats.org/officeDocument/2006/relationships/hyperlink" Target="https://doi.org/10.1016/0040-1951(82)90044-0" TargetMode="External"/><Relationship Id="rId43" Type="http://schemas.openxmlformats.org/officeDocument/2006/relationships/hyperlink" Target="https://doi.org/10.1016/S0277-3791(00)00073-1" TargetMode="External"/><Relationship Id="rId48" Type="http://schemas.openxmlformats.org/officeDocument/2006/relationships/hyperlink" Target="https://doi.org/10.1016/0040-1951(90)90333-4" TargetMode="External"/><Relationship Id="rId56" Type="http://schemas.openxmlformats.org/officeDocument/2006/relationships/hyperlink" Target="https://dx.doi.org/10.17850/njg97-3-02" TargetMode="External"/><Relationship Id="rId64" Type="http://schemas.openxmlformats.org/officeDocument/2006/relationships/hyperlink" Target="https://openarchive.ngu.no/ngu-xmlui/handle/11250/2664211" TargetMode="External"/><Relationship Id="rId69" Type="http://schemas.openxmlformats.org/officeDocument/2006/relationships/hyperlink" Target="https://doi.org/10.1029/RG017i005p00981" TargetMode="External"/><Relationship Id="rId77"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doi.org/10.1017/9781108779906" TargetMode="External"/><Relationship Id="rId72" Type="http://schemas.openxmlformats.org/officeDocument/2006/relationships/hyperlink" Target="https://doi.org/10.1111/j.1365-246X.1975.tb05891.x"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4.png"/><Relationship Id="rId33" Type="http://schemas.openxmlformats.org/officeDocument/2006/relationships/hyperlink" Target="https://doi.org/10.1016/0040-1951(91)90003-B" TargetMode="External"/><Relationship Id="rId38" Type="http://schemas.openxmlformats.org/officeDocument/2006/relationships/hyperlink" Target="https://doi.org/10.1016/j.marpetgeo.2004.10.007" TargetMode="External"/><Relationship Id="rId46" Type="http://schemas.openxmlformats.org/officeDocument/2006/relationships/hyperlink" Target="https://doi.org/10.1016/S0277-3791(00)00070-6" TargetMode="External"/><Relationship Id="rId59" Type="http://schemas.openxmlformats.org/officeDocument/2006/relationships/hyperlink" Target="https://doi.org/10.1093/gji/ggv207" TargetMode="External"/><Relationship Id="rId67" Type="http://schemas.openxmlformats.org/officeDocument/2006/relationships/hyperlink" Target="https://doi.org/10.1016/j.epsl.2008.11.014" TargetMode="External"/><Relationship Id="rId20" Type="http://schemas.openxmlformats.org/officeDocument/2006/relationships/image" Target="media/image10.jpeg"/><Relationship Id="rId41" Type="http://schemas.openxmlformats.org/officeDocument/2006/relationships/hyperlink" Target="https://doi.org/10.1029/1999JB900275" TargetMode="External"/><Relationship Id="rId54" Type="http://schemas.openxmlformats.org/officeDocument/2006/relationships/hyperlink" Target="https://doi.org/10.1080/00291960051030545" TargetMode="External"/><Relationship Id="rId62" Type="http://schemas.openxmlformats.org/officeDocument/2006/relationships/hyperlink" Target="https://doi.org/10.1111/j.1365-246X.1990.tb00536.x" TargetMode="External"/><Relationship Id="rId70" Type="http://schemas.openxmlformats.org/officeDocument/2006/relationships/hyperlink" Target="https://doi.org/10.1007/978-94-009-2311-9_17" TargetMode="External"/><Relationship Id="rId75" Type="http://schemas.openxmlformats.org/officeDocument/2006/relationships/hyperlink" Target="https://doi.org/10.1016/j.jsg.2020.104139"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chart" Target="charts/chart1.xml"/><Relationship Id="rId28" Type="http://schemas.openxmlformats.org/officeDocument/2006/relationships/hyperlink" Target="https://doi.org/10.1007/s10518-013-9537-1" TargetMode="External"/><Relationship Id="rId36" Type="http://schemas.openxmlformats.org/officeDocument/2006/relationships/hyperlink" Target="https://doi.org/10.1029/90JB02010" TargetMode="External"/><Relationship Id="rId49" Type="http://schemas.openxmlformats.org/officeDocument/2006/relationships/hyperlink" Target="https://doi.org/10.1080/11035897.2019.1624978" TargetMode="External"/><Relationship Id="rId57" Type="http://schemas.openxmlformats.org/officeDocument/2006/relationships/hyperlink" Target="https://www.epri.com/research/products/TR-102261-V1" TargetMode="External"/><Relationship Id="rId10" Type="http://schemas.openxmlformats.org/officeDocument/2006/relationships/endnotes" Target="endnotes.xml"/><Relationship Id="rId31" Type="http://schemas.openxmlformats.org/officeDocument/2006/relationships/hyperlink" Target="http://doi.org/10.1785/0120150229" TargetMode="External"/><Relationship Id="rId44" Type="http://schemas.openxmlformats.org/officeDocument/2006/relationships/hyperlink" Target="https://dx.doi.org/10.17850/njg101-2-3" TargetMode="External"/><Relationship Id="rId52" Type="http://schemas.openxmlformats.org/officeDocument/2006/relationships/hyperlink" Target="https://doi.org/10.1193/1.3651317" TargetMode="External"/><Relationship Id="rId60" Type="http://schemas.openxmlformats.org/officeDocument/2006/relationships/hyperlink" Target="https://doi.org/10.1002/2013JB010889" TargetMode="External"/><Relationship Id="rId65" Type="http://schemas.openxmlformats.org/officeDocument/2006/relationships/hyperlink" Target="https://doi.org/10.1017/9781108779906" TargetMode="External"/><Relationship Id="rId73" Type="http://schemas.openxmlformats.org/officeDocument/2006/relationships/hyperlink" Target="https://doi.org/10.1029/2023JB028217" TargetMode="External"/><Relationship Id="rId78"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8.emf"/><Relationship Id="rId39" Type="http://schemas.openxmlformats.org/officeDocument/2006/relationships/hyperlink" Target="https://doi.org/10.1016/j.earscirev.2022.104146" TargetMode="External"/><Relationship Id="rId34" Type="http://schemas.openxmlformats.org/officeDocument/2006/relationships/hyperlink" Target="https://doi.org/10.1038/280032a0" TargetMode="External"/><Relationship Id="rId50" Type="http://schemas.openxmlformats.org/officeDocument/2006/relationships/hyperlink" Target="https://doi.org/10.1144/SP546-2023-163" TargetMode="External"/><Relationship Id="rId55" Type="http://schemas.openxmlformats.org/officeDocument/2006/relationships/hyperlink" Target="https://dx.doi.org/10.17850/njg97-3-03" TargetMode="External"/><Relationship Id="rId76" Type="http://schemas.openxmlformats.org/officeDocument/2006/relationships/hyperlink" Target="https://doi.org/10.1785/BSSA0860020353" TargetMode="External"/><Relationship Id="rId7" Type="http://schemas.openxmlformats.org/officeDocument/2006/relationships/settings" Target="settings.xml"/><Relationship Id="rId71" Type="http://schemas.openxmlformats.org/officeDocument/2006/relationships/hyperlink" Target="https://doi.org/10.1016/0040-1951(91)90505-M" TargetMode="External"/><Relationship Id="rId2" Type="http://schemas.openxmlformats.org/officeDocument/2006/relationships/customXml" Target="../customXml/item2.xml"/><Relationship Id="rId29" Type="http://schemas.openxmlformats.org/officeDocument/2006/relationships/hyperlink" Target="https://doi.org/10.1111/j.1365-3121.1994.tb00652.x"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NORSAR%20work\Zonation%20Norway\Vs%20adjustments\gen_prof_2a.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3090502005096069E-2"/>
          <c:y val="2.5340846074864264E-2"/>
          <c:w val="0.62473235934703231"/>
          <c:h val="0.89743513448476098"/>
        </c:manualLayout>
      </c:layout>
      <c:scatterChart>
        <c:scatterStyle val="smoothMarker"/>
        <c:varyColors val="0"/>
        <c:ser>
          <c:idx val="1"/>
          <c:order val="0"/>
          <c:tx>
            <c:v>800</c:v>
          </c:tx>
          <c:marker>
            <c:symbol val="none"/>
          </c:marker>
          <c:xVal>
            <c:numRef>
              <c:f>'Ark1'!$D$39:$D$64</c:f>
              <c:numCache>
                <c:formatCode>0</c:formatCode>
                <c:ptCount val="26"/>
                <c:pt idx="0">
                  <c:v>458.86631914347436</c:v>
                </c:pt>
                <c:pt idx="1">
                  <c:v>544.27317256144227</c:v>
                </c:pt>
                <c:pt idx="2">
                  <c:v>645.57644353381659</c:v>
                </c:pt>
                <c:pt idx="3">
                  <c:v>765.73486524126395</c:v>
                </c:pt>
                <c:pt idx="4">
                  <c:v>908.2578673974532</c:v>
                </c:pt>
                <c:pt idx="5">
                  <c:v>1013.7683037970738</c:v>
                </c:pt>
                <c:pt idx="6">
                  <c:v>1060.3216900796638</c:v>
                </c:pt>
                <c:pt idx="7">
                  <c:v>1118.6622572533388</c:v>
                </c:pt>
                <c:pt idx="8">
                  <c:v>1423.2949435425962</c:v>
                </c:pt>
                <c:pt idx="9">
                  <c:v>1716.4434006692863</c:v>
                </c:pt>
                <c:pt idx="10">
                  <c:v>1976.1239362213744</c:v>
                </c:pt>
                <c:pt idx="11">
                  <c:v>2013.59870507849</c:v>
                </c:pt>
                <c:pt idx="12">
                  <c:v>2047.8329781744235</c:v>
                </c:pt>
                <c:pt idx="13">
                  <c:v>2174.6386475585323</c:v>
                </c:pt>
                <c:pt idx="14">
                  <c:v>2370.044882381414</c:v>
                </c:pt>
                <c:pt idx="15">
                  <c:v>2663.5679440865433</c:v>
                </c:pt>
                <c:pt idx="16">
                  <c:v>2851.8428840956335</c:v>
                </c:pt>
                <c:pt idx="17">
                  <c:v>2993.4429704288082</c:v>
                </c:pt>
                <c:pt idx="18">
                  <c:v>3108.1005758795995</c:v>
                </c:pt>
                <c:pt idx="19">
                  <c:v>3205.0352059223155</c:v>
                </c:pt>
                <c:pt idx="20">
                  <c:v>3289.3470977047959</c:v>
                </c:pt>
                <c:pt idx="21">
                  <c:v>3364.1720449082336</c:v>
                </c:pt>
                <c:pt idx="22">
                  <c:v>3395.3207135095399</c:v>
                </c:pt>
                <c:pt idx="23">
                  <c:v>3423.4284487499885</c:v>
                </c:pt>
                <c:pt idx="24">
                  <c:v>3472.6184202546533</c:v>
                </c:pt>
                <c:pt idx="25">
                  <c:v>3551.675882843826</c:v>
                </c:pt>
              </c:numCache>
            </c:numRef>
          </c:xVal>
          <c:yVal>
            <c:numRef>
              <c:f>'Ark1'!$A$39:$A$64</c:f>
              <c:numCache>
                <c:formatCode>0</c:formatCode>
                <c:ptCount val="26"/>
                <c:pt idx="0">
                  <c:v>-1</c:v>
                </c:pt>
                <c:pt idx="1">
                  <c:v>-2</c:v>
                </c:pt>
                <c:pt idx="2">
                  <c:v>-4</c:v>
                </c:pt>
                <c:pt idx="3">
                  <c:v>-8</c:v>
                </c:pt>
                <c:pt idx="4">
                  <c:v>-16</c:v>
                </c:pt>
                <c:pt idx="5">
                  <c:v>-25</c:v>
                </c:pt>
                <c:pt idx="6">
                  <c:v>-30</c:v>
                </c:pt>
                <c:pt idx="7">
                  <c:v>-35</c:v>
                </c:pt>
                <c:pt idx="8">
                  <c:v>-70</c:v>
                </c:pt>
                <c:pt idx="9">
                  <c:v>-120</c:v>
                </c:pt>
                <c:pt idx="10">
                  <c:v>-180</c:v>
                </c:pt>
                <c:pt idx="11">
                  <c:v>-190</c:v>
                </c:pt>
                <c:pt idx="12">
                  <c:v>-210</c:v>
                </c:pt>
                <c:pt idx="13">
                  <c:v>-300</c:v>
                </c:pt>
                <c:pt idx="14">
                  <c:v>-500</c:v>
                </c:pt>
                <c:pt idx="15">
                  <c:v>-1000</c:v>
                </c:pt>
                <c:pt idx="16">
                  <c:v>-1500</c:v>
                </c:pt>
                <c:pt idx="17">
                  <c:v>-2000</c:v>
                </c:pt>
                <c:pt idx="18">
                  <c:v>-2500</c:v>
                </c:pt>
                <c:pt idx="19">
                  <c:v>-3000</c:v>
                </c:pt>
                <c:pt idx="20">
                  <c:v>-3500</c:v>
                </c:pt>
                <c:pt idx="21">
                  <c:v>-4000</c:v>
                </c:pt>
                <c:pt idx="22">
                  <c:v>-4500</c:v>
                </c:pt>
                <c:pt idx="23">
                  <c:v>-5000</c:v>
                </c:pt>
                <c:pt idx="24">
                  <c:v>-6000</c:v>
                </c:pt>
                <c:pt idx="25">
                  <c:v>-8000</c:v>
                </c:pt>
              </c:numCache>
            </c:numRef>
          </c:yVal>
          <c:smooth val="1"/>
          <c:extLst>
            <c:ext xmlns:c16="http://schemas.microsoft.com/office/drawing/2014/chart" uri="{C3380CC4-5D6E-409C-BE32-E72D297353CC}">
              <c16:uniqueId val="{00000000-3810-4D34-9E78-ABBCD2005A6C}"/>
            </c:ext>
          </c:extLst>
        </c:ser>
        <c:ser>
          <c:idx val="2"/>
          <c:order val="1"/>
          <c:tx>
            <c:v>1200</c:v>
          </c:tx>
          <c:marker>
            <c:symbol val="none"/>
          </c:marker>
          <c:xVal>
            <c:numRef>
              <c:f>'Ark1'!$E$39:$E$64</c:f>
              <c:numCache>
                <c:formatCode>0</c:formatCode>
                <c:ptCount val="26"/>
                <c:pt idx="0">
                  <c:v>810.54659494926545</c:v>
                </c:pt>
                <c:pt idx="1">
                  <c:v>911.33332862533825</c:v>
                </c:pt>
                <c:pt idx="2">
                  <c:v>1024.652303813976</c:v>
                </c:pt>
                <c:pt idx="3">
                  <c:v>1152.0618315309332</c:v>
                </c:pt>
                <c:pt idx="4">
                  <c:v>1295.3139896627486</c:v>
                </c:pt>
                <c:pt idx="5">
                  <c:v>1396.8406480540225</c:v>
                </c:pt>
                <c:pt idx="6">
                  <c:v>1440.5725103522989</c:v>
                </c:pt>
                <c:pt idx="7">
                  <c:v>1495.983220890261</c:v>
                </c:pt>
                <c:pt idx="8">
                  <c:v>1772.6886684495882</c:v>
                </c:pt>
                <c:pt idx="9">
                  <c:v>2022.7705189073424</c:v>
                </c:pt>
                <c:pt idx="10">
                  <c:v>2233.8896341864461</c:v>
                </c:pt>
                <c:pt idx="11">
                  <c:v>2263.6586944514929</c:v>
                </c:pt>
                <c:pt idx="12">
                  <c:v>2294.5808709543244</c:v>
                </c:pt>
                <c:pt idx="13">
                  <c:v>2408.2559258139659</c:v>
                </c:pt>
                <c:pt idx="14">
                  <c:v>2580.9378184960519</c:v>
                </c:pt>
                <c:pt idx="15">
                  <c:v>2835.2192112315224</c:v>
                </c:pt>
                <c:pt idx="16">
                  <c:v>2995.4249100370025</c:v>
                </c:pt>
                <c:pt idx="17">
                  <c:v>3114.5531357359173</c:v>
                </c:pt>
                <c:pt idx="18">
                  <c:v>3210.2092430922316</c:v>
                </c:pt>
                <c:pt idx="19">
                  <c:v>3290.5427592545288</c:v>
                </c:pt>
                <c:pt idx="20">
                  <c:v>3360.030143609265</c:v>
                </c:pt>
                <c:pt idx="21">
                  <c:v>3421.4078392580072</c:v>
                </c:pt>
                <c:pt idx="22">
                  <c:v>3445.7112402891094</c:v>
                </c:pt>
                <c:pt idx="23">
                  <c:v>3467.5976205915854</c:v>
                </c:pt>
                <c:pt idx="24">
                  <c:v>3505.7999324560747</c:v>
                </c:pt>
                <c:pt idx="25">
                  <c:v>3566.9364927334368</c:v>
                </c:pt>
              </c:numCache>
            </c:numRef>
          </c:xVal>
          <c:yVal>
            <c:numRef>
              <c:f>'Ark1'!$A$39:$A$64</c:f>
              <c:numCache>
                <c:formatCode>0</c:formatCode>
                <c:ptCount val="26"/>
                <c:pt idx="0">
                  <c:v>-1</c:v>
                </c:pt>
                <c:pt idx="1">
                  <c:v>-2</c:v>
                </c:pt>
                <c:pt idx="2">
                  <c:v>-4</c:v>
                </c:pt>
                <c:pt idx="3">
                  <c:v>-8</c:v>
                </c:pt>
                <c:pt idx="4">
                  <c:v>-16</c:v>
                </c:pt>
                <c:pt idx="5">
                  <c:v>-25</c:v>
                </c:pt>
                <c:pt idx="6">
                  <c:v>-30</c:v>
                </c:pt>
                <c:pt idx="7">
                  <c:v>-35</c:v>
                </c:pt>
                <c:pt idx="8">
                  <c:v>-70</c:v>
                </c:pt>
                <c:pt idx="9">
                  <c:v>-120</c:v>
                </c:pt>
                <c:pt idx="10">
                  <c:v>-180</c:v>
                </c:pt>
                <c:pt idx="11">
                  <c:v>-190</c:v>
                </c:pt>
                <c:pt idx="12">
                  <c:v>-210</c:v>
                </c:pt>
                <c:pt idx="13">
                  <c:v>-300</c:v>
                </c:pt>
                <c:pt idx="14">
                  <c:v>-500</c:v>
                </c:pt>
                <c:pt idx="15">
                  <c:v>-1000</c:v>
                </c:pt>
                <c:pt idx="16">
                  <c:v>-1500</c:v>
                </c:pt>
                <c:pt idx="17">
                  <c:v>-2000</c:v>
                </c:pt>
                <c:pt idx="18">
                  <c:v>-2500</c:v>
                </c:pt>
                <c:pt idx="19">
                  <c:v>-3000</c:v>
                </c:pt>
                <c:pt idx="20">
                  <c:v>-3500</c:v>
                </c:pt>
                <c:pt idx="21">
                  <c:v>-4000</c:v>
                </c:pt>
                <c:pt idx="22">
                  <c:v>-4500</c:v>
                </c:pt>
                <c:pt idx="23">
                  <c:v>-5000</c:v>
                </c:pt>
                <c:pt idx="24">
                  <c:v>-6000</c:v>
                </c:pt>
                <c:pt idx="25">
                  <c:v>-8000</c:v>
                </c:pt>
              </c:numCache>
            </c:numRef>
          </c:yVal>
          <c:smooth val="1"/>
          <c:extLst>
            <c:ext xmlns:c16="http://schemas.microsoft.com/office/drawing/2014/chart" uri="{C3380CC4-5D6E-409C-BE32-E72D297353CC}">
              <c16:uniqueId val="{00000001-3810-4D34-9E78-ABBCD2005A6C}"/>
            </c:ext>
          </c:extLst>
        </c:ser>
        <c:ser>
          <c:idx val="3"/>
          <c:order val="2"/>
          <c:tx>
            <c:v>1600</c:v>
          </c:tx>
          <c:marker>
            <c:symbol val="none"/>
          </c:marker>
          <c:xVal>
            <c:numRef>
              <c:f>'Ark1'!$F$39:$F$64</c:f>
              <c:numCache>
                <c:formatCode>0</c:formatCode>
                <c:ptCount val="26"/>
                <c:pt idx="0">
                  <c:v>1213.6470670426122</c:v>
                </c:pt>
                <c:pt idx="1">
                  <c:v>1313.7377562348688</c:v>
                </c:pt>
                <c:pt idx="2">
                  <c:v>1422.0830248143545</c:v>
                </c:pt>
                <c:pt idx="3">
                  <c:v>1539.3636362108139</c:v>
                </c:pt>
                <c:pt idx="4">
                  <c:v>1666.3164970958876</c:v>
                </c:pt>
                <c:pt idx="5">
                  <c:v>1753.5438195704462</c:v>
                </c:pt>
                <c:pt idx="6">
                  <c:v>1790.4792254533972</c:v>
                </c:pt>
                <c:pt idx="7">
                  <c:v>1838.5977616241028</c:v>
                </c:pt>
                <c:pt idx="8">
                  <c:v>2071.4552012255126</c:v>
                </c:pt>
                <c:pt idx="9">
                  <c:v>2272.7251767050684</c:v>
                </c:pt>
                <c:pt idx="10">
                  <c:v>2436.9209393130141</c:v>
                </c:pt>
                <c:pt idx="11">
                  <c:v>2459.6940896753053</c:v>
                </c:pt>
                <c:pt idx="12">
                  <c:v>2487.4794173052396</c:v>
                </c:pt>
                <c:pt idx="13">
                  <c:v>2589.0772609932205</c:v>
                </c:pt>
                <c:pt idx="14">
                  <c:v>2741.854080719429</c:v>
                </c:pt>
                <c:pt idx="15">
                  <c:v>2963.6753011485516</c:v>
                </c:pt>
                <c:pt idx="16">
                  <c:v>3101.6609989203603</c:v>
                </c:pt>
                <c:pt idx="17">
                  <c:v>3203.442281047031</c:v>
                </c:pt>
                <c:pt idx="18">
                  <c:v>3284.6844684873076</c:v>
                </c:pt>
                <c:pt idx="19">
                  <c:v>3352.5912847353516</c:v>
                </c:pt>
                <c:pt idx="20">
                  <c:v>3411.0997918089843</c:v>
                </c:pt>
                <c:pt idx="21">
                  <c:v>3462.6068665561384</c:v>
                </c:pt>
                <c:pt idx="22">
                  <c:v>3481.9167821527535</c:v>
                </c:pt>
                <c:pt idx="23">
                  <c:v>3499.2813205975017</c:v>
                </c:pt>
                <c:pt idx="24">
                  <c:v>3529.5346937592403</c:v>
                </c:pt>
                <c:pt idx="25">
                  <c:v>3577.8038172262131</c:v>
                </c:pt>
              </c:numCache>
            </c:numRef>
          </c:xVal>
          <c:yVal>
            <c:numRef>
              <c:f>'Ark1'!$A$39:$A$64</c:f>
              <c:numCache>
                <c:formatCode>0</c:formatCode>
                <c:ptCount val="26"/>
                <c:pt idx="0">
                  <c:v>-1</c:v>
                </c:pt>
                <c:pt idx="1">
                  <c:v>-2</c:v>
                </c:pt>
                <c:pt idx="2">
                  <c:v>-4</c:v>
                </c:pt>
                <c:pt idx="3">
                  <c:v>-8</c:v>
                </c:pt>
                <c:pt idx="4">
                  <c:v>-16</c:v>
                </c:pt>
                <c:pt idx="5">
                  <c:v>-25</c:v>
                </c:pt>
                <c:pt idx="6">
                  <c:v>-30</c:v>
                </c:pt>
                <c:pt idx="7">
                  <c:v>-35</c:v>
                </c:pt>
                <c:pt idx="8">
                  <c:v>-70</c:v>
                </c:pt>
                <c:pt idx="9">
                  <c:v>-120</c:v>
                </c:pt>
                <c:pt idx="10">
                  <c:v>-180</c:v>
                </c:pt>
                <c:pt idx="11">
                  <c:v>-190</c:v>
                </c:pt>
                <c:pt idx="12">
                  <c:v>-210</c:v>
                </c:pt>
                <c:pt idx="13">
                  <c:v>-300</c:v>
                </c:pt>
                <c:pt idx="14">
                  <c:v>-500</c:v>
                </c:pt>
                <c:pt idx="15">
                  <c:v>-1000</c:v>
                </c:pt>
                <c:pt idx="16">
                  <c:v>-1500</c:v>
                </c:pt>
                <c:pt idx="17">
                  <c:v>-2000</c:v>
                </c:pt>
                <c:pt idx="18">
                  <c:v>-2500</c:v>
                </c:pt>
                <c:pt idx="19">
                  <c:v>-3000</c:v>
                </c:pt>
                <c:pt idx="20">
                  <c:v>-3500</c:v>
                </c:pt>
                <c:pt idx="21">
                  <c:v>-4000</c:v>
                </c:pt>
                <c:pt idx="22">
                  <c:v>-4500</c:v>
                </c:pt>
                <c:pt idx="23">
                  <c:v>-5000</c:v>
                </c:pt>
                <c:pt idx="24">
                  <c:v>-6000</c:v>
                </c:pt>
                <c:pt idx="25">
                  <c:v>-8000</c:v>
                </c:pt>
              </c:numCache>
            </c:numRef>
          </c:yVal>
          <c:smooth val="1"/>
          <c:extLst>
            <c:ext xmlns:c16="http://schemas.microsoft.com/office/drawing/2014/chart" uri="{C3380CC4-5D6E-409C-BE32-E72D297353CC}">
              <c16:uniqueId val="{00000002-3810-4D34-9E78-ABBCD2005A6C}"/>
            </c:ext>
          </c:extLst>
        </c:ser>
        <c:ser>
          <c:idx val="4"/>
          <c:order val="3"/>
          <c:tx>
            <c:v>2000</c:v>
          </c:tx>
          <c:marker>
            <c:symbol val="none"/>
          </c:marker>
          <c:xVal>
            <c:numRef>
              <c:f>'Ark1'!$G$39:$G$64</c:f>
              <c:numCache>
                <c:formatCode>0</c:formatCode>
                <c:ptCount val="26"/>
                <c:pt idx="0">
                  <c:v>1659.880577792022</c:v>
                </c:pt>
                <c:pt idx="1">
                  <c:v>1744.6483681362545</c:v>
                </c:pt>
                <c:pt idx="2">
                  <c:v>1833.7451315258861</c:v>
                </c:pt>
                <c:pt idx="3">
                  <c:v>1927.391942587868</c:v>
                </c:pt>
                <c:pt idx="4">
                  <c:v>2025.8211659225856</c:v>
                </c:pt>
                <c:pt idx="5">
                  <c:v>2091.8396933593867</c:v>
                </c:pt>
                <c:pt idx="6">
                  <c:v>2119.4252986971214</c:v>
                </c:pt>
                <c:pt idx="7">
                  <c:v>2157.5201653904974</c:v>
                </c:pt>
                <c:pt idx="8">
                  <c:v>2337.4567935848991</c:v>
                </c:pt>
                <c:pt idx="9">
                  <c:v>2487.6860499918685</c:v>
                </c:pt>
                <c:pt idx="10">
                  <c:v>2607.0278605254157</c:v>
                </c:pt>
                <c:pt idx="11">
                  <c:v>2623.3683858822415</c:v>
                </c:pt>
                <c:pt idx="12">
                  <c:v>2648.2021911683032</c:v>
                </c:pt>
                <c:pt idx="13">
                  <c:v>2738.6315659541706</c:v>
                </c:pt>
                <c:pt idx="14">
                  <c:v>2873.5479520506578</c:v>
                </c:pt>
                <c:pt idx="15">
                  <c:v>3067.3081580096919</c:v>
                </c:pt>
                <c:pt idx="16">
                  <c:v>3186.6520032034505</c:v>
                </c:pt>
                <c:pt idx="17">
                  <c:v>3274.1334034390075</c:v>
                </c:pt>
                <c:pt idx="18">
                  <c:v>3343.6397402047023</c:v>
                </c:pt>
                <c:pt idx="19">
                  <c:v>3401.5244740177409</c:v>
                </c:pt>
                <c:pt idx="20">
                  <c:v>3451.2464283346812</c:v>
                </c:pt>
                <c:pt idx="21">
                  <c:v>3494.9046497079162</c:v>
                </c:pt>
                <c:pt idx="22">
                  <c:v>3510.2617597197818</c:v>
                </c:pt>
                <c:pt idx="23">
                  <c:v>3524.056334741585</c:v>
                </c:pt>
                <c:pt idx="24">
                  <c:v>3548.0554073009785</c:v>
                </c:pt>
                <c:pt idx="25">
                  <c:v>3586.2559646499549</c:v>
                </c:pt>
              </c:numCache>
            </c:numRef>
          </c:xVal>
          <c:yVal>
            <c:numRef>
              <c:f>'Ark1'!$A$39:$A$64</c:f>
              <c:numCache>
                <c:formatCode>0</c:formatCode>
                <c:ptCount val="26"/>
                <c:pt idx="0">
                  <c:v>-1</c:v>
                </c:pt>
                <c:pt idx="1">
                  <c:v>-2</c:v>
                </c:pt>
                <c:pt idx="2">
                  <c:v>-4</c:v>
                </c:pt>
                <c:pt idx="3">
                  <c:v>-8</c:v>
                </c:pt>
                <c:pt idx="4">
                  <c:v>-16</c:v>
                </c:pt>
                <c:pt idx="5">
                  <c:v>-25</c:v>
                </c:pt>
                <c:pt idx="6">
                  <c:v>-30</c:v>
                </c:pt>
                <c:pt idx="7">
                  <c:v>-35</c:v>
                </c:pt>
                <c:pt idx="8">
                  <c:v>-70</c:v>
                </c:pt>
                <c:pt idx="9">
                  <c:v>-120</c:v>
                </c:pt>
                <c:pt idx="10">
                  <c:v>-180</c:v>
                </c:pt>
                <c:pt idx="11">
                  <c:v>-190</c:v>
                </c:pt>
                <c:pt idx="12">
                  <c:v>-210</c:v>
                </c:pt>
                <c:pt idx="13">
                  <c:v>-300</c:v>
                </c:pt>
                <c:pt idx="14">
                  <c:v>-500</c:v>
                </c:pt>
                <c:pt idx="15">
                  <c:v>-1000</c:v>
                </c:pt>
                <c:pt idx="16">
                  <c:v>-1500</c:v>
                </c:pt>
                <c:pt idx="17">
                  <c:v>-2000</c:v>
                </c:pt>
                <c:pt idx="18">
                  <c:v>-2500</c:v>
                </c:pt>
                <c:pt idx="19">
                  <c:v>-3000</c:v>
                </c:pt>
                <c:pt idx="20">
                  <c:v>-3500</c:v>
                </c:pt>
                <c:pt idx="21">
                  <c:v>-4000</c:v>
                </c:pt>
                <c:pt idx="22">
                  <c:v>-4500</c:v>
                </c:pt>
                <c:pt idx="23">
                  <c:v>-5000</c:v>
                </c:pt>
                <c:pt idx="24">
                  <c:v>-6000</c:v>
                </c:pt>
                <c:pt idx="25">
                  <c:v>-8000</c:v>
                </c:pt>
              </c:numCache>
            </c:numRef>
          </c:yVal>
          <c:smooth val="1"/>
          <c:extLst>
            <c:ext xmlns:c16="http://schemas.microsoft.com/office/drawing/2014/chart" uri="{C3380CC4-5D6E-409C-BE32-E72D297353CC}">
              <c16:uniqueId val="{00000003-3810-4D34-9E78-ABBCD2005A6C}"/>
            </c:ext>
          </c:extLst>
        </c:ser>
        <c:ser>
          <c:idx val="5"/>
          <c:order val="4"/>
          <c:tx>
            <c:v>2400</c:v>
          </c:tx>
          <c:marker>
            <c:symbol val="none"/>
          </c:marker>
          <c:xVal>
            <c:numRef>
              <c:f>'Ark1'!$H$39:$H$64</c:f>
              <c:numCache>
                <c:formatCode>0</c:formatCode>
                <c:ptCount val="26"/>
                <c:pt idx="0">
                  <c:v>2143.7997443302734</c:v>
                </c:pt>
                <c:pt idx="1">
                  <c:v>2199.7281194217817</c:v>
                </c:pt>
                <c:pt idx="2">
                  <c:v>2257.1155781560828</c:v>
                </c:pt>
                <c:pt idx="3">
                  <c:v>2316.0001857384186</c:v>
                </c:pt>
                <c:pt idx="4">
                  <c:v>2376.4210004355705</c:v>
                </c:pt>
                <c:pt idx="5">
                  <c:v>2416.1549302198473</c:v>
                </c:pt>
                <c:pt idx="6">
                  <c:v>2432.5779399563694</c:v>
                </c:pt>
                <c:pt idx="7">
                  <c:v>2458.7505151996538</c:v>
                </c:pt>
                <c:pt idx="8">
                  <c:v>2579.9608008679302</c:v>
                </c:pt>
                <c:pt idx="9">
                  <c:v>2678.3297854301077</c:v>
                </c:pt>
                <c:pt idx="10">
                  <c:v>2754.7930197498499</c:v>
                </c:pt>
                <c:pt idx="11">
                  <c:v>2765.1527078069998</c:v>
                </c:pt>
                <c:pt idx="12">
                  <c:v>2787.2012750421968</c:v>
                </c:pt>
                <c:pt idx="13">
                  <c:v>2867.216888275821</c:v>
                </c:pt>
                <c:pt idx="14">
                  <c:v>2985.8315943012853</c:v>
                </c:pt>
                <c:pt idx="15">
                  <c:v>3154.6667200000384</c:v>
                </c:pt>
                <c:pt idx="16">
                  <c:v>3257.8206430900773</c:v>
                </c:pt>
                <c:pt idx="17">
                  <c:v>3333.0487001577358</c:v>
                </c:pt>
                <c:pt idx="18">
                  <c:v>3392.5943462737928</c:v>
                </c:pt>
                <c:pt idx="19">
                  <c:v>3442.0355059878689</c:v>
                </c:pt>
                <c:pt idx="20">
                  <c:v>3484.3991171788725</c:v>
                </c:pt>
                <c:pt idx="21">
                  <c:v>3521.5173657466539</c:v>
                </c:pt>
                <c:pt idx="22">
                  <c:v>3533.5924957774459</c:v>
                </c:pt>
                <c:pt idx="23">
                  <c:v>3544.42914836297</c:v>
                </c:pt>
                <c:pt idx="24">
                  <c:v>3563.2600514959931</c:v>
                </c:pt>
                <c:pt idx="25">
                  <c:v>3593.1766919246093</c:v>
                </c:pt>
              </c:numCache>
            </c:numRef>
          </c:xVal>
          <c:yVal>
            <c:numRef>
              <c:f>'Ark1'!$A$39:$A$64</c:f>
              <c:numCache>
                <c:formatCode>0</c:formatCode>
                <c:ptCount val="26"/>
                <c:pt idx="0">
                  <c:v>-1</c:v>
                </c:pt>
                <c:pt idx="1">
                  <c:v>-2</c:v>
                </c:pt>
                <c:pt idx="2">
                  <c:v>-4</c:v>
                </c:pt>
                <c:pt idx="3">
                  <c:v>-8</c:v>
                </c:pt>
                <c:pt idx="4">
                  <c:v>-16</c:v>
                </c:pt>
                <c:pt idx="5">
                  <c:v>-25</c:v>
                </c:pt>
                <c:pt idx="6">
                  <c:v>-30</c:v>
                </c:pt>
                <c:pt idx="7">
                  <c:v>-35</c:v>
                </c:pt>
                <c:pt idx="8">
                  <c:v>-70</c:v>
                </c:pt>
                <c:pt idx="9">
                  <c:v>-120</c:v>
                </c:pt>
                <c:pt idx="10">
                  <c:v>-180</c:v>
                </c:pt>
                <c:pt idx="11">
                  <c:v>-190</c:v>
                </c:pt>
                <c:pt idx="12">
                  <c:v>-210</c:v>
                </c:pt>
                <c:pt idx="13">
                  <c:v>-300</c:v>
                </c:pt>
                <c:pt idx="14">
                  <c:v>-500</c:v>
                </c:pt>
                <c:pt idx="15">
                  <c:v>-1000</c:v>
                </c:pt>
                <c:pt idx="16">
                  <c:v>-1500</c:v>
                </c:pt>
                <c:pt idx="17">
                  <c:v>-2000</c:v>
                </c:pt>
                <c:pt idx="18">
                  <c:v>-2500</c:v>
                </c:pt>
                <c:pt idx="19">
                  <c:v>-3000</c:v>
                </c:pt>
                <c:pt idx="20">
                  <c:v>-3500</c:v>
                </c:pt>
                <c:pt idx="21">
                  <c:v>-4000</c:v>
                </c:pt>
                <c:pt idx="22">
                  <c:v>-4500</c:v>
                </c:pt>
                <c:pt idx="23">
                  <c:v>-5000</c:v>
                </c:pt>
                <c:pt idx="24">
                  <c:v>-6000</c:v>
                </c:pt>
                <c:pt idx="25">
                  <c:v>-8000</c:v>
                </c:pt>
              </c:numCache>
            </c:numRef>
          </c:yVal>
          <c:smooth val="1"/>
          <c:extLst>
            <c:ext xmlns:c16="http://schemas.microsoft.com/office/drawing/2014/chart" uri="{C3380CC4-5D6E-409C-BE32-E72D297353CC}">
              <c16:uniqueId val="{00000004-3810-4D34-9E78-ABBCD2005A6C}"/>
            </c:ext>
          </c:extLst>
        </c:ser>
        <c:ser>
          <c:idx val="6"/>
          <c:order val="5"/>
          <c:tx>
            <c:v>2400</c:v>
          </c:tx>
          <c:marker>
            <c:symbol val="none"/>
          </c:marker>
          <c:xVal>
            <c:numRef>
              <c:f>'Ark1'!$H$39:$H$64</c:f>
              <c:numCache>
                <c:formatCode>0</c:formatCode>
                <c:ptCount val="26"/>
                <c:pt idx="0">
                  <c:v>2143.7997443302734</c:v>
                </c:pt>
                <c:pt idx="1">
                  <c:v>2199.7281194217817</c:v>
                </c:pt>
                <c:pt idx="2">
                  <c:v>2257.1155781560828</c:v>
                </c:pt>
                <c:pt idx="3">
                  <c:v>2316.0001857384186</c:v>
                </c:pt>
                <c:pt idx="4">
                  <c:v>2376.4210004355705</c:v>
                </c:pt>
                <c:pt idx="5">
                  <c:v>2416.1549302198473</c:v>
                </c:pt>
                <c:pt idx="6">
                  <c:v>2432.5779399563694</c:v>
                </c:pt>
                <c:pt idx="7">
                  <c:v>2458.7505151996538</c:v>
                </c:pt>
                <c:pt idx="8">
                  <c:v>2579.9608008679302</c:v>
                </c:pt>
                <c:pt idx="9">
                  <c:v>2678.3297854301077</c:v>
                </c:pt>
                <c:pt idx="10">
                  <c:v>2754.7930197498499</c:v>
                </c:pt>
                <c:pt idx="11">
                  <c:v>2765.1527078069998</c:v>
                </c:pt>
                <c:pt idx="12">
                  <c:v>2787.2012750421968</c:v>
                </c:pt>
                <c:pt idx="13">
                  <c:v>2867.216888275821</c:v>
                </c:pt>
                <c:pt idx="14">
                  <c:v>2985.8315943012853</c:v>
                </c:pt>
                <c:pt idx="15">
                  <c:v>3154.6667200000384</c:v>
                </c:pt>
                <c:pt idx="16">
                  <c:v>3257.8206430900773</c:v>
                </c:pt>
                <c:pt idx="17">
                  <c:v>3333.0487001577358</c:v>
                </c:pt>
                <c:pt idx="18">
                  <c:v>3392.5943462737928</c:v>
                </c:pt>
                <c:pt idx="19">
                  <c:v>3442.0355059878689</c:v>
                </c:pt>
                <c:pt idx="20">
                  <c:v>3484.3991171788725</c:v>
                </c:pt>
                <c:pt idx="21">
                  <c:v>3521.5173657466539</c:v>
                </c:pt>
                <c:pt idx="22">
                  <c:v>3533.5924957774459</c:v>
                </c:pt>
                <c:pt idx="23">
                  <c:v>3544.42914836297</c:v>
                </c:pt>
                <c:pt idx="24">
                  <c:v>3563.2600514959931</c:v>
                </c:pt>
                <c:pt idx="25">
                  <c:v>3593.1766919246093</c:v>
                </c:pt>
              </c:numCache>
            </c:numRef>
          </c:xVal>
          <c:yVal>
            <c:numRef>
              <c:f>'Ark1'!$A$39:$A$64</c:f>
              <c:numCache>
                <c:formatCode>0</c:formatCode>
                <c:ptCount val="26"/>
                <c:pt idx="0">
                  <c:v>-1</c:v>
                </c:pt>
                <c:pt idx="1">
                  <c:v>-2</c:v>
                </c:pt>
                <c:pt idx="2">
                  <c:v>-4</c:v>
                </c:pt>
                <c:pt idx="3">
                  <c:v>-8</c:v>
                </c:pt>
                <c:pt idx="4">
                  <c:v>-16</c:v>
                </c:pt>
                <c:pt idx="5">
                  <c:v>-25</c:v>
                </c:pt>
                <c:pt idx="6">
                  <c:v>-30</c:v>
                </c:pt>
                <c:pt idx="7">
                  <c:v>-35</c:v>
                </c:pt>
                <c:pt idx="8">
                  <c:v>-70</c:v>
                </c:pt>
                <c:pt idx="9">
                  <c:v>-120</c:v>
                </c:pt>
                <c:pt idx="10">
                  <c:v>-180</c:v>
                </c:pt>
                <c:pt idx="11">
                  <c:v>-190</c:v>
                </c:pt>
                <c:pt idx="12">
                  <c:v>-210</c:v>
                </c:pt>
                <c:pt idx="13">
                  <c:v>-300</c:v>
                </c:pt>
                <c:pt idx="14">
                  <c:v>-500</c:v>
                </c:pt>
                <c:pt idx="15">
                  <c:v>-1000</c:v>
                </c:pt>
                <c:pt idx="16">
                  <c:v>-1500</c:v>
                </c:pt>
                <c:pt idx="17">
                  <c:v>-2000</c:v>
                </c:pt>
                <c:pt idx="18">
                  <c:v>-2500</c:v>
                </c:pt>
                <c:pt idx="19">
                  <c:v>-3000</c:v>
                </c:pt>
                <c:pt idx="20">
                  <c:v>-3500</c:v>
                </c:pt>
                <c:pt idx="21">
                  <c:v>-4000</c:v>
                </c:pt>
                <c:pt idx="22">
                  <c:v>-4500</c:v>
                </c:pt>
                <c:pt idx="23">
                  <c:v>-5000</c:v>
                </c:pt>
                <c:pt idx="24">
                  <c:v>-6000</c:v>
                </c:pt>
                <c:pt idx="25">
                  <c:v>-8000</c:v>
                </c:pt>
              </c:numCache>
            </c:numRef>
          </c:yVal>
          <c:smooth val="1"/>
          <c:extLst>
            <c:ext xmlns:c16="http://schemas.microsoft.com/office/drawing/2014/chart" uri="{C3380CC4-5D6E-409C-BE32-E72D297353CC}">
              <c16:uniqueId val="{00000005-3810-4D34-9E78-ABBCD2005A6C}"/>
            </c:ext>
          </c:extLst>
        </c:ser>
        <c:ser>
          <c:idx val="7"/>
          <c:order val="6"/>
          <c:tx>
            <c:v>2800</c:v>
          </c:tx>
          <c:marker>
            <c:symbol val="none"/>
          </c:marker>
          <c:xVal>
            <c:numRef>
              <c:f>'Ark1'!$I$39:$I$64</c:f>
              <c:numCache>
                <c:formatCode>0</c:formatCode>
                <c:ptCount val="26"/>
                <c:pt idx="0">
                  <c:v>2661.4858335585091</c:v>
                </c:pt>
                <c:pt idx="1">
                  <c:v>2675.9423455409874</c:v>
                </c:pt>
                <c:pt idx="2">
                  <c:v>2690.4773816080451</c:v>
                </c:pt>
                <c:pt idx="3">
                  <c:v>2705.0913682824735</c:v>
                </c:pt>
                <c:pt idx="4">
                  <c:v>2719.7847344038287</c:v>
                </c:pt>
                <c:pt idx="5">
                  <c:v>2729.2873580012988</c:v>
                </c:pt>
                <c:pt idx="6">
                  <c:v>2733.179008231511</c:v>
                </c:pt>
                <c:pt idx="7">
                  <c:v>2746.0220628757747</c:v>
                </c:pt>
                <c:pt idx="8">
                  <c:v>2804.5214525409756</c:v>
                </c:pt>
                <c:pt idx="9">
                  <c:v>2850.8709908264655</c:v>
                </c:pt>
                <c:pt idx="10">
                  <c:v>2886.242031165832</c:v>
                </c:pt>
                <c:pt idx="11">
                  <c:v>2890.9916672050354</c:v>
                </c:pt>
                <c:pt idx="12">
                  <c:v>2910.4001205256768</c:v>
                </c:pt>
                <c:pt idx="13">
                  <c:v>2980.6331737142245</c:v>
                </c:pt>
                <c:pt idx="14">
                  <c:v>3084.1822194326828</c:v>
                </c:pt>
                <c:pt idx="15">
                  <c:v>3230.4655820006924</c:v>
                </c:pt>
                <c:pt idx="16">
                  <c:v>3319.2314810502712</c:v>
                </c:pt>
                <c:pt idx="17">
                  <c:v>3383.6871929086915</c:v>
                </c:pt>
                <c:pt idx="18">
                  <c:v>3434.543642040926</c:v>
                </c:pt>
                <c:pt idx="19">
                  <c:v>3476.663275815933</c:v>
                </c:pt>
                <c:pt idx="20">
                  <c:v>3512.677650019421</c:v>
                </c:pt>
                <c:pt idx="21">
                  <c:v>3544.1761346249959</c:v>
                </c:pt>
                <c:pt idx="22">
                  <c:v>3553.4392886075047</c:v>
                </c:pt>
                <c:pt idx="23">
                  <c:v>3561.7459752117957</c:v>
                </c:pt>
                <c:pt idx="24">
                  <c:v>3576.1662173745317</c:v>
                </c:pt>
                <c:pt idx="25">
                  <c:v>3599.0385020205335</c:v>
                </c:pt>
              </c:numCache>
            </c:numRef>
          </c:xVal>
          <c:yVal>
            <c:numRef>
              <c:f>'Ark1'!$A$39:$A$64</c:f>
              <c:numCache>
                <c:formatCode>0</c:formatCode>
                <c:ptCount val="26"/>
                <c:pt idx="0">
                  <c:v>-1</c:v>
                </c:pt>
                <c:pt idx="1">
                  <c:v>-2</c:v>
                </c:pt>
                <c:pt idx="2">
                  <c:v>-4</c:v>
                </c:pt>
                <c:pt idx="3">
                  <c:v>-8</c:v>
                </c:pt>
                <c:pt idx="4">
                  <c:v>-16</c:v>
                </c:pt>
                <c:pt idx="5">
                  <c:v>-25</c:v>
                </c:pt>
                <c:pt idx="6">
                  <c:v>-30</c:v>
                </c:pt>
                <c:pt idx="7">
                  <c:v>-35</c:v>
                </c:pt>
                <c:pt idx="8">
                  <c:v>-70</c:v>
                </c:pt>
                <c:pt idx="9">
                  <c:v>-120</c:v>
                </c:pt>
                <c:pt idx="10">
                  <c:v>-180</c:v>
                </c:pt>
                <c:pt idx="11">
                  <c:v>-190</c:v>
                </c:pt>
                <c:pt idx="12">
                  <c:v>-210</c:v>
                </c:pt>
                <c:pt idx="13">
                  <c:v>-300</c:v>
                </c:pt>
                <c:pt idx="14">
                  <c:v>-500</c:v>
                </c:pt>
                <c:pt idx="15">
                  <c:v>-1000</c:v>
                </c:pt>
                <c:pt idx="16">
                  <c:v>-1500</c:v>
                </c:pt>
                <c:pt idx="17">
                  <c:v>-2000</c:v>
                </c:pt>
                <c:pt idx="18">
                  <c:v>-2500</c:v>
                </c:pt>
                <c:pt idx="19">
                  <c:v>-3000</c:v>
                </c:pt>
                <c:pt idx="20">
                  <c:v>-3500</c:v>
                </c:pt>
                <c:pt idx="21">
                  <c:v>-4000</c:v>
                </c:pt>
                <c:pt idx="22">
                  <c:v>-4500</c:v>
                </c:pt>
                <c:pt idx="23">
                  <c:v>-5000</c:v>
                </c:pt>
                <c:pt idx="24">
                  <c:v>-6000</c:v>
                </c:pt>
                <c:pt idx="25">
                  <c:v>-8000</c:v>
                </c:pt>
              </c:numCache>
            </c:numRef>
          </c:yVal>
          <c:smooth val="1"/>
          <c:extLst>
            <c:ext xmlns:c16="http://schemas.microsoft.com/office/drawing/2014/chart" uri="{C3380CC4-5D6E-409C-BE32-E72D297353CC}">
              <c16:uniqueId val="{00000006-3810-4D34-9E78-ABBCD2005A6C}"/>
            </c:ext>
          </c:extLst>
        </c:ser>
        <c:ser>
          <c:idx val="8"/>
          <c:order val="7"/>
          <c:tx>
            <c:v>3000</c:v>
          </c:tx>
          <c:marker>
            <c:symbol val="none"/>
          </c:marker>
          <c:xVal>
            <c:numRef>
              <c:f>'Ark1'!$J$39:$J$64</c:f>
              <c:numCache>
                <c:formatCode>0</c:formatCode>
                <c:ptCount val="26"/>
                <c:pt idx="0">
                  <c:v>2768.8000000000015</c:v>
                </c:pt>
                <c:pt idx="1">
                  <c:v>2773.512352259278</c:v>
                </c:pt>
                <c:pt idx="2">
                  <c:v>2778.232724694737</c:v>
                </c:pt>
                <c:pt idx="3">
                  <c:v>2782.9611309562988</c:v>
                </c:pt>
                <c:pt idx="4">
                  <c:v>2787.697584717112</c:v>
                </c:pt>
                <c:pt idx="5">
                  <c:v>2790.7514449400555</c:v>
                </c:pt>
                <c:pt idx="6">
                  <c:v>2792.0000000000027</c:v>
                </c:pt>
                <c:pt idx="7">
                  <c:v>2768.4465490678681</c:v>
                </c:pt>
                <c:pt idx="8">
                  <c:v>2827.4236547622036</c:v>
                </c:pt>
                <c:pt idx="9">
                  <c:v>2874.1516913108153</c:v>
                </c:pt>
                <c:pt idx="10">
                  <c:v>2909.8115776199261</c:v>
                </c:pt>
                <c:pt idx="11">
                  <c:v>2914.6000000000035</c:v>
                </c:pt>
                <c:pt idx="12">
                  <c:v>2913.8134260754464</c:v>
                </c:pt>
                <c:pt idx="13">
                  <c:v>2984.128848306153</c:v>
                </c:pt>
                <c:pt idx="14">
                  <c:v>3087.7993359287434</c:v>
                </c:pt>
                <c:pt idx="15">
                  <c:v>3234.254259035722</c:v>
                </c:pt>
                <c:pt idx="16">
                  <c:v>3323.1242623745079</c:v>
                </c:pt>
                <c:pt idx="17">
                  <c:v>3387.6555676324233</c:v>
                </c:pt>
                <c:pt idx="18">
                  <c:v>3438.5716610035511</c:v>
                </c:pt>
                <c:pt idx="19">
                  <c:v>3480.7406925155583</c:v>
                </c:pt>
                <c:pt idx="20">
                  <c:v>3516.7973042321887</c:v>
                </c:pt>
                <c:pt idx="21">
                  <c:v>3548.3327301337577</c:v>
                </c:pt>
                <c:pt idx="22">
                  <c:v>3554.4979758332743</c:v>
                </c:pt>
                <c:pt idx="23">
                  <c:v>3562.8071372745558</c:v>
                </c:pt>
                <c:pt idx="24">
                  <c:v>3577.2316757049161</c:v>
                </c:pt>
                <c:pt idx="25">
                  <c:v>3600.1107747618626</c:v>
                </c:pt>
              </c:numCache>
            </c:numRef>
          </c:xVal>
          <c:yVal>
            <c:numLit>
              <c:formatCode>General</c:formatCode>
              <c:ptCount val="1"/>
              <c:pt idx="0">
                <c:v>1</c:v>
              </c:pt>
            </c:numLit>
          </c:yVal>
          <c:smooth val="1"/>
          <c:extLst>
            <c:ext xmlns:c16="http://schemas.microsoft.com/office/drawing/2014/chart" uri="{C3380CC4-5D6E-409C-BE32-E72D297353CC}">
              <c16:uniqueId val="{00000007-3810-4D34-9E78-ABBCD2005A6C}"/>
            </c:ext>
          </c:extLst>
        </c:ser>
        <c:dLbls>
          <c:showLegendKey val="0"/>
          <c:showVal val="0"/>
          <c:showCatName val="0"/>
          <c:showSerName val="0"/>
          <c:showPercent val="0"/>
          <c:showBubbleSize val="0"/>
        </c:dLbls>
        <c:axId val="56274304"/>
        <c:axId val="56276096"/>
      </c:scatterChart>
      <c:valAx>
        <c:axId val="56274304"/>
        <c:scaling>
          <c:orientation val="minMax"/>
        </c:scaling>
        <c:delete val="0"/>
        <c:axPos val="b"/>
        <c:majorGridlines/>
        <c:numFmt formatCode="0" sourceLinked="1"/>
        <c:majorTickMark val="none"/>
        <c:minorTickMark val="none"/>
        <c:tickLblPos val="nextTo"/>
        <c:txPr>
          <a:bodyPr rot="-60000000" vert="horz"/>
          <a:lstStyle/>
          <a:p>
            <a:pPr>
              <a:defRPr/>
            </a:pPr>
            <a:endParaRPr lang="nb-NO"/>
          </a:p>
        </c:txPr>
        <c:crossAx val="56276096"/>
        <c:crossesAt val="-8000"/>
        <c:crossBetween val="midCat"/>
      </c:valAx>
      <c:valAx>
        <c:axId val="56276096"/>
        <c:scaling>
          <c:orientation val="minMax"/>
          <c:max val="0"/>
          <c:min val="-300"/>
        </c:scaling>
        <c:delete val="0"/>
        <c:axPos val="l"/>
        <c:majorGridlines/>
        <c:numFmt formatCode="0" sourceLinked="1"/>
        <c:majorTickMark val="none"/>
        <c:minorTickMark val="none"/>
        <c:tickLblPos val="nextTo"/>
        <c:txPr>
          <a:bodyPr rot="-60000000" vert="horz"/>
          <a:lstStyle/>
          <a:p>
            <a:pPr>
              <a:defRPr/>
            </a:pPr>
            <a:endParaRPr lang="nb-NO"/>
          </a:p>
        </c:txPr>
        <c:crossAx val="56274304"/>
        <c:crosses val="autoZero"/>
        <c:crossBetween val="midCat"/>
      </c:valAx>
    </c:plotArea>
    <c:legend>
      <c:legendPos val="r"/>
      <c:legendEntry>
        <c:idx val="7"/>
        <c:delete val="1"/>
      </c:legendEntry>
      <c:layout>
        <c:manualLayout>
          <c:xMode val="edge"/>
          <c:yMode val="edge"/>
          <c:x val="0.70915566987948631"/>
          <c:y val="0.42371384389404371"/>
          <c:w val="0.1281677266915332"/>
          <c:h val="0.41497771194134792"/>
        </c:manualLayout>
      </c:layout>
      <c:overlay val="0"/>
      <c:txPr>
        <a:bodyPr rot="0" vert="horz"/>
        <a:lstStyle/>
        <a:p>
          <a:pPr>
            <a:defRPr/>
          </a:pPr>
          <a:endParaRPr lang="nb-NO"/>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8209615A4E6E24489DAAB6644AD5543" ma:contentTypeVersion="11" ma:contentTypeDescription="Opprett et nytt dokument." ma:contentTypeScope="" ma:versionID="507543969d56503c556cad42ccfc31ee">
  <xsd:schema xmlns:xsd="http://www.w3.org/2001/XMLSchema" xmlns:xs="http://www.w3.org/2001/XMLSchema" xmlns:p="http://schemas.microsoft.com/office/2006/metadata/properties" xmlns:ns2="0d4fedf8-97f2-48b5-ab21-010c0d65ee5b" xmlns:ns3="1a1c0006-19e9-46f1-bbac-5e9fc9cb4624" targetNamespace="http://schemas.microsoft.com/office/2006/metadata/properties" ma:root="true" ma:fieldsID="c814dd2992fa83cc3574e350a6ee7bb3" ns2:_="" ns3:_="">
    <xsd:import namespace="0d4fedf8-97f2-48b5-ab21-010c0d65ee5b"/>
    <xsd:import namespace="1a1c0006-19e9-46f1-bbac-5e9fc9cb46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4fedf8-97f2-48b5-ab21-010c0d65ee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d7761ae6-4166-48ea-aa71-7617bb543de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1c0006-19e9-46f1-bbac-5e9fc9cb46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bc9358-5a69-47f1-a9ce-f7b44b5d8670}" ma:internalName="TaxCatchAll" ma:showField="CatchAllData" ma:web="1a1c0006-19e9-46f1-bbac-5e9fc9cb46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4fedf8-97f2-48b5-ab21-010c0d65ee5b">
      <Terms xmlns="http://schemas.microsoft.com/office/infopath/2007/PartnerControls"/>
    </lcf76f155ced4ddcb4097134ff3c332f>
    <TaxCatchAll xmlns="1a1c0006-19e9-46f1-bbac-5e9fc9cb462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C8B21-05DA-4258-9D53-422006516555}">
  <ds:schemaRefs>
    <ds:schemaRef ds:uri="http://schemas.microsoft.com/sharepoint/v3/contenttype/forms"/>
  </ds:schemaRefs>
</ds:datastoreItem>
</file>

<file path=customXml/itemProps2.xml><?xml version="1.0" encoding="utf-8"?>
<ds:datastoreItem xmlns:ds="http://schemas.openxmlformats.org/officeDocument/2006/customXml" ds:itemID="{972F107A-B721-4C8A-A307-6591D7DC4D2B}"/>
</file>

<file path=customXml/itemProps3.xml><?xml version="1.0" encoding="utf-8"?>
<ds:datastoreItem xmlns:ds="http://schemas.openxmlformats.org/officeDocument/2006/customXml" ds:itemID="{A2409EB4-A17A-4D2A-9589-2C59A7B25455}">
  <ds:schemaRefs>
    <ds:schemaRef ds:uri="http://schemas.microsoft.com/office/2006/metadata/properties"/>
    <ds:schemaRef ds:uri="http://schemas.microsoft.com/office/infopath/2007/PartnerControls"/>
    <ds:schemaRef ds:uri="0d4fedf8-97f2-48b5-ab21-010c0d65ee5b"/>
    <ds:schemaRef ds:uri="1a1c0006-19e9-46f1-bbac-5e9fc9cb4624"/>
  </ds:schemaRefs>
</ds:datastoreItem>
</file>

<file path=customXml/itemProps4.xml><?xml version="1.0" encoding="utf-8"?>
<ds:datastoreItem xmlns:ds="http://schemas.openxmlformats.org/officeDocument/2006/customXml" ds:itemID="{7FB47392-4EAE-4798-B40A-AB44815CEA4B}">
  <ds:schemaRefs>
    <ds:schemaRef ds:uri="http://schemas.openxmlformats.org/officeDocument/2006/bibliography"/>
  </ds:schemaRefs>
</ds:datastoreItem>
</file>

<file path=docMetadata/LabelInfo.xml><?xml version="1.0" encoding="utf-8"?>
<clbl:labelList xmlns:clbl="http://schemas.microsoft.com/office/2020/mipLabelMetadata">
  <clbl:label id="{00fde374-a714-438b-92a2-135efd2bfd30}" enabled="0" method="" siteId="{00fde374-a714-438b-92a2-135efd2bfd30}"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16</Pages>
  <Words>6902</Words>
  <Characters>36586</Characters>
  <Application>Microsoft Office Word</Application>
  <DocSecurity>0</DocSecurity>
  <Lines>304</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43402</CharactersWithSpaces>
  <SharedDoc>false</SharedDoc>
  <HLinks>
    <vt:vector size="30" baseType="variant">
      <vt:variant>
        <vt:i4>5701652</vt:i4>
      </vt:variant>
      <vt:variant>
        <vt:i4>18</vt:i4>
      </vt:variant>
      <vt:variant>
        <vt:i4>0</vt:i4>
      </vt:variant>
      <vt:variant>
        <vt:i4>5</vt:i4>
      </vt:variant>
      <vt:variant>
        <vt:lpwstr>https://doi.org/10.1016/j.jsg.2020.104139</vt:lpwstr>
      </vt:variant>
      <vt:variant>
        <vt:lpwstr/>
      </vt:variant>
      <vt:variant>
        <vt:i4>2490416</vt:i4>
      </vt:variant>
      <vt:variant>
        <vt:i4>15</vt:i4>
      </vt:variant>
      <vt:variant>
        <vt:i4>0</vt:i4>
      </vt:variant>
      <vt:variant>
        <vt:i4>5</vt:i4>
      </vt:variant>
      <vt:variant>
        <vt:lpwstr>https://doi.org/10.1007/s10950-023-10146-8</vt:lpwstr>
      </vt:variant>
      <vt:variant>
        <vt:lpwstr/>
      </vt:variant>
      <vt:variant>
        <vt:i4>4653085</vt:i4>
      </vt:variant>
      <vt:variant>
        <vt:i4>12</vt:i4>
      </vt:variant>
      <vt:variant>
        <vt:i4>0</vt:i4>
      </vt:variant>
      <vt:variant>
        <vt:i4>5</vt:i4>
      </vt:variant>
      <vt:variant>
        <vt:lpwstr>https://doi.org/10.1144/SP390.27</vt:lpwstr>
      </vt:variant>
      <vt:variant>
        <vt:lpwstr/>
      </vt:variant>
      <vt:variant>
        <vt:i4>4128802</vt:i4>
      </vt:variant>
      <vt:variant>
        <vt:i4>9</vt:i4>
      </vt:variant>
      <vt:variant>
        <vt:i4>0</vt:i4>
      </vt:variant>
      <vt:variant>
        <vt:i4>5</vt:i4>
      </vt:variant>
      <vt:variant>
        <vt:lpwstr>https://dx.doi.org/10.17850/njg97-3-02</vt:lpwstr>
      </vt:variant>
      <vt:variant>
        <vt:lpwstr/>
      </vt:variant>
      <vt:variant>
        <vt:i4>196675</vt:i4>
      </vt:variant>
      <vt:variant>
        <vt:i4>6</vt:i4>
      </vt:variant>
      <vt:variant>
        <vt:i4>0</vt:i4>
      </vt:variant>
      <vt:variant>
        <vt:i4>5</vt:i4>
      </vt:variant>
      <vt:variant>
        <vt:lpwstr>https://doi.org/10.1016/0040-1951(90)90333-4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Conrad Lindholm</dc:creator>
  <cp:keywords/>
  <dc:description/>
  <cp:lastModifiedBy>Conrad Lindholm</cp:lastModifiedBy>
  <cp:revision>2</cp:revision>
  <dcterms:created xsi:type="dcterms:W3CDTF">2024-10-31T17:53:00Z</dcterms:created>
  <dcterms:modified xsi:type="dcterms:W3CDTF">2024-10-31T17:53:00Z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0x01010068209615A4E6E24489DAAB6644AD5543</vt:lpwstr>
  </property>
  <property fmtid="{D5CDD505-2E9C-101B-9397-08002B2CF9AE}" pid="3" name="MediaServiceImageTags">
    <vt:lpwstr/>
  </property>
  <property fmtid="{D5CDD505-2E9C-101B-9397-08002B2CF9AE}" pid="4" name="GrammarlyDocumentId">
    <vt:lpwstr>13982cc392b25c81068c79fc3999e0f6393cf325ea1599c5c81126b6138ff9b8</vt:lpwstr>
  </property>
</Properties>
</file>