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A7228D" w14:textId="79C41FA2" w:rsidR="00515330" w:rsidRPr="007B32BD" w:rsidRDefault="00C333BA" w:rsidP="00C333BA">
      <w:pPr>
        <w:spacing w:after="0" w:line="240" w:lineRule="auto"/>
        <w:jc w:val="both"/>
        <w:rPr>
          <w:rFonts w:ascii="Times New Roman" w:hAnsi="Times New Roman" w:cs="Times New Roman"/>
          <w:b/>
          <w:bCs/>
          <w:sz w:val="22"/>
          <w:szCs w:val="22"/>
          <w:lang w:val="en-US"/>
        </w:rPr>
      </w:pPr>
      <w:r w:rsidRPr="007B32BD">
        <w:rPr>
          <w:rFonts w:ascii="Times New Roman" w:hAnsi="Times New Roman" w:cs="Times New Roman"/>
          <w:b/>
          <w:bCs/>
          <w:sz w:val="22"/>
          <w:szCs w:val="22"/>
          <w:lang w:val="en-US"/>
        </w:rPr>
        <w:t>Time-Dependent Magnitude Homogenization and Its Impact on Seismic Completeness, b-Values, and Aftershock Productivity: Insights from the New Zealand Earthquake Catalogue</w:t>
      </w:r>
    </w:p>
    <w:p w14:paraId="7C4959A4" w14:textId="77777777" w:rsidR="00E47499" w:rsidRPr="007B32BD" w:rsidRDefault="00E47499" w:rsidP="00C333BA">
      <w:pPr>
        <w:spacing w:after="0" w:line="240" w:lineRule="auto"/>
        <w:jc w:val="both"/>
        <w:rPr>
          <w:rFonts w:ascii="Times New Roman" w:hAnsi="Times New Roman" w:cs="Times New Roman"/>
          <w:sz w:val="22"/>
          <w:szCs w:val="22"/>
          <w:lang w:val="en-US"/>
        </w:rPr>
      </w:pPr>
    </w:p>
    <w:p w14:paraId="4D88642D" w14:textId="77777777" w:rsidR="00C22693" w:rsidRPr="007B32BD" w:rsidRDefault="00C22693" w:rsidP="00C333BA">
      <w:pPr>
        <w:spacing w:after="0" w:line="240" w:lineRule="auto"/>
        <w:jc w:val="both"/>
        <w:rPr>
          <w:rFonts w:ascii="Times New Roman" w:hAnsi="Times New Roman" w:cs="Times New Roman"/>
          <w:sz w:val="22"/>
          <w:szCs w:val="22"/>
          <w:lang w:val="en-US"/>
        </w:rPr>
      </w:pPr>
    </w:p>
    <w:p w14:paraId="7EA62324" w14:textId="1BA01A6D" w:rsidR="00EA26A6" w:rsidRPr="007B32BD" w:rsidRDefault="00EA26A6">
      <w:pPr>
        <w:rPr>
          <w:rFonts w:ascii="Times New Roman" w:hAnsi="Times New Roman" w:cs="Times New Roman"/>
          <w:i/>
          <w:iCs/>
          <w:sz w:val="22"/>
          <w:szCs w:val="22"/>
          <w:lang w:val="en-US"/>
        </w:rPr>
      </w:pPr>
    </w:p>
    <w:p w14:paraId="164F447B" w14:textId="3FBB8ABB" w:rsidR="00EA26A6" w:rsidRPr="007B32BD" w:rsidRDefault="00C73CFD" w:rsidP="00C333BA">
      <w:pPr>
        <w:spacing w:after="0" w:line="240" w:lineRule="auto"/>
        <w:jc w:val="both"/>
        <w:rPr>
          <w:rFonts w:ascii="Times New Roman" w:hAnsi="Times New Roman" w:cs="Times New Roman"/>
          <w:b/>
          <w:bCs/>
          <w:sz w:val="22"/>
          <w:szCs w:val="22"/>
          <w:lang w:val="en-US"/>
        </w:rPr>
      </w:pPr>
      <w:r w:rsidRPr="007B32BD">
        <w:rPr>
          <w:rFonts w:ascii="Times New Roman" w:hAnsi="Times New Roman" w:cs="Times New Roman"/>
          <w:b/>
          <w:bCs/>
          <w:noProof/>
          <w:sz w:val="22"/>
          <w:szCs w:val="22"/>
          <w:lang w:val="en-PH" w:eastAsia="en-PH"/>
        </w:rPr>
        <w:drawing>
          <wp:inline distT="0" distB="0" distL="0" distR="0" wp14:anchorId="18C5FC9B" wp14:editId="2CFFD8A3">
            <wp:extent cx="6120130" cy="4007485"/>
            <wp:effectExtent l="0" t="0" r="0" b="0"/>
            <wp:docPr id="35455710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557102" name="Immagine 35455710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4007485"/>
                    </a:xfrm>
                    <a:prstGeom prst="rect">
                      <a:avLst/>
                    </a:prstGeom>
                  </pic:spPr>
                </pic:pic>
              </a:graphicData>
            </a:graphic>
          </wp:inline>
        </w:drawing>
      </w:r>
    </w:p>
    <w:p w14:paraId="6299760E" w14:textId="5C146ABA" w:rsidR="00EA26A6" w:rsidRPr="007B32BD" w:rsidRDefault="00EA26A6" w:rsidP="00C333BA">
      <w:pPr>
        <w:spacing w:after="0" w:line="240" w:lineRule="auto"/>
        <w:jc w:val="both"/>
        <w:rPr>
          <w:rFonts w:ascii="Times New Roman" w:hAnsi="Times New Roman" w:cs="Times New Roman"/>
          <w:i/>
          <w:iCs/>
          <w:sz w:val="22"/>
          <w:szCs w:val="22"/>
          <w:lang w:val="en-US"/>
        </w:rPr>
      </w:pPr>
      <w:r w:rsidRPr="007B32BD">
        <w:rPr>
          <w:rFonts w:ascii="Times New Roman" w:hAnsi="Times New Roman" w:cs="Times New Roman"/>
          <w:b/>
          <w:bCs/>
          <w:sz w:val="22"/>
          <w:szCs w:val="22"/>
          <w:lang w:val="en-US"/>
        </w:rPr>
        <w:t>Figure S1.</w:t>
      </w:r>
      <w:r w:rsidRPr="007B32BD">
        <w:rPr>
          <w:rFonts w:ascii="Times New Roman" w:hAnsi="Times New Roman" w:cs="Times New Roman"/>
          <w:sz w:val="22"/>
          <w:szCs w:val="22"/>
          <w:lang w:val="en-US"/>
        </w:rPr>
        <w:t xml:space="preserve"> </w:t>
      </w:r>
      <w:r w:rsidRPr="007B32BD">
        <w:rPr>
          <w:rFonts w:ascii="Times New Roman" w:hAnsi="Times New Roman" w:cs="Times New Roman"/>
          <w:i/>
          <w:iCs/>
          <w:sz w:val="22"/>
          <w:szCs w:val="22"/>
          <w:lang w:val="en-US"/>
        </w:rPr>
        <w:t xml:space="preserve">Temporal evolution of magnitude-type composition in the </w:t>
      </w:r>
      <w:proofErr w:type="spellStart"/>
      <w:r w:rsidRPr="007B32BD">
        <w:rPr>
          <w:rFonts w:ascii="Times New Roman" w:hAnsi="Times New Roman" w:cs="Times New Roman"/>
          <w:i/>
          <w:iCs/>
          <w:sz w:val="22"/>
          <w:szCs w:val="22"/>
          <w:lang w:val="en-US"/>
        </w:rPr>
        <w:t>GeoNet</w:t>
      </w:r>
      <w:proofErr w:type="spellEnd"/>
      <w:r w:rsidRPr="007B32BD">
        <w:rPr>
          <w:rFonts w:ascii="Times New Roman" w:hAnsi="Times New Roman" w:cs="Times New Roman"/>
          <w:i/>
          <w:iCs/>
          <w:sz w:val="22"/>
          <w:szCs w:val="22"/>
          <w:lang w:val="en-US"/>
        </w:rPr>
        <w:t xml:space="preserve"> earthquake catalogue (2003–2025). (a) Annual fraction of events associated with the dominant operational magnitude labels reported by </w:t>
      </w:r>
      <w:proofErr w:type="spellStart"/>
      <w:r w:rsidRPr="007B32BD">
        <w:rPr>
          <w:rFonts w:ascii="Times New Roman" w:hAnsi="Times New Roman" w:cs="Times New Roman"/>
          <w:i/>
          <w:iCs/>
          <w:sz w:val="22"/>
          <w:szCs w:val="22"/>
          <w:lang w:val="en-US"/>
        </w:rPr>
        <w:t>GeoNet</w:t>
      </w:r>
      <w:proofErr w:type="spellEnd"/>
      <w:r w:rsidRPr="007B32BD">
        <w:rPr>
          <w:rFonts w:ascii="Times New Roman" w:hAnsi="Times New Roman" w:cs="Times New Roman"/>
          <w:i/>
          <w:iCs/>
          <w:sz w:val="22"/>
          <w:szCs w:val="22"/>
          <w:lang w:val="en-US"/>
        </w:rPr>
        <w:t>. The catalogue is overwhelmingly dominated by three magnitude types, M, M</w:t>
      </w:r>
      <w:r w:rsidRPr="007B32BD">
        <w:rPr>
          <w:rFonts w:ascii="Times New Roman" w:hAnsi="Times New Roman" w:cs="Times New Roman"/>
          <w:i/>
          <w:iCs/>
          <w:sz w:val="22"/>
          <w:szCs w:val="22"/>
          <w:vertAlign w:val="subscript"/>
          <w:lang w:val="en-US"/>
        </w:rPr>
        <w:t>L</w:t>
      </w:r>
      <w:r w:rsidRPr="007B32BD">
        <w:rPr>
          <w:rFonts w:ascii="Times New Roman" w:hAnsi="Times New Roman" w:cs="Times New Roman"/>
          <w:i/>
          <w:iCs/>
          <w:sz w:val="22"/>
          <w:szCs w:val="22"/>
          <w:lang w:val="en-US"/>
        </w:rPr>
        <w:t xml:space="preserve">, and </w:t>
      </w:r>
      <w:proofErr w:type="spellStart"/>
      <w:r w:rsidRPr="007B32BD">
        <w:rPr>
          <w:rFonts w:ascii="Times New Roman" w:hAnsi="Times New Roman" w:cs="Times New Roman"/>
          <w:i/>
          <w:iCs/>
          <w:sz w:val="22"/>
          <w:szCs w:val="22"/>
          <w:lang w:val="en-US"/>
        </w:rPr>
        <w:t>MLv</w:t>
      </w:r>
      <w:proofErr w:type="spellEnd"/>
      <w:r w:rsidRPr="007B32BD">
        <w:rPr>
          <w:rFonts w:ascii="Times New Roman" w:hAnsi="Times New Roman" w:cs="Times New Roman"/>
          <w:i/>
          <w:iCs/>
          <w:sz w:val="22"/>
          <w:szCs w:val="22"/>
          <w:lang w:val="en-US"/>
        </w:rPr>
        <w:t>, which together account for more than 99% of all processed events. Their relative contribution changes markedly through time, with M</w:t>
      </w:r>
      <w:r w:rsidRPr="007B32BD">
        <w:rPr>
          <w:rFonts w:ascii="Times New Roman" w:hAnsi="Times New Roman" w:cs="Times New Roman"/>
          <w:i/>
          <w:iCs/>
          <w:sz w:val="22"/>
          <w:szCs w:val="22"/>
          <w:vertAlign w:val="subscript"/>
          <w:lang w:val="en-US"/>
        </w:rPr>
        <w:t>L</w:t>
      </w:r>
      <w:r w:rsidRPr="007B32BD">
        <w:rPr>
          <w:rFonts w:ascii="Times New Roman" w:hAnsi="Times New Roman" w:cs="Times New Roman"/>
          <w:i/>
          <w:iCs/>
          <w:sz w:val="22"/>
          <w:szCs w:val="22"/>
          <w:lang w:val="en-US"/>
        </w:rPr>
        <w:t xml:space="preserve"> dominating the early part of the catalogue, M prevailing during most of the intermediate period, and </w:t>
      </w:r>
      <w:proofErr w:type="spellStart"/>
      <w:r w:rsidRPr="007B32BD">
        <w:rPr>
          <w:rFonts w:ascii="Times New Roman" w:hAnsi="Times New Roman" w:cs="Times New Roman"/>
          <w:i/>
          <w:iCs/>
          <w:sz w:val="22"/>
          <w:szCs w:val="22"/>
          <w:lang w:val="en-US"/>
        </w:rPr>
        <w:t>M</w:t>
      </w:r>
      <w:r w:rsidRPr="007B32BD">
        <w:rPr>
          <w:rFonts w:ascii="Times New Roman" w:hAnsi="Times New Roman" w:cs="Times New Roman"/>
          <w:i/>
          <w:iCs/>
          <w:sz w:val="22"/>
          <w:szCs w:val="22"/>
          <w:vertAlign w:val="subscript"/>
          <w:lang w:val="en-US"/>
        </w:rPr>
        <w:t>Lv</w:t>
      </w:r>
      <w:proofErr w:type="spellEnd"/>
      <w:r w:rsidRPr="007B32BD">
        <w:rPr>
          <w:rFonts w:ascii="Times New Roman" w:hAnsi="Times New Roman" w:cs="Times New Roman"/>
          <w:i/>
          <w:iCs/>
          <w:sz w:val="22"/>
          <w:szCs w:val="22"/>
          <w:lang w:val="en-US"/>
        </w:rPr>
        <w:t xml:space="preserve"> becoming increasingly prevalent in the most recent years. This temporal evolution demonstrates that the operational catalogue magnitude is not stationary in terms of magnitude-type composition throughout the study period. (b) Annual number of catalogue events. The combined effect of changing magnitude-type composition and variable annual event counts provides additional motivation for adopting a time-dependent calibration between the operational catalogue magnitude, </w:t>
      </w:r>
      <m:oMath>
        <m:sSub>
          <m:sSubPr>
            <m:ctrlPr>
              <w:rPr>
                <w:rFonts w:ascii="Cambria Math" w:hAnsi="Cambria Math" w:cs="Times New Roman"/>
                <w:i/>
                <w:iCs/>
                <w:sz w:val="22"/>
                <w:szCs w:val="22"/>
              </w:rPr>
            </m:ctrlPr>
          </m:sSubPr>
          <m:e>
            <m:r>
              <w:rPr>
                <w:rFonts w:ascii="Cambria Math" w:hAnsi="Cambria Math" w:cs="Times New Roman"/>
                <w:sz w:val="22"/>
                <w:szCs w:val="22"/>
              </w:rPr>
              <m:t>M</m:t>
            </m:r>
          </m:e>
          <m:sub>
            <m:r>
              <w:rPr>
                <w:rFonts w:ascii="Cambria Math" w:hAnsi="Cambria Math" w:cs="Times New Roman"/>
                <w:sz w:val="22"/>
                <w:szCs w:val="22"/>
              </w:rPr>
              <m:t>cat</m:t>
            </m:r>
          </m:sub>
        </m:sSub>
      </m:oMath>
      <w:r w:rsidRPr="007B32BD">
        <w:rPr>
          <w:rFonts w:ascii="Times New Roman" w:hAnsi="Times New Roman" w:cs="Times New Roman"/>
          <w:i/>
          <w:iCs/>
          <w:sz w:val="22"/>
          <w:szCs w:val="22"/>
          <w:lang w:val="en-US"/>
        </w:rPr>
        <w:t xml:space="preserve">, and moment magnitude derived from GeoNet moment tensor solutions, </w:t>
      </w:r>
      <m:oMath>
        <m:sSubSup>
          <m:sSubSupPr>
            <m:ctrlPr>
              <w:rPr>
                <w:rFonts w:ascii="Cambria Math" w:hAnsi="Cambria Math" w:cs="Times New Roman"/>
                <w:i/>
                <w:iCs/>
                <w:sz w:val="22"/>
                <w:szCs w:val="22"/>
              </w:rPr>
            </m:ctrlPr>
          </m:sSubSupPr>
          <m:e>
            <m:r>
              <w:rPr>
                <w:rFonts w:ascii="Cambria Math" w:hAnsi="Cambria Math" w:cs="Times New Roman"/>
                <w:sz w:val="22"/>
                <w:szCs w:val="22"/>
              </w:rPr>
              <m:t>M</m:t>
            </m:r>
          </m:e>
          <m:sub>
            <m:r>
              <w:rPr>
                <w:rFonts w:ascii="Cambria Math" w:hAnsi="Cambria Math" w:cs="Times New Roman"/>
                <w:sz w:val="22"/>
                <w:szCs w:val="22"/>
              </w:rPr>
              <m:t>w</m:t>
            </m:r>
          </m:sub>
          <m:sup>
            <m:r>
              <w:rPr>
                <w:rFonts w:ascii="Cambria Math" w:hAnsi="Cambria Math" w:cs="Times New Roman"/>
                <w:sz w:val="22"/>
                <w:szCs w:val="22"/>
              </w:rPr>
              <m:t>MT</m:t>
            </m:r>
          </m:sup>
        </m:sSubSup>
      </m:oMath>
      <w:r w:rsidRPr="007B32BD">
        <w:rPr>
          <w:rFonts w:ascii="Times New Roman" w:hAnsi="Times New Roman" w:cs="Times New Roman"/>
          <w:i/>
          <w:iCs/>
          <w:sz w:val="22"/>
          <w:szCs w:val="22"/>
          <w:lang w:val="en-US"/>
        </w:rPr>
        <w:t>.</w:t>
      </w:r>
    </w:p>
    <w:p w14:paraId="00452656" w14:textId="77DC6AA2" w:rsidR="00007B94" w:rsidRPr="007B32BD" w:rsidRDefault="00007B94">
      <w:pPr>
        <w:rPr>
          <w:rFonts w:ascii="Times New Roman" w:hAnsi="Times New Roman" w:cs="Times New Roman"/>
          <w:sz w:val="22"/>
          <w:szCs w:val="22"/>
          <w:lang w:val="en-US"/>
        </w:rPr>
      </w:pPr>
      <w:r w:rsidRPr="007B32BD">
        <w:rPr>
          <w:rFonts w:ascii="Times New Roman" w:hAnsi="Times New Roman" w:cs="Times New Roman"/>
          <w:sz w:val="22"/>
          <w:szCs w:val="22"/>
          <w:lang w:val="en-US"/>
        </w:rPr>
        <w:br w:type="page"/>
      </w:r>
    </w:p>
    <w:p w14:paraId="2FDCAD3D" w14:textId="363ABDDE" w:rsidR="00007B94" w:rsidRPr="007B32BD" w:rsidRDefault="00C73CFD" w:rsidP="00C333BA">
      <w:pPr>
        <w:spacing w:after="0" w:line="240" w:lineRule="auto"/>
        <w:jc w:val="both"/>
        <w:rPr>
          <w:rFonts w:ascii="Times New Roman" w:hAnsi="Times New Roman" w:cs="Times New Roman"/>
          <w:b/>
          <w:bCs/>
          <w:sz w:val="22"/>
          <w:szCs w:val="22"/>
          <w:lang w:val="en-US"/>
        </w:rPr>
      </w:pPr>
      <w:r w:rsidRPr="007B32BD">
        <w:rPr>
          <w:rFonts w:ascii="Times New Roman" w:hAnsi="Times New Roman" w:cs="Times New Roman"/>
          <w:b/>
          <w:bCs/>
          <w:noProof/>
          <w:sz w:val="22"/>
          <w:szCs w:val="22"/>
          <w:lang w:val="en-PH" w:eastAsia="en-PH"/>
        </w:rPr>
        <w:lastRenderedPageBreak/>
        <w:drawing>
          <wp:inline distT="0" distB="0" distL="0" distR="0" wp14:anchorId="0692BFC6" wp14:editId="67185EF5">
            <wp:extent cx="6120130" cy="3095625"/>
            <wp:effectExtent l="0" t="0" r="0" b="9525"/>
            <wp:docPr id="432666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6669" name="Immagine 432666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3095625"/>
                    </a:xfrm>
                    <a:prstGeom prst="rect">
                      <a:avLst/>
                    </a:prstGeom>
                  </pic:spPr>
                </pic:pic>
              </a:graphicData>
            </a:graphic>
          </wp:inline>
        </w:drawing>
      </w:r>
    </w:p>
    <w:p w14:paraId="5DF3CE4C" w14:textId="5D876FE6" w:rsidR="00007B94" w:rsidRDefault="00007B94" w:rsidP="00C333BA">
      <w:pPr>
        <w:spacing w:after="0" w:line="240" w:lineRule="auto"/>
        <w:jc w:val="both"/>
        <w:rPr>
          <w:rFonts w:ascii="Times New Roman" w:hAnsi="Times New Roman" w:cs="Times New Roman"/>
          <w:i/>
          <w:iCs/>
          <w:sz w:val="22"/>
          <w:szCs w:val="22"/>
          <w:lang w:val="en-US"/>
        </w:rPr>
      </w:pPr>
      <w:r w:rsidRPr="007B32BD">
        <w:rPr>
          <w:rFonts w:ascii="Times New Roman" w:hAnsi="Times New Roman" w:cs="Times New Roman"/>
          <w:b/>
          <w:bCs/>
          <w:sz w:val="22"/>
          <w:szCs w:val="22"/>
          <w:lang w:val="en-US"/>
        </w:rPr>
        <w:t xml:space="preserve">Figure S2. </w:t>
      </w:r>
      <w:r w:rsidRPr="007B32BD">
        <w:rPr>
          <w:rFonts w:ascii="Times New Roman" w:hAnsi="Times New Roman" w:cs="Times New Roman"/>
          <w:i/>
          <w:iCs/>
          <w:sz w:val="22"/>
          <w:szCs w:val="22"/>
          <w:lang w:val="en-US"/>
        </w:rPr>
        <w:t xml:space="preserve">Evolution of the </w:t>
      </w:r>
      <w:proofErr w:type="spellStart"/>
      <w:r w:rsidRPr="007B32BD">
        <w:rPr>
          <w:rFonts w:ascii="Times New Roman" w:hAnsi="Times New Roman" w:cs="Times New Roman"/>
          <w:i/>
          <w:iCs/>
          <w:sz w:val="22"/>
          <w:szCs w:val="22"/>
          <w:lang w:val="en-US"/>
        </w:rPr>
        <w:t>GeoNet</w:t>
      </w:r>
      <w:proofErr w:type="spellEnd"/>
      <w:r w:rsidRPr="007B32BD">
        <w:rPr>
          <w:rFonts w:ascii="Times New Roman" w:hAnsi="Times New Roman" w:cs="Times New Roman"/>
          <w:i/>
          <w:iCs/>
          <w:sz w:val="22"/>
          <w:szCs w:val="22"/>
          <w:lang w:val="en-US"/>
        </w:rPr>
        <w:t xml:space="preserve"> seismic network during the study period (2003–2025). (a) Spatial distribution of </w:t>
      </w:r>
      <w:proofErr w:type="spellStart"/>
      <w:r w:rsidRPr="007B32BD">
        <w:rPr>
          <w:rFonts w:ascii="Times New Roman" w:hAnsi="Times New Roman" w:cs="Times New Roman"/>
          <w:i/>
          <w:iCs/>
          <w:sz w:val="22"/>
          <w:szCs w:val="22"/>
          <w:lang w:val="en-US"/>
        </w:rPr>
        <w:t>GeoNet</w:t>
      </w:r>
      <w:proofErr w:type="spellEnd"/>
      <w:r w:rsidRPr="007B32BD">
        <w:rPr>
          <w:rFonts w:ascii="Times New Roman" w:hAnsi="Times New Roman" w:cs="Times New Roman"/>
          <w:i/>
          <w:iCs/>
          <w:sz w:val="22"/>
          <w:szCs w:val="22"/>
          <w:lang w:val="en-US"/>
        </w:rPr>
        <w:t xml:space="preserve"> seismic stations operating during the study period. Stations that remained active in 2025 are shown in green, whereas stations that were active at some point between 2003 and 2025 but were no longer operating in 2025 are shown in red. The map illustrates both the current network configuration and the cumulative historical footprint of the network. (b) Annual number of active </w:t>
      </w:r>
      <w:proofErr w:type="spellStart"/>
      <w:r w:rsidRPr="007B32BD">
        <w:rPr>
          <w:rFonts w:ascii="Times New Roman" w:hAnsi="Times New Roman" w:cs="Times New Roman"/>
          <w:i/>
          <w:iCs/>
          <w:sz w:val="22"/>
          <w:szCs w:val="22"/>
          <w:lang w:val="en-US"/>
        </w:rPr>
        <w:t>GeoNet</w:t>
      </w:r>
      <w:proofErr w:type="spellEnd"/>
      <w:r w:rsidRPr="007B32BD">
        <w:rPr>
          <w:rFonts w:ascii="Times New Roman" w:hAnsi="Times New Roman" w:cs="Times New Roman"/>
          <w:i/>
          <w:iCs/>
          <w:sz w:val="22"/>
          <w:szCs w:val="22"/>
          <w:lang w:val="en-US"/>
        </w:rPr>
        <w:t xml:space="preserve"> stations derived from station metadata. The network expanded substantially during the study period, increasing from approximately 380 active stations in the early 2000s to more than 550 stations in recent years. This progressive increase in network coverage provides an observational basis for the expected temporal evolution of earthquake detectability, catalogue completeness, and magnitude-estimation performance.</w:t>
      </w:r>
    </w:p>
    <w:p w14:paraId="7DA6AA55" w14:textId="77777777" w:rsidR="0036293D" w:rsidRDefault="0036293D" w:rsidP="00C333BA">
      <w:pPr>
        <w:spacing w:after="0" w:line="240" w:lineRule="auto"/>
        <w:jc w:val="both"/>
        <w:rPr>
          <w:rFonts w:ascii="Times New Roman" w:hAnsi="Times New Roman" w:cs="Times New Roman"/>
          <w:i/>
          <w:iCs/>
          <w:sz w:val="22"/>
          <w:szCs w:val="22"/>
          <w:lang w:val="en-US"/>
        </w:rPr>
      </w:pPr>
    </w:p>
    <w:p w14:paraId="4E4840C9" w14:textId="44EA5089" w:rsidR="0036293D" w:rsidRDefault="0036293D">
      <w:pPr>
        <w:rPr>
          <w:rFonts w:ascii="Times New Roman" w:hAnsi="Times New Roman" w:cs="Times New Roman"/>
          <w:i/>
          <w:iCs/>
          <w:sz w:val="22"/>
          <w:szCs w:val="22"/>
          <w:lang w:val="en-US"/>
        </w:rPr>
      </w:pPr>
      <w:r>
        <w:rPr>
          <w:rFonts w:ascii="Times New Roman" w:hAnsi="Times New Roman" w:cs="Times New Roman"/>
          <w:i/>
          <w:iCs/>
          <w:sz w:val="22"/>
          <w:szCs w:val="22"/>
          <w:lang w:val="en-US"/>
        </w:rPr>
        <w:br w:type="page"/>
      </w:r>
    </w:p>
    <w:p w14:paraId="54FF1AA5" w14:textId="0351A4A5" w:rsidR="0036293D" w:rsidRDefault="0036293D" w:rsidP="00C333BA">
      <w:pPr>
        <w:spacing w:after="0" w:line="240" w:lineRule="auto"/>
        <w:jc w:val="both"/>
        <w:rPr>
          <w:rFonts w:ascii="Times New Roman" w:hAnsi="Times New Roman" w:cs="Times New Roman"/>
          <w:b/>
          <w:bCs/>
          <w:sz w:val="22"/>
          <w:szCs w:val="22"/>
          <w:lang w:val="en-US"/>
        </w:rPr>
      </w:pPr>
      <w:r>
        <w:rPr>
          <w:rFonts w:ascii="Times New Roman" w:hAnsi="Times New Roman" w:cs="Times New Roman"/>
          <w:b/>
          <w:bCs/>
          <w:noProof/>
          <w:sz w:val="22"/>
          <w:szCs w:val="22"/>
          <w:lang w:val="en-PH" w:eastAsia="en-PH"/>
        </w:rPr>
        <w:lastRenderedPageBreak/>
        <w:drawing>
          <wp:inline distT="0" distB="0" distL="0" distR="0" wp14:anchorId="6E25F6C6" wp14:editId="3791D713">
            <wp:extent cx="6120130" cy="4445000"/>
            <wp:effectExtent l="0" t="0" r="0" b="0"/>
            <wp:docPr id="1917639162" name="Immagine 1" descr="The image presents a series of scatter plots comparing different types of earthquake magnitude scales (Magnitude type M, ML, MLV) against catalogue magnitudes (Mcat), including regression coefficients and R-squared values for each comparison.  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639162" name="Immagine 1" descr="The image presents a series of scatter plots comparing different types of earthquake magnitude scales (Magnitude type M, ML, MLV) against catalogue magnitudes (Mcat), including regression coefficients and R-squared values for each comparison.  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4445000"/>
                    </a:xfrm>
                    <a:prstGeom prst="rect">
                      <a:avLst/>
                    </a:prstGeom>
                  </pic:spPr>
                </pic:pic>
              </a:graphicData>
            </a:graphic>
          </wp:inline>
        </w:drawing>
      </w:r>
    </w:p>
    <w:p w14:paraId="6C2078B9" w14:textId="184FD7BE" w:rsidR="0036293D" w:rsidRDefault="0036293D" w:rsidP="00C333BA">
      <w:pPr>
        <w:spacing w:after="0" w:line="240" w:lineRule="auto"/>
        <w:jc w:val="both"/>
        <w:rPr>
          <w:rFonts w:ascii="Times New Roman" w:hAnsi="Times New Roman" w:cs="Times New Roman"/>
          <w:i/>
          <w:iCs/>
          <w:sz w:val="22"/>
          <w:szCs w:val="22"/>
          <w:lang w:val="en-US"/>
        </w:rPr>
      </w:pPr>
      <w:r w:rsidRPr="0036293D">
        <w:rPr>
          <w:rFonts w:ascii="Times New Roman" w:hAnsi="Times New Roman" w:cs="Times New Roman"/>
          <w:b/>
          <w:bCs/>
          <w:sz w:val="22"/>
          <w:szCs w:val="22"/>
          <w:lang w:val="en-US"/>
        </w:rPr>
        <w:t>Figure S3.</w:t>
      </w:r>
      <w:r w:rsidRPr="0036293D">
        <w:rPr>
          <w:rFonts w:ascii="Times New Roman" w:hAnsi="Times New Roman" w:cs="Times New Roman"/>
          <w:i/>
          <w:iCs/>
          <w:sz w:val="22"/>
          <w:szCs w:val="22"/>
          <w:lang w:val="en-US"/>
        </w:rPr>
        <w:t xml:space="preserve"> Magnitude-type-specific regression sensitivity of the catalogue-to-moment-magnitude calibration. (a–c) Ordinary least-squares relationships between operational catalogue magnitude,</w:t>
      </w:r>
      <w:r>
        <w:rPr>
          <w:rFonts w:ascii="Times New Roman" w:hAnsi="Times New Roman" w:cs="Times New Roman"/>
          <w:i/>
          <w:iCs/>
          <w:sz w:val="22"/>
          <w:szCs w:val="22"/>
          <w:lang w:val="en-US"/>
        </w:rPr>
        <w:t xml:space="preserve"> </w:t>
      </w:r>
      <w:proofErr w:type="spellStart"/>
      <w:r>
        <w:rPr>
          <w:rFonts w:ascii="Times New Roman" w:hAnsi="Times New Roman" w:cs="Times New Roman"/>
          <w:i/>
          <w:iCs/>
          <w:sz w:val="22"/>
          <w:szCs w:val="22"/>
          <w:lang w:val="en-US"/>
        </w:rPr>
        <w:t>M</w:t>
      </w:r>
      <w:r w:rsidRPr="0036293D">
        <w:rPr>
          <w:rFonts w:ascii="Times New Roman" w:hAnsi="Times New Roman" w:cs="Times New Roman"/>
          <w:i/>
          <w:iCs/>
          <w:sz w:val="22"/>
          <w:szCs w:val="22"/>
          <w:vertAlign w:val="subscript"/>
          <w:lang w:val="en-US"/>
        </w:rPr>
        <w:t>cat</w:t>
      </w:r>
      <w:proofErr w:type="spellEnd"/>
      <w:r w:rsidRPr="0036293D">
        <w:rPr>
          <w:rFonts w:ascii="Times New Roman" w:hAnsi="Times New Roman" w:cs="Times New Roman"/>
          <w:i/>
          <w:iCs/>
          <w:sz w:val="22"/>
          <w:szCs w:val="22"/>
          <w:lang w:val="en-US"/>
        </w:rPr>
        <w:t xml:space="preserve">, and moment magnitude from </w:t>
      </w:r>
      <w:proofErr w:type="spellStart"/>
      <w:r w:rsidRPr="0036293D">
        <w:rPr>
          <w:rFonts w:ascii="Times New Roman" w:hAnsi="Times New Roman" w:cs="Times New Roman"/>
          <w:i/>
          <w:iCs/>
          <w:sz w:val="22"/>
          <w:szCs w:val="22"/>
          <w:lang w:val="en-US"/>
        </w:rPr>
        <w:t>GeoNet</w:t>
      </w:r>
      <w:proofErr w:type="spellEnd"/>
      <w:r w:rsidRPr="0036293D">
        <w:rPr>
          <w:rFonts w:ascii="Times New Roman" w:hAnsi="Times New Roman" w:cs="Times New Roman"/>
          <w:i/>
          <w:iCs/>
          <w:sz w:val="22"/>
          <w:szCs w:val="22"/>
          <w:lang w:val="en-US"/>
        </w:rPr>
        <w:t xml:space="preserve"> moment tensor solutions,</w:t>
      </w:r>
      <w:r w:rsidR="003F58B0">
        <w:rPr>
          <w:rFonts w:ascii="Times New Roman" w:hAnsi="Times New Roman" w:cs="Times New Roman"/>
          <w:i/>
          <w:iCs/>
          <w:sz w:val="22"/>
          <w:szCs w:val="22"/>
          <w:lang w:val="en-US"/>
        </w:rPr>
        <w:t xml:space="preserve"> </w:t>
      </w:r>
      <m:oMath>
        <m:sSubSup>
          <m:sSubSupPr>
            <m:ctrlPr>
              <w:rPr>
                <w:rFonts w:ascii="Cambria Math" w:hAnsi="Cambria Math" w:cs="Times New Roman"/>
                <w:i/>
                <w:iCs/>
                <w:sz w:val="22"/>
                <w:szCs w:val="22"/>
                <w:lang w:val="en-US"/>
              </w:rPr>
            </m:ctrlPr>
          </m:sSubSupPr>
          <m:e>
            <m:r>
              <w:rPr>
                <w:rFonts w:ascii="Cambria Math" w:hAnsi="Cambria Math" w:cs="Times New Roman"/>
                <w:sz w:val="22"/>
                <w:szCs w:val="22"/>
                <w:lang w:val="en-US"/>
              </w:rPr>
              <m:t>M</m:t>
            </m:r>
          </m:e>
          <m:sub>
            <m:r>
              <w:rPr>
                <w:rFonts w:ascii="Cambria Math" w:hAnsi="Cambria Math" w:cs="Times New Roman"/>
                <w:sz w:val="22"/>
                <w:szCs w:val="22"/>
                <w:lang w:val="en-US"/>
              </w:rPr>
              <m:t>w</m:t>
            </m:r>
          </m:sub>
          <m:sup>
            <m:r>
              <w:rPr>
                <w:rFonts w:ascii="Cambria Math" w:hAnsi="Cambria Math" w:cs="Times New Roman"/>
                <w:sz w:val="22"/>
                <w:szCs w:val="22"/>
                <w:lang w:val="en-US"/>
              </w:rPr>
              <m:t>MT</m:t>
            </m:r>
          </m:sup>
        </m:sSubSup>
      </m:oMath>
      <w:r w:rsidRPr="0036293D">
        <w:rPr>
          <w:rFonts w:ascii="Times New Roman" w:hAnsi="Times New Roman" w:cs="Times New Roman"/>
          <w:i/>
          <w:iCs/>
          <w:sz w:val="22"/>
          <w:szCs w:val="22"/>
          <w:lang w:val="en-US"/>
        </w:rPr>
        <w:t>, computed separately for the three dominant magnitude types: M, M</w:t>
      </w:r>
      <w:r w:rsidRPr="0036293D">
        <w:rPr>
          <w:rFonts w:ascii="Times New Roman" w:hAnsi="Times New Roman" w:cs="Times New Roman"/>
          <w:i/>
          <w:iCs/>
          <w:sz w:val="22"/>
          <w:szCs w:val="22"/>
          <w:vertAlign w:val="subscript"/>
          <w:lang w:val="en-US"/>
        </w:rPr>
        <w:t>L</w:t>
      </w:r>
      <w:r w:rsidRPr="0036293D">
        <w:rPr>
          <w:rFonts w:ascii="Times New Roman" w:hAnsi="Times New Roman" w:cs="Times New Roman"/>
          <w:i/>
          <w:iCs/>
          <w:sz w:val="22"/>
          <w:szCs w:val="22"/>
          <w:lang w:val="en-US"/>
        </w:rPr>
        <w:t xml:space="preserve">, and </w:t>
      </w:r>
      <w:proofErr w:type="spellStart"/>
      <w:r w:rsidRPr="0036293D">
        <w:rPr>
          <w:rFonts w:ascii="Times New Roman" w:hAnsi="Times New Roman" w:cs="Times New Roman"/>
          <w:i/>
          <w:iCs/>
          <w:sz w:val="22"/>
          <w:szCs w:val="22"/>
          <w:lang w:val="en-US"/>
        </w:rPr>
        <w:t>M</w:t>
      </w:r>
      <w:r w:rsidRPr="0036293D">
        <w:rPr>
          <w:rFonts w:ascii="Times New Roman" w:hAnsi="Times New Roman" w:cs="Times New Roman"/>
          <w:i/>
          <w:iCs/>
          <w:sz w:val="22"/>
          <w:szCs w:val="22"/>
          <w:vertAlign w:val="subscript"/>
          <w:lang w:val="en-US"/>
        </w:rPr>
        <w:t>Lv</w:t>
      </w:r>
      <w:proofErr w:type="spellEnd"/>
      <w:r w:rsidRPr="0036293D">
        <w:rPr>
          <w:rFonts w:ascii="Times New Roman" w:hAnsi="Times New Roman" w:cs="Times New Roman"/>
          <w:i/>
          <w:iCs/>
          <w:sz w:val="22"/>
          <w:szCs w:val="22"/>
          <w:lang w:val="en-US"/>
        </w:rPr>
        <w:t xml:space="preserve">. Dashed lines indicate the 1:1 relation and solid lines the corresponding type-specific linear fits; the number of matched events, fitted regression equation, and coefficient of determination are reported in each panel. The resulting slopes are approximately 0.834 for M, 0.853 for ML, and 0.759 for </w:t>
      </w:r>
      <w:proofErr w:type="spellStart"/>
      <w:r w:rsidRPr="0036293D">
        <w:rPr>
          <w:rFonts w:ascii="Times New Roman" w:hAnsi="Times New Roman" w:cs="Times New Roman"/>
          <w:i/>
          <w:iCs/>
          <w:sz w:val="22"/>
          <w:szCs w:val="22"/>
          <w:lang w:val="en-US"/>
        </w:rPr>
        <w:t>M</w:t>
      </w:r>
      <w:r w:rsidRPr="0036293D">
        <w:rPr>
          <w:rFonts w:ascii="Times New Roman" w:hAnsi="Times New Roman" w:cs="Times New Roman"/>
          <w:i/>
          <w:iCs/>
          <w:sz w:val="22"/>
          <w:szCs w:val="22"/>
          <w:vertAlign w:val="subscript"/>
          <w:lang w:val="en-US"/>
        </w:rPr>
        <w:t>Lv</w:t>
      </w:r>
      <w:proofErr w:type="spellEnd"/>
      <w:r w:rsidRPr="0036293D">
        <w:rPr>
          <w:rFonts w:ascii="Times New Roman" w:hAnsi="Times New Roman" w:cs="Times New Roman"/>
          <w:i/>
          <w:iCs/>
          <w:sz w:val="22"/>
          <w:szCs w:val="22"/>
          <w:lang w:val="en-US"/>
        </w:rPr>
        <w:t xml:space="preserve">, showing broadly linear relationships but measurable differences among magnitude types. (d) Comparison of the fitted slopes and intercepts for the three magnitude types, with uncertainty bars; horizontal reference lines indicate the slope and intercept of the global catalogue-to- regression. The diagnostic confirms that magnitude-type-specific differences exist, particularly for </w:t>
      </w:r>
      <w:proofErr w:type="spellStart"/>
      <w:r w:rsidRPr="0036293D">
        <w:rPr>
          <w:rFonts w:ascii="Times New Roman" w:hAnsi="Times New Roman" w:cs="Times New Roman"/>
          <w:i/>
          <w:iCs/>
          <w:sz w:val="22"/>
          <w:szCs w:val="22"/>
          <w:lang w:val="en-US"/>
        </w:rPr>
        <w:t>MLv</w:t>
      </w:r>
      <w:proofErr w:type="spellEnd"/>
      <w:r w:rsidRPr="0036293D">
        <w:rPr>
          <w:rFonts w:ascii="Times New Roman" w:hAnsi="Times New Roman" w:cs="Times New Roman"/>
          <w:i/>
          <w:iCs/>
          <w:sz w:val="22"/>
          <w:szCs w:val="22"/>
          <w:lang w:val="en-US"/>
        </w:rPr>
        <w:t>, while supporting the use of the unified calibration as an operational catalogue-level homogenization rather than as a physical conversion law for any individual magnitude scale.</w:t>
      </w:r>
    </w:p>
    <w:p w14:paraId="06D603E2" w14:textId="5B5FAC9F" w:rsidR="0036293D" w:rsidRDefault="0036293D">
      <w:pPr>
        <w:rPr>
          <w:rFonts w:ascii="Times New Roman" w:hAnsi="Times New Roman" w:cs="Times New Roman"/>
          <w:i/>
          <w:iCs/>
          <w:sz w:val="22"/>
          <w:szCs w:val="22"/>
          <w:lang w:val="en-US"/>
        </w:rPr>
      </w:pPr>
      <w:r>
        <w:rPr>
          <w:rFonts w:ascii="Times New Roman" w:hAnsi="Times New Roman" w:cs="Times New Roman"/>
          <w:i/>
          <w:iCs/>
          <w:sz w:val="22"/>
          <w:szCs w:val="22"/>
          <w:lang w:val="en-US"/>
        </w:rPr>
        <w:br w:type="page"/>
      </w:r>
    </w:p>
    <w:p w14:paraId="3B116178" w14:textId="1D47FCF7" w:rsidR="0036293D" w:rsidRDefault="0036293D" w:rsidP="00C333BA">
      <w:pPr>
        <w:spacing w:after="0" w:line="240" w:lineRule="auto"/>
        <w:jc w:val="both"/>
        <w:rPr>
          <w:rFonts w:ascii="Times New Roman" w:hAnsi="Times New Roman" w:cs="Times New Roman"/>
          <w:b/>
          <w:bCs/>
          <w:sz w:val="22"/>
          <w:szCs w:val="22"/>
          <w:lang w:val="en-US"/>
        </w:rPr>
      </w:pPr>
      <w:r>
        <w:rPr>
          <w:rFonts w:ascii="Times New Roman" w:hAnsi="Times New Roman" w:cs="Times New Roman"/>
          <w:b/>
          <w:bCs/>
          <w:noProof/>
          <w:sz w:val="22"/>
          <w:szCs w:val="22"/>
          <w:lang w:val="en-PH" w:eastAsia="en-PH"/>
        </w:rPr>
        <w:lastRenderedPageBreak/>
        <w:drawing>
          <wp:inline distT="0" distB="0" distL="0" distR="0" wp14:anchorId="6DC04826" wp14:editId="31E19EB2">
            <wp:extent cx="6120130" cy="4236085"/>
            <wp:effectExtent l="0" t="0" r="0" b="0"/>
            <wp:docPr id="846112366" name="Immagine 2" descr="The image depicts a statistical analysis comparing the distribution of earthquake magnitudes over time, showcasing matched MT counts, temporal distribution, catalog magnitude ranges, and slopes for different magnitude intervals.  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112366" name="Immagine 2" descr="The image depicts a statistical analysis comparing the distribution of earthquake magnitudes over time, showcasing matched MT counts, temporal distribution, catalog magnitude ranges, and slopes for different magnitude intervals.  Il contenuto generato dall'IA potrebbe non essere corret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4236085"/>
                    </a:xfrm>
                    <a:prstGeom prst="rect">
                      <a:avLst/>
                    </a:prstGeom>
                  </pic:spPr>
                </pic:pic>
              </a:graphicData>
            </a:graphic>
          </wp:inline>
        </w:drawing>
      </w:r>
    </w:p>
    <w:p w14:paraId="006E4075" w14:textId="4A14463A" w:rsidR="0036293D" w:rsidRPr="0036293D" w:rsidRDefault="0036293D" w:rsidP="00C333BA">
      <w:pPr>
        <w:spacing w:after="0" w:line="240" w:lineRule="auto"/>
        <w:jc w:val="both"/>
        <w:rPr>
          <w:rFonts w:ascii="Times New Roman" w:hAnsi="Times New Roman" w:cs="Times New Roman"/>
          <w:i/>
          <w:iCs/>
          <w:sz w:val="22"/>
          <w:szCs w:val="22"/>
          <w:lang w:val="en-US"/>
        </w:rPr>
      </w:pPr>
      <w:r w:rsidRPr="0036293D">
        <w:rPr>
          <w:rFonts w:ascii="Times New Roman" w:hAnsi="Times New Roman" w:cs="Times New Roman"/>
          <w:b/>
          <w:bCs/>
          <w:sz w:val="22"/>
          <w:szCs w:val="22"/>
          <w:lang w:val="en-US"/>
        </w:rPr>
        <w:t xml:space="preserve">Figure S4. </w:t>
      </w:r>
      <w:r w:rsidRPr="0036293D">
        <w:rPr>
          <w:rFonts w:ascii="Times New Roman" w:hAnsi="Times New Roman" w:cs="Times New Roman"/>
          <w:i/>
          <w:iCs/>
          <w:sz w:val="22"/>
          <w:szCs w:val="22"/>
          <w:lang w:val="en-US"/>
        </w:rPr>
        <w:t xml:space="preserve">Temporal and magnitude-range diagnostics of magnitude-type-specific calibration. (a) Annual number of earthquakes with matched catalogue magnitudes and </w:t>
      </w:r>
      <w:proofErr w:type="spellStart"/>
      <w:r w:rsidRPr="0036293D">
        <w:rPr>
          <w:rFonts w:ascii="Times New Roman" w:hAnsi="Times New Roman" w:cs="Times New Roman"/>
          <w:i/>
          <w:iCs/>
          <w:sz w:val="22"/>
          <w:szCs w:val="22"/>
          <w:lang w:val="en-US"/>
        </w:rPr>
        <w:t>GeoNet</w:t>
      </w:r>
      <w:proofErr w:type="spellEnd"/>
      <w:r w:rsidRPr="0036293D">
        <w:rPr>
          <w:rFonts w:ascii="Times New Roman" w:hAnsi="Times New Roman" w:cs="Times New Roman"/>
          <w:i/>
          <w:iCs/>
          <w:sz w:val="22"/>
          <w:szCs w:val="22"/>
          <w:lang w:val="en-US"/>
        </w:rPr>
        <w:t xml:space="preserve"> moment tensor solutions, subdivided by operational magnitude type. The relative contribution of M, M</w:t>
      </w:r>
      <w:r w:rsidRPr="0036293D">
        <w:rPr>
          <w:rFonts w:ascii="Times New Roman" w:hAnsi="Times New Roman" w:cs="Times New Roman"/>
          <w:i/>
          <w:iCs/>
          <w:sz w:val="22"/>
          <w:szCs w:val="22"/>
          <w:vertAlign w:val="subscript"/>
          <w:lang w:val="en-US"/>
        </w:rPr>
        <w:t>L</w:t>
      </w:r>
      <w:r w:rsidRPr="0036293D">
        <w:rPr>
          <w:rFonts w:ascii="Times New Roman" w:hAnsi="Times New Roman" w:cs="Times New Roman"/>
          <w:i/>
          <w:iCs/>
          <w:sz w:val="22"/>
          <w:szCs w:val="22"/>
          <w:lang w:val="en-US"/>
        </w:rPr>
        <w:t xml:space="preserve">, </w:t>
      </w:r>
      <w:proofErr w:type="spellStart"/>
      <w:r w:rsidRPr="0036293D">
        <w:rPr>
          <w:rFonts w:ascii="Times New Roman" w:hAnsi="Times New Roman" w:cs="Times New Roman"/>
          <w:i/>
          <w:iCs/>
          <w:sz w:val="22"/>
          <w:szCs w:val="22"/>
          <w:lang w:val="en-US"/>
        </w:rPr>
        <w:t>M</w:t>
      </w:r>
      <w:r w:rsidRPr="0036293D">
        <w:rPr>
          <w:rFonts w:ascii="Times New Roman" w:hAnsi="Times New Roman" w:cs="Times New Roman"/>
          <w:i/>
          <w:iCs/>
          <w:sz w:val="22"/>
          <w:szCs w:val="22"/>
          <w:vertAlign w:val="subscript"/>
          <w:lang w:val="en-US"/>
        </w:rPr>
        <w:t>Lv</w:t>
      </w:r>
      <w:proofErr w:type="spellEnd"/>
      <w:r w:rsidRPr="0036293D">
        <w:rPr>
          <w:rFonts w:ascii="Times New Roman" w:hAnsi="Times New Roman" w:cs="Times New Roman"/>
          <w:i/>
          <w:iCs/>
          <w:sz w:val="22"/>
          <w:szCs w:val="22"/>
          <w:lang w:val="en-US"/>
        </w:rPr>
        <w:t>, and M</w:t>
      </w:r>
      <w:r w:rsidRPr="0036293D">
        <w:rPr>
          <w:rFonts w:ascii="Times New Roman" w:hAnsi="Times New Roman" w:cs="Times New Roman"/>
          <w:i/>
          <w:iCs/>
          <w:sz w:val="22"/>
          <w:szCs w:val="22"/>
          <w:vertAlign w:val="subscript"/>
          <w:lang w:val="en-US"/>
        </w:rPr>
        <w:t>w</w:t>
      </w:r>
      <w:r w:rsidRPr="0036293D">
        <w:rPr>
          <w:rFonts w:ascii="Times New Roman" w:hAnsi="Times New Roman" w:cs="Times New Roman"/>
          <w:i/>
          <w:iCs/>
          <w:sz w:val="22"/>
          <w:szCs w:val="22"/>
          <w:lang w:val="en-US"/>
        </w:rPr>
        <w:t xml:space="preserve"> changes markedly through time, demonstrating strong temporal segregation among magnitude types within the calibration dataset. (b) Distribution of occurrence years for the matched events associated with each magnitude type, further illustrating their differ</w:t>
      </w:r>
      <w:bookmarkStart w:id="0" w:name="_GoBack"/>
      <w:bookmarkEnd w:id="0"/>
      <w:r w:rsidRPr="0036293D">
        <w:rPr>
          <w:rFonts w:ascii="Times New Roman" w:hAnsi="Times New Roman" w:cs="Times New Roman"/>
          <w:i/>
          <w:iCs/>
          <w:sz w:val="22"/>
          <w:szCs w:val="22"/>
          <w:lang w:val="en-US"/>
        </w:rPr>
        <w:t xml:space="preserve">ent temporal sampling. (c) Distribution of </w:t>
      </w:r>
      <m:oMath>
        <m:sSub>
          <m:sSubPr>
            <m:ctrlPr>
              <w:rPr>
                <w:rFonts w:ascii="Cambria Math" w:hAnsi="Cambria Math" w:cs="Times New Roman"/>
                <w:i/>
                <w:iCs/>
                <w:sz w:val="22"/>
                <w:szCs w:val="22"/>
                <w:lang w:val="en-US"/>
              </w:rPr>
            </m:ctrlPr>
          </m:sSubPr>
          <m:e>
            <m:r>
              <w:rPr>
                <w:rFonts w:ascii="Cambria Math" w:hAnsi="Cambria Math" w:cs="Times New Roman"/>
                <w:sz w:val="22"/>
                <w:szCs w:val="22"/>
                <w:lang w:val="en-US"/>
              </w:rPr>
              <m:t>M</m:t>
            </m:r>
          </m:e>
          <m:sub>
            <m:r>
              <w:rPr>
                <w:rFonts w:ascii="Cambria Math" w:hAnsi="Cambria Math" w:cs="Times New Roman"/>
                <w:sz w:val="22"/>
                <w:szCs w:val="22"/>
                <w:lang w:val="en-US"/>
              </w:rPr>
              <m:t>cat</m:t>
            </m:r>
          </m:sub>
        </m:sSub>
      </m:oMath>
      <w:r w:rsidRPr="0036293D">
        <w:rPr>
          <w:rFonts w:ascii="Times New Roman" w:hAnsi="Times New Roman" w:cs="Times New Roman"/>
          <w:i/>
          <w:iCs/>
          <w:sz w:val="22"/>
          <w:szCs w:val="22"/>
          <w:lang w:val="en-US"/>
        </w:rPr>
        <w:t xml:space="preserve"> for each magnitude type. The shaded interval, </w:t>
      </w:r>
      <m:oMath>
        <m:r>
          <w:rPr>
            <w:rFonts w:ascii="Cambria Math" w:hAnsi="Cambria Math" w:cs="Times New Roman"/>
            <w:sz w:val="22"/>
            <w:szCs w:val="22"/>
            <w:lang w:val="en-US"/>
          </w:rPr>
          <m:t>4.0≤</m:t>
        </m:r>
        <m:sSub>
          <m:sSubPr>
            <m:ctrlPr>
              <w:rPr>
                <w:rFonts w:ascii="Cambria Math" w:hAnsi="Cambria Math" w:cs="Times New Roman"/>
                <w:i/>
                <w:iCs/>
                <w:sz w:val="22"/>
                <w:szCs w:val="22"/>
                <w:lang w:val="en-US"/>
              </w:rPr>
            </m:ctrlPr>
          </m:sSubPr>
          <m:e>
            <m:r>
              <w:rPr>
                <w:rFonts w:ascii="Cambria Math" w:hAnsi="Cambria Math" w:cs="Times New Roman"/>
                <w:sz w:val="22"/>
                <w:szCs w:val="22"/>
                <w:lang w:val="en-US"/>
              </w:rPr>
              <m:t>M</m:t>
            </m:r>
          </m:e>
          <m:sub>
            <m:r>
              <w:rPr>
                <w:rFonts w:ascii="Cambria Math" w:hAnsi="Cambria Math" w:cs="Times New Roman"/>
                <w:sz w:val="22"/>
                <w:szCs w:val="22"/>
                <w:lang w:val="en-US"/>
              </w:rPr>
              <m:t>cat</m:t>
            </m:r>
          </m:sub>
        </m:sSub>
        <m:r>
          <w:rPr>
            <w:rFonts w:ascii="Cambria Math" w:hAnsi="Cambria Math" w:cs="Times New Roman"/>
            <w:sz w:val="22"/>
            <w:szCs w:val="22"/>
            <w:lang w:val="en-US"/>
          </w:rPr>
          <m:t>≤5.5</m:t>
        </m:r>
      </m:oMath>
      <w:r w:rsidRPr="0036293D">
        <w:rPr>
          <w:rFonts w:ascii="Times New Roman" w:hAnsi="Times New Roman" w:cs="Times New Roman"/>
          <w:i/>
          <w:iCs/>
          <w:sz w:val="22"/>
          <w:szCs w:val="22"/>
          <w:lang w:val="en-US"/>
        </w:rPr>
        <w:t>, defines the magnitude range common to the principal types and used for the controlled comparison in panel (d). (d) Type-specific regression slopes estimated using only events within this common magnitude interval. Sample size N and R</w:t>
      </w:r>
      <w:r w:rsidRPr="0036293D">
        <w:rPr>
          <w:rFonts w:ascii="Times New Roman" w:hAnsi="Times New Roman" w:cs="Times New Roman"/>
          <w:i/>
          <w:iCs/>
          <w:sz w:val="22"/>
          <w:szCs w:val="22"/>
          <w:vertAlign w:val="superscript"/>
          <w:lang w:val="en-US"/>
        </w:rPr>
        <w:t>2</w:t>
      </w:r>
      <w:r w:rsidRPr="0036293D">
        <w:rPr>
          <w:rFonts w:ascii="Times New Roman" w:hAnsi="Times New Roman" w:cs="Times New Roman"/>
          <w:i/>
          <w:iCs/>
          <w:sz w:val="22"/>
          <w:szCs w:val="22"/>
          <w:lang w:val="en-US"/>
        </w:rPr>
        <w:t xml:space="preserve"> are reported above each estimate, and the dashed horizontal line indicates the global common-range slope. Restricting the analysis to a common magnitude range reduces differences associated with unequal magnitude support but does not remove the lower slope observed for </w:t>
      </w:r>
      <w:proofErr w:type="spellStart"/>
      <w:r w:rsidRPr="0036293D">
        <w:rPr>
          <w:rFonts w:ascii="Times New Roman" w:hAnsi="Times New Roman" w:cs="Times New Roman"/>
          <w:i/>
          <w:iCs/>
          <w:sz w:val="22"/>
          <w:szCs w:val="22"/>
          <w:lang w:val="en-US"/>
        </w:rPr>
        <w:t>M</w:t>
      </w:r>
      <w:r w:rsidRPr="0036293D">
        <w:rPr>
          <w:rFonts w:ascii="Times New Roman" w:hAnsi="Times New Roman" w:cs="Times New Roman"/>
          <w:i/>
          <w:iCs/>
          <w:sz w:val="22"/>
          <w:szCs w:val="22"/>
          <w:vertAlign w:val="subscript"/>
          <w:lang w:val="en-US"/>
        </w:rPr>
        <w:t>Lv</w:t>
      </w:r>
      <w:proofErr w:type="spellEnd"/>
      <w:r w:rsidRPr="0036293D">
        <w:rPr>
          <w:rFonts w:ascii="Times New Roman" w:hAnsi="Times New Roman" w:cs="Times New Roman"/>
          <w:i/>
          <w:iCs/>
          <w:sz w:val="22"/>
          <w:szCs w:val="22"/>
          <w:lang w:val="en-US"/>
        </w:rPr>
        <w:t>, whereas the M</w:t>
      </w:r>
      <w:r w:rsidRPr="0036293D">
        <w:rPr>
          <w:rFonts w:ascii="Times New Roman" w:hAnsi="Times New Roman" w:cs="Times New Roman"/>
          <w:i/>
          <w:iCs/>
          <w:sz w:val="22"/>
          <w:szCs w:val="22"/>
          <w:vertAlign w:val="subscript"/>
          <w:lang w:val="en-US"/>
        </w:rPr>
        <w:t>L</w:t>
      </w:r>
      <w:r w:rsidRPr="0036293D">
        <w:rPr>
          <w:rFonts w:ascii="Times New Roman" w:hAnsi="Times New Roman" w:cs="Times New Roman"/>
          <w:i/>
          <w:iCs/>
          <w:sz w:val="22"/>
          <w:szCs w:val="22"/>
          <w:lang w:val="en-US"/>
        </w:rPr>
        <w:t xml:space="preserve"> estimate is based on substantially fewer matched events. These diagnostics show that magnitude type, observation time, and sampled magnitude range are partially confounded and therefore motivate interpreting the type-specific regressions as sensitivity tests rather than independent magnitude-conversion laws.</w:t>
      </w:r>
    </w:p>
    <w:sectPr w:rsidR="0036293D" w:rsidRPr="0036293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890149" w14:textId="77777777" w:rsidR="004A3E24" w:rsidRDefault="004A3E24" w:rsidP="00EA26A6">
      <w:pPr>
        <w:spacing w:after="0" w:line="240" w:lineRule="auto"/>
      </w:pPr>
      <w:r>
        <w:separator/>
      </w:r>
    </w:p>
  </w:endnote>
  <w:endnote w:type="continuationSeparator" w:id="0">
    <w:p w14:paraId="43694FDE" w14:textId="77777777" w:rsidR="004A3E24" w:rsidRDefault="004A3E24" w:rsidP="00EA2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3BFD4" w14:textId="77777777" w:rsidR="004A3E24" w:rsidRDefault="004A3E24" w:rsidP="00EA26A6">
      <w:pPr>
        <w:spacing w:after="0" w:line="240" w:lineRule="auto"/>
      </w:pPr>
      <w:r>
        <w:separator/>
      </w:r>
    </w:p>
  </w:footnote>
  <w:footnote w:type="continuationSeparator" w:id="0">
    <w:p w14:paraId="36F0FC09" w14:textId="77777777" w:rsidR="004A3E24" w:rsidRDefault="004A3E24" w:rsidP="00EA26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60372"/>
    <w:multiLevelType w:val="multilevel"/>
    <w:tmpl w:val="CB647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2B34DE"/>
    <w:multiLevelType w:val="multilevel"/>
    <w:tmpl w:val="E752B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52452C"/>
    <w:multiLevelType w:val="multilevel"/>
    <w:tmpl w:val="C49E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B220F2"/>
    <w:multiLevelType w:val="multilevel"/>
    <w:tmpl w:val="1B281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E03F15"/>
    <w:multiLevelType w:val="multilevel"/>
    <w:tmpl w:val="99D0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2869FF"/>
    <w:multiLevelType w:val="multilevel"/>
    <w:tmpl w:val="785C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477247"/>
    <w:multiLevelType w:val="multilevel"/>
    <w:tmpl w:val="AE96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A7C6C3D"/>
    <w:multiLevelType w:val="multilevel"/>
    <w:tmpl w:val="51D24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2B2244"/>
    <w:multiLevelType w:val="multilevel"/>
    <w:tmpl w:val="90BCF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CC84AC1"/>
    <w:multiLevelType w:val="multilevel"/>
    <w:tmpl w:val="0410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9479E3"/>
    <w:multiLevelType w:val="multilevel"/>
    <w:tmpl w:val="7610B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FBF6B9A"/>
    <w:multiLevelType w:val="multilevel"/>
    <w:tmpl w:val="6388B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4908C7"/>
    <w:multiLevelType w:val="multilevel"/>
    <w:tmpl w:val="ED22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4B05037"/>
    <w:multiLevelType w:val="multilevel"/>
    <w:tmpl w:val="0E28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4F048F"/>
    <w:multiLevelType w:val="multilevel"/>
    <w:tmpl w:val="36C6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12"/>
  </w:num>
  <w:num w:numId="4">
    <w:abstractNumId w:val="11"/>
  </w:num>
  <w:num w:numId="5">
    <w:abstractNumId w:val="6"/>
  </w:num>
  <w:num w:numId="6">
    <w:abstractNumId w:val="8"/>
  </w:num>
  <w:num w:numId="7">
    <w:abstractNumId w:val="1"/>
  </w:num>
  <w:num w:numId="8">
    <w:abstractNumId w:val="13"/>
  </w:num>
  <w:num w:numId="9">
    <w:abstractNumId w:val="14"/>
  </w:num>
  <w:num w:numId="10">
    <w:abstractNumId w:val="7"/>
  </w:num>
  <w:num w:numId="11">
    <w:abstractNumId w:val="5"/>
  </w:num>
  <w:num w:numId="12">
    <w:abstractNumId w:val="3"/>
  </w:num>
  <w:num w:numId="13">
    <w:abstractNumId w:val="0"/>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330"/>
    <w:rsid w:val="000062F0"/>
    <w:rsid w:val="0000753C"/>
    <w:rsid w:val="00007B94"/>
    <w:rsid w:val="0004282D"/>
    <w:rsid w:val="00057D7E"/>
    <w:rsid w:val="00061148"/>
    <w:rsid w:val="00077243"/>
    <w:rsid w:val="000820B3"/>
    <w:rsid w:val="000939B2"/>
    <w:rsid w:val="000B3DCA"/>
    <w:rsid w:val="000C75B8"/>
    <w:rsid w:val="000D01F5"/>
    <w:rsid w:val="000F7D13"/>
    <w:rsid w:val="00100A34"/>
    <w:rsid w:val="001E1133"/>
    <w:rsid w:val="0020521C"/>
    <w:rsid w:val="002119A3"/>
    <w:rsid w:val="00220FB9"/>
    <w:rsid w:val="002555DC"/>
    <w:rsid w:val="00284794"/>
    <w:rsid w:val="002A07F4"/>
    <w:rsid w:val="003403BF"/>
    <w:rsid w:val="00353425"/>
    <w:rsid w:val="00355BE5"/>
    <w:rsid w:val="0036293D"/>
    <w:rsid w:val="00387A79"/>
    <w:rsid w:val="003B3C10"/>
    <w:rsid w:val="003D753E"/>
    <w:rsid w:val="003E381A"/>
    <w:rsid w:val="003F58B0"/>
    <w:rsid w:val="00417544"/>
    <w:rsid w:val="0042765E"/>
    <w:rsid w:val="0046290D"/>
    <w:rsid w:val="004638F2"/>
    <w:rsid w:val="00487B16"/>
    <w:rsid w:val="0049101F"/>
    <w:rsid w:val="00491573"/>
    <w:rsid w:val="004A3E24"/>
    <w:rsid w:val="004C365F"/>
    <w:rsid w:val="004C39C4"/>
    <w:rsid w:val="004D19EE"/>
    <w:rsid w:val="004D258F"/>
    <w:rsid w:val="004D5E4B"/>
    <w:rsid w:val="00515330"/>
    <w:rsid w:val="0054167A"/>
    <w:rsid w:val="00546BC3"/>
    <w:rsid w:val="0054789D"/>
    <w:rsid w:val="00587BAB"/>
    <w:rsid w:val="005D517A"/>
    <w:rsid w:val="005F0615"/>
    <w:rsid w:val="00626806"/>
    <w:rsid w:val="006301E8"/>
    <w:rsid w:val="006318A3"/>
    <w:rsid w:val="00672D24"/>
    <w:rsid w:val="006822C3"/>
    <w:rsid w:val="00711E05"/>
    <w:rsid w:val="007378F0"/>
    <w:rsid w:val="00753F55"/>
    <w:rsid w:val="00755096"/>
    <w:rsid w:val="007909EC"/>
    <w:rsid w:val="007A2AD1"/>
    <w:rsid w:val="007B143E"/>
    <w:rsid w:val="007B32BD"/>
    <w:rsid w:val="007D3FB0"/>
    <w:rsid w:val="007D407B"/>
    <w:rsid w:val="00802CE4"/>
    <w:rsid w:val="0083454B"/>
    <w:rsid w:val="00842006"/>
    <w:rsid w:val="008604DD"/>
    <w:rsid w:val="008609C3"/>
    <w:rsid w:val="00875B32"/>
    <w:rsid w:val="00881DA4"/>
    <w:rsid w:val="00894F37"/>
    <w:rsid w:val="008B23A6"/>
    <w:rsid w:val="008B73BD"/>
    <w:rsid w:val="008D26BC"/>
    <w:rsid w:val="008D47BA"/>
    <w:rsid w:val="009471F1"/>
    <w:rsid w:val="00953606"/>
    <w:rsid w:val="009617F2"/>
    <w:rsid w:val="00964757"/>
    <w:rsid w:val="009D6658"/>
    <w:rsid w:val="009E5F18"/>
    <w:rsid w:val="00A320DC"/>
    <w:rsid w:val="00A3689B"/>
    <w:rsid w:val="00A454C0"/>
    <w:rsid w:val="00A500D8"/>
    <w:rsid w:val="00A7724E"/>
    <w:rsid w:val="00AA1F49"/>
    <w:rsid w:val="00AC546A"/>
    <w:rsid w:val="00AC7154"/>
    <w:rsid w:val="00AD327A"/>
    <w:rsid w:val="00B025F8"/>
    <w:rsid w:val="00B330AC"/>
    <w:rsid w:val="00B51190"/>
    <w:rsid w:val="00B543E1"/>
    <w:rsid w:val="00B5465E"/>
    <w:rsid w:val="00B562C5"/>
    <w:rsid w:val="00B9344A"/>
    <w:rsid w:val="00BA0EFD"/>
    <w:rsid w:val="00BD20BB"/>
    <w:rsid w:val="00BE2F55"/>
    <w:rsid w:val="00C056FB"/>
    <w:rsid w:val="00C06554"/>
    <w:rsid w:val="00C22693"/>
    <w:rsid w:val="00C333BA"/>
    <w:rsid w:val="00C37FAF"/>
    <w:rsid w:val="00C73CFD"/>
    <w:rsid w:val="00C96B68"/>
    <w:rsid w:val="00C97AEC"/>
    <w:rsid w:val="00CE5642"/>
    <w:rsid w:val="00CF23F5"/>
    <w:rsid w:val="00D22330"/>
    <w:rsid w:val="00D60063"/>
    <w:rsid w:val="00D70FCB"/>
    <w:rsid w:val="00D84F88"/>
    <w:rsid w:val="00DE2132"/>
    <w:rsid w:val="00DF073E"/>
    <w:rsid w:val="00E24371"/>
    <w:rsid w:val="00E44B96"/>
    <w:rsid w:val="00E45F9E"/>
    <w:rsid w:val="00E47499"/>
    <w:rsid w:val="00E6453B"/>
    <w:rsid w:val="00E84759"/>
    <w:rsid w:val="00EA26A6"/>
    <w:rsid w:val="00EB521A"/>
    <w:rsid w:val="00EC3EC8"/>
    <w:rsid w:val="00EF10D9"/>
    <w:rsid w:val="00F17D2F"/>
    <w:rsid w:val="00F22B16"/>
    <w:rsid w:val="00F36ADE"/>
    <w:rsid w:val="00F52B7C"/>
    <w:rsid w:val="00F82351"/>
    <w:rsid w:val="00F858C7"/>
    <w:rsid w:val="00FB6FA1"/>
    <w:rsid w:val="00FD0F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F5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5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330"/>
    <w:rPr>
      <w:rFonts w:eastAsiaTheme="majorEastAsia" w:cstheme="majorBidi"/>
      <w:color w:val="272727" w:themeColor="text1" w:themeTint="D8"/>
    </w:rPr>
  </w:style>
  <w:style w:type="paragraph" w:styleId="Title">
    <w:name w:val="Title"/>
    <w:basedOn w:val="Normal"/>
    <w:next w:val="Normal"/>
    <w:link w:val="TitleChar"/>
    <w:uiPriority w:val="10"/>
    <w:qFormat/>
    <w:rsid w:val="00515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330"/>
    <w:pPr>
      <w:spacing w:before="160"/>
      <w:jc w:val="center"/>
    </w:pPr>
    <w:rPr>
      <w:i/>
      <w:iCs/>
      <w:color w:val="404040" w:themeColor="text1" w:themeTint="BF"/>
    </w:rPr>
  </w:style>
  <w:style w:type="character" w:customStyle="1" w:styleId="QuoteChar">
    <w:name w:val="Quote Char"/>
    <w:basedOn w:val="DefaultParagraphFont"/>
    <w:link w:val="Quote"/>
    <w:uiPriority w:val="29"/>
    <w:rsid w:val="00515330"/>
    <w:rPr>
      <w:i/>
      <w:iCs/>
      <w:color w:val="404040" w:themeColor="text1" w:themeTint="BF"/>
    </w:rPr>
  </w:style>
  <w:style w:type="paragraph" w:styleId="ListParagraph">
    <w:name w:val="List Paragraph"/>
    <w:basedOn w:val="Normal"/>
    <w:uiPriority w:val="34"/>
    <w:qFormat/>
    <w:rsid w:val="00515330"/>
    <w:pPr>
      <w:ind w:left="720"/>
      <w:contextualSpacing/>
    </w:pPr>
  </w:style>
  <w:style w:type="character" w:styleId="IntenseEmphasis">
    <w:name w:val="Intense Emphasis"/>
    <w:basedOn w:val="DefaultParagraphFont"/>
    <w:uiPriority w:val="21"/>
    <w:qFormat/>
    <w:rsid w:val="00515330"/>
    <w:rPr>
      <w:i/>
      <w:iCs/>
      <w:color w:val="0F4761" w:themeColor="accent1" w:themeShade="BF"/>
    </w:rPr>
  </w:style>
  <w:style w:type="paragraph" w:styleId="IntenseQuote">
    <w:name w:val="Intense Quote"/>
    <w:basedOn w:val="Normal"/>
    <w:next w:val="Normal"/>
    <w:link w:val="IntenseQuoteChar"/>
    <w:uiPriority w:val="30"/>
    <w:qFormat/>
    <w:rsid w:val="00515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330"/>
    <w:rPr>
      <w:i/>
      <w:iCs/>
      <w:color w:val="0F4761" w:themeColor="accent1" w:themeShade="BF"/>
    </w:rPr>
  </w:style>
  <w:style w:type="character" w:styleId="IntenseReference">
    <w:name w:val="Intense Reference"/>
    <w:basedOn w:val="DefaultParagraphFont"/>
    <w:uiPriority w:val="32"/>
    <w:qFormat/>
    <w:rsid w:val="00515330"/>
    <w:rPr>
      <w:b/>
      <w:bCs/>
      <w:smallCaps/>
      <w:color w:val="0F4761" w:themeColor="accent1" w:themeShade="BF"/>
      <w:spacing w:val="5"/>
    </w:rPr>
  </w:style>
  <w:style w:type="character" w:styleId="Hyperlink">
    <w:name w:val="Hyperlink"/>
    <w:basedOn w:val="DefaultParagraphFont"/>
    <w:uiPriority w:val="99"/>
    <w:unhideWhenUsed/>
    <w:rsid w:val="00AC7154"/>
    <w:rPr>
      <w:color w:val="467886" w:themeColor="hyperlink"/>
      <w:u w:val="single"/>
    </w:rPr>
  </w:style>
  <w:style w:type="character" w:customStyle="1" w:styleId="UnresolvedMention">
    <w:name w:val="Unresolved Mention"/>
    <w:basedOn w:val="DefaultParagraphFont"/>
    <w:uiPriority w:val="99"/>
    <w:semiHidden/>
    <w:unhideWhenUsed/>
    <w:rsid w:val="00AC7154"/>
    <w:rPr>
      <w:color w:val="605E5C"/>
      <w:shd w:val="clear" w:color="auto" w:fill="E1DFDD"/>
    </w:rPr>
  </w:style>
  <w:style w:type="paragraph" w:styleId="Header">
    <w:name w:val="header"/>
    <w:basedOn w:val="Normal"/>
    <w:link w:val="HeaderChar"/>
    <w:uiPriority w:val="99"/>
    <w:unhideWhenUsed/>
    <w:rsid w:val="00EA26A6"/>
    <w:pPr>
      <w:tabs>
        <w:tab w:val="center" w:pos="4819"/>
        <w:tab w:val="right" w:pos="9638"/>
      </w:tabs>
      <w:spacing w:after="0" w:line="240" w:lineRule="auto"/>
    </w:pPr>
  </w:style>
  <w:style w:type="character" w:customStyle="1" w:styleId="HeaderChar">
    <w:name w:val="Header Char"/>
    <w:basedOn w:val="DefaultParagraphFont"/>
    <w:link w:val="Header"/>
    <w:uiPriority w:val="99"/>
    <w:rsid w:val="00EA26A6"/>
  </w:style>
  <w:style w:type="paragraph" w:styleId="Footer">
    <w:name w:val="footer"/>
    <w:basedOn w:val="Normal"/>
    <w:link w:val="FooterChar"/>
    <w:uiPriority w:val="99"/>
    <w:unhideWhenUsed/>
    <w:rsid w:val="00EA26A6"/>
    <w:pPr>
      <w:tabs>
        <w:tab w:val="center" w:pos="4819"/>
        <w:tab w:val="right" w:pos="9638"/>
      </w:tabs>
      <w:spacing w:after="0" w:line="240" w:lineRule="auto"/>
    </w:pPr>
  </w:style>
  <w:style w:type="character" w:customStyle="1" w:styleId="FooterChar">
    <w:name w:val="Footer Char"/>
    <w:basedOn w:val="DefaultParagraphFont"/>
    <w:link w:val="Footer"/>
    <w:uiPriority w:val="99"/>
    <w:rsid w:val="00EA26A6"/>
  </w:style>
  <w:style w:type="character" w:styleId="PlaceholderText">
    <w:name w:val="Placeholder Text"/>
    <w:basedOn w:val="DefaultParagraphFont"/>
    <w:uiPriority w:val="99"/>
    <w:semiHidden/>
    <w:rsid w:val="0036293D"/>
    <w:rPr>
      <w:color w:val="666666"/>
    </w:rPr>
  </w:style>
  <w:style w:type="paragraph" w:styleId="BalloonText">
    <w:name w:val="Balloon Text"/>
    <w:basedOn w:val="Normal"/>
    <w:link w:val="BalloonTextChar"/>
    <w:uiPriority w:val="99"/>
    <w:semiHidden/>
    <w:unhideWhenUsed/>
    <w:rsid w:val="00E44B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B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5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5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5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5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5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5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5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5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5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5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5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5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5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5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330"/>
    <w:rPr>
      <w:rFonts w:eastAsiaTheme="majorEastAsia" w:cstheme="majorBidi"/>
      <w:color w:val="272727" w:themeColor="text1" w:themeTint="D8"/>
    </w:rPr>
  </w:style>
  <w:style w:type="paragraph" w:styleId="Title">
    <w:name w:val="Title"/>
    <w:basedOn w:val="Normal"/>
    <w:next w:val="Normal"/>
    <w:link w:val="TitleChar"/>
    <w:uiPriority w:val="10"/>
    <w:qFormat/>
    <w:rsid w:val="00515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5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5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330"/>
    <w:pPr>
      <w:spacing w:before="160"/>
      <w:jc w:val="center"/>
    </w:pPr>
    <w:rPr>
      <w:i/>
      <w:iCs/>
      <w:color w:val="404040" w:themeColor="text1" w:themeTint="BF"/>
    </w:rPr>
  </w:style>
  <w:style w:type="character" w:customStyle="1" w:styleId="QuoteChar">
    <w:name w:val="Quote Char"/>
    <w:basedOn w:val="DefaultParagraphFont"/>
    <w:link w:val="Quote"/>
    <w:uiPriority w:val="29"/>
    <w:rsid w:val="00515330"/>
    <w:rPr>
      <w:i/>
      <w:iCs/>
      <w:color w:val="404040" w:themeColor="text1" w:themeTint="BF"/>
    </w:rPr>
  </w:style>
  <w:style w:type="paragraph" w:styleId="ListParagraph">
    <w:name w:val="List Paragraph"/>
    <w:basedOn w:val="Normal"/>
    <w:uiPriority w:val="34"/>
    <w:qFormat/>
    <w:rsid w:val="00515330"/>
    <w:pPr>
      <w:ind w:left="720"/>
      <w:contextualSpacing/>
    </w:pPr>
  </w:style>
  <w:style w:type="character" w:styleId="IntenseEmphasis">
    <w:name w:val="Intense Emphasis"/>
    <w:basedOn w:val="DefaultParagraphFont"/>
    <w:uiPriority w:val="21"/>
    <w:qFormat/>
    <w:rsid w:val="00515330"/>
    <w:rPr>
      <w:i/>
      <w:iCs/>
      <w:color w:val="0F4761" w:themeColor="accent1" w:themeShade="BF"/>
    </w:rPr>
  </w:style>
  <w:style w:type="paragraph" w:styleId="IntenseQuote">
    <w:name w:val="Intense Quote"/>
    <w:basedOn w:val="Normal"/>
    <w:next w:val="Normal"/>
    <w:link w:val="IntenseQuoteChar"/>
    <w:uiPriority w:val="30"/>
    <w:qFormat/>
    <w:rsid w:val="00515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5330"/>
    <w:rPr>
      <w:i/>
      <w:iCs/>
      <w:color w:val="0F4761" w:themeColor="accent1" w:themeShade="BF"/>
    </w:rPr>
  </w:style>
  <w:style w:type="character" w:styleId="IntenseReference">
    <w:name w:val="Intense Reference"/>
    <w:basedOn w:val="DefaultParagraphFont"/>
    <w:uiPriority w:val="32"/>
    <w:qFormat/>
    <w:rsid w:val="00515330"/>
    <w:rPr>
      <w:b/>
      <w:bCs/>
      <w:smallCaps/>
      <w:color w:val="0F4761" w:themeColor="accent1" w:themeShade="BF"/>
      <w:spacing w:val="5"/>
    </w:rPr>
  </w:style>
  <w:style w:type="character" w:styleId="Hyperlink">
    <w:name w:val="Hyperlink"/>
    <w:basedOn w:val="DefaultParagraphFont"/>
    <w:uiPriority w:val="99"/>
    <w:unhideWhenUsed/>
    <w:rsid w:val="00AC7154"/>
    <w:rPr>
      <w:color w:val="467886" w:themeColor="hyperlink"/>
      <w:u w:val="single"/>
    </w:rPr>
  </w:style>
  <w:style w:type="character" w:customStyle="1" w:styleId="UnresolvedMention">
    <w:name w:val="Unresolved Mention"/>
    <w:basedOn w:val="DefaultParagraphFont"/>
    <w:uiPriority w:val="99"/>
    <w:semiHidden/>
    <w:unhideWhenUsed/>
    <w:rsid w:val="00AC7154"/>
    <w:rPr>
      <w:color w:val="605E5C"/>
      <w:shd w:val="clear" w:color="auto" w:fill="E1DFDD"/>
    </w:rPr>
  </w:style>
  <w:style w:type="paragraph" w:styleId="Header">
    <w:name w:val="header"/>
    <w:basedOn w:val="Normal"/>
    <w:link w:val="HeaderChar"/>
    <w:uiPriority w:val="99"/>
    <w:unhideWhenUsed/>
    <w:rsid w:val="00EA26A6"/>
    <w:pPr>
      <w:tabs>
        <w:tab w:val="center" w:pos="4819"/>
        <w:tab w:val="right" w:pos="9638"/>
      </w:tabs>
      <w:spacing w:after="0" w:line="240" w:lineRule="auto"/>
    </w:pPr>
  </w:style>
  <w:style w:type="character" w:customStyle="1" w:styleId="HeaderChar">
    <w:name w:val="Header Char"/>
    <w:basedOn w:val="DefaultParagraphFont"/>
    <w:link w:val="Header"/>
    <w:uiPriority w:val="99"/>
    <w:rsid w:val="00EA26A6"/>
  </w:style>
  <w:style w:type="paragraph" w:styleId="Footer">
    <w:name w:val="footer"/>
    <w:basedOn w:val="Normal"/>
    <w:link w:val="FooterChar"/>
    <w:uiPriority w:val="99"/>
    <w:unhideWhenUsed/>
    <w:rsid w:val="00EA26A6"/>
    <w:pPr>
      <w:tabs>
        <w:tab w:val="center" w:pos="4819"/>
        <w:tab w:val="right" w:pos="9638"/>
      </w:tabs>
      <w:spacing w:after="0" w:line="240" w:lineRule="auto"/>
    </w:pPr>
  </w:style>
  <w:style w:type="character" w:customStyle="1" w:styleId="FooterChar">
    <w:name w:val="Footer Char"/>
    <w:basedOn w:val="DefaultParagraphFont"/>
    <w:link w:val="Footer"/>
    <w:uiPriority w:val="99"/>
    <w:rsid w:val="00EA26A6"/>
  </w:style>
  <w:style w:type="character" w:styleId="PlaceholderText">
    <w:name w:val="Placeholder Text"/>
    <w:basedOn w:val="DefaultParagraphFont"/>
    <w:uiPriority w:val="99"/>
    <w:semiHidden/>
    <w:rsid w:val="0036293D"/>
    <w:rPr>
      <w:color w:val="666666"/>
    </w:rPr>
  </w:style>
  <w:style w:type="paragraph" w:styleId="BalloonText">
    <w:name w:val="Balloon Text"/>
    <w:basedOn w:val="Normal"/>
    <w:link w:val="BalloonTextChar"/>
    <w:uiPriority w:val="99"/>
    <w:semiHidden/>
    <w:unhideWhenUsed/>
    <w:rsid w:val="00E44B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B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56</TotalTime>
  <Pages>4</Pages>
  <Words>735</Words>
  <Characters>4193</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Jenisel Caliwa</cp:lastModifiedBy>
  <cp:revision>13</cp:revision>
  <cp:lastPrinted>2026-06-22T03:46:00Z</cp:lastPrinted>
  <dcterms:created xsi:type="dcterms:W3CDTF">2026-06-22T05:55:00Z</dcterms:created>
  <dcterms:modified xsi:type="dcterms:W3CDTF">2026-09-02T00:43:00Z</dcterms:modified>
</cp:coreProperties>
</file>