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before="120" w:after="120"/>
        <w:rPr>
          <w:rFonts w:ascii="Times New Roman" w:hAnsi="Times New Roman" w:cs="Times New Roman"/>
          <w:color w:val="auto"/>
          <w:lang w:val="en-GB"/>
        </w:rPr>
      </w:pPr>
      <w:r>
        <w:rPr>
          <w:rFonts w:cs="Times New Roman" w:ascii="Times New Roman" w:hAnsi="Times New Roman"/>
          <w:color w:val="auto"/>
          <w:lang w:val="en-GB"/>
        </w:rPr>
        <w:t>Appendix A: TTO presence in ANZ universities</w:t>
      </w:r>
    </w:p>
    <w:tbl>
      <w:tblPr>
        <w:tblW w:w="9924" w:type="dxa"/>
        <w:jc w:val="left"/>
        <w:tblInd w:w="-26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992"/>
        <w:gridCol w:w="3238"/>
        <w:gridCol w:w="1135"/>
        <w:gridCol w:w="3566"/>
      </w:tblGrid>
      <w:tr>
        <w:trPr>
          <w:tblHeader w:val="true"/>
          <w:trHeight w:val="134" w:hRule="atLeast"/>
        </w:trPr>
        <w:tc>
          <w:tcPr>
            <w:tcW w:w="198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b/>
                <w:b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val="en-GB" w:eastAsia="en-GB"/>
              </w:rPr>
              <w:t>Global rankings</w:t>
            </w:r>
          </w:p>
        </w:tc>
        <w:tc>
          <w:tcPr>
            <w:tcW w:w="323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b/>
                <w:b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val="en-GB" w:eastAsia="en-GB"/>
              </w:rPr>
              <w:t>University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b/>
                <w:b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val="en-GB" w:eastAsia="en-GB"/>
              </w:rPr>
              <w:t>Country/ TTO status</w:t>
            </w:r>
            <w:r>
              <w:rPr>
                <w:rStyle w:val="FootnoteAnchor"/>
                <w:rFonts w:eastAsia="Times New Roman" w:cs="Times New Roman"/>
                <w:b/>
                <w:sz w:val="20"/>
                <w:szCs w:val="20"/>
                <w:lang w:val="en-GB" w:eastAsia="en-GB"/>
              </w:rPr>
              <w:footnoteReference w:id="2"/>
            </w:r>
          </w:p>
        </w:tc>
        <w:tc>
          <w:tcPr>
            <w:tcW w:w="3566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b/>
                <w:b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val="en-GB" w:eastAsia="en-GB"/>
              </w:rPr>
              <w:t>TTO</w:t>
            </w:r>
          </w:p>
        </w:tc>
      </w:tr>
      <w:tr>
        <w:trPr>
          <w:tblHeader w:val="true"/>
          <w:trHeight w:val="134" w:hRule="atLeast"/>
        </w:trPr>
        <w:tc>
          <w:tcPr>
            <w:tcW w:w="99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b/>
                <w:b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val="en-GB" w:eastAsia="en-GB"/>
              </w:rPr>
              <w:t>World</w:t>
            </w:r>
            <w:r>
              <w:rPr>
                <w:rStyle w:val="FootnoteAnchor"/>
                <w:rFonts w:eastAsia="Times New Roman" w:cs="Times New Roman"/>
                <w:b/>
                <w:sz w:val="20"/>
                <w:szCs w:val="20"/>
                <w:lang w:val="en-GB" w:eastAsia="en-GB"/>
              </w:rPr>
              <w:footnoteReference w:id="3"/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b/>
                <w:b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val="en-GB"/>
              </w:rPr>
              <w:t>Science</w:t>
            </w:r>
            <w:r>
              <w:rPr>
                <w:rStyle w:val="FootnoteAnchor"/>
                <w:rFonts w:eastAsia="Times New Roman" w:cs="Times New Roman"/>
                <w:b/>
                <w:sz w:val="20"/>
                <w:szCs w:val="20"/>
                <w:lang w:val="en-GB" w:eastAsia="en-GB"/>
              </w:rPr>
              <w:footnoteReference w:id="4"/>
            </w:r>
          </w:p>
        </w:tc>
        <w:tc>
          <w:tcPr>
            <w:tcW w:w="3238" w:type="dxa"/>
            <w:vMerge w:val="continue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</w:r>
          </w:p>
        </w:tc>
        <w:tc>
          <w:tcPr>
            <w:tcW w:w="1135" w:type="dxa"/>
            <w:vMerge w:val="continue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</w:r>
          </w:p>
        </w:tc>
        <w:tc>
          <w:tcPr>
            <w:tcW w:w="3566" w:type="dxa"/>
            <w:vMerge w:val="continue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val="en-GB" w:eastAsia="en-GB"/>
              </w:rPr>
            </w:r>
          </w:p>
        </w:tc>
      </w:tr>
      <w:tr>
        <w:trPr>
          <w:trHeight w:val="134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133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Australian National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Innovation ANU</w:t>
            </w:r>
          </w:p>
        </w:tc>
      </w:tr>
      <w:tr>
        <w:trPr>
          <w:trHeight w:val="16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40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22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Sydney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Commercialisation Development and Industry Partnerships Team</w:t>
            </w:r>
          </w:p>
        </w:tc>
      </w:tr>
      <w:tr>
        <w:trPr>
          <w:trHeight w:val="134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41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Melbourne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UoM Commercialisation Ltd/Technology Licensing Services </w:t>
              <w:br/>
              <w:t>within Research, Innovation &amp; Commercialisation</w:t>
            </w:r>
          </w:p>
        </w:tc>
      </w:tr>
      <w:tr>
        <w:trPr>
          <w:trHeight w:val="134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44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66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New South Wales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New South Innovations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46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38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Queensland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UniQuest</w:t>
            </w:r>
          </w:p>
        </w:tc>
      </w:tr>
      <w:tr>
        <w:trPr>
          <w:trHeight w:val="134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55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35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Monash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Monash Innovation</w:t>
            </w:r>
          </w:p>
        </w:tc>
      </w:tr>
      <w:tr>
        <w:trPr>
          <w:trHeight w:val="293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81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94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Auckland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NZ/Y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UniServices</w:t>
            </w:r>
          </w:p>
        </w:tc>
      </w:tr>
      <w:tr>
        <w:trPr>
          <w:trHeight w:val="134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92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100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Western Australia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Research Development and Innovation Office</w:t>
            </w:r>
          </w:p>
        </w:tc>
      </w:tr>
      <w:tr>
        <w:trPr>
          <w:trHeight w:val="134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106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100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Adelaide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Division of Research &amp; Innovation</w:t>
            </w:r>
          </w:p>
        </w:tc>
      </w:tr>
      <w:tr>
        <w:trPr>
          <w:trHeight w:val="134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133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Technology Sydney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Research and Innovation Office</w:t>
            </w:r>
          </w:p>
        </w:tc>
      </w:tr>
      <w:tr>
        <w:trPr>
          <w:trHeight w:val="134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184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100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Otago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NZ/Y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Otago Innovation</w:t>
            </w:r>
          </w:p>
        </w:tc>
      </w:tr>
      <w:tr>
        <w:trPr>
          <w:trHeight w:val="134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196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401-450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Wollongong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Innovation &amp; Commercial Research</w:t>
            </w:r>
          </w:p>
        </w:tc>
      </w:tr>
      <w:tr>
        <w:trPr>
          <w:trHeight w:val="134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197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177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Newcastle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Newcastle Innovation</w:t>
            </w:r>
          </w:p>
        </w:tc>
      </w:tr>
      <w:tr>
        <w:trPr>
          <w:trHeight w:val="70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214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290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Macquarie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Commercialisation and Innovation</w:t>
            </w:r>
          </w:p>
        </w:tc>
      </w:tr>
      <w:tr>
        <w:trPr>
          <w:trHeight w:val="134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217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233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Queensland University of Technology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 </w:t>
            </w:r>
          </w:p>
        </w:tc>
      </w:tr>
      <w:tr>
        <w:trPr>
          <w:trHeight w:val="293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217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304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Curtin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 </w:t>
            </w:r>
          </w:p>
        </w:tc>
      </w:tr>
      <w:tr>
        <w:trPr>
          <w:trHeight w:val="134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223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Victoria University of Wellington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NZ/Y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Wellington UniVentures</w:t>
            </w:r>
          </w:p>
        </w:tc>
      </w:tr>
      <w:tr>
        <w:trPr>
          <w:trHeight w:val="293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223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RMIT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Research, Innovation &amp; Entrepreneurship team</w:t>
            </w:r>
          </w:p>
        </w:tc>
      </w:tr>
      <w:tr>
        <w:trPr>
          <w:trHeight w:val="134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270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Canterbury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NZ/Y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IP Commercialisation</w:t>
            </w:r>
          </w:p>
        </w:tc>
      </w:tr>
      <w:tr>
        <w:trPr>
          <w:trHeight w:val="37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272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385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Massey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NZ/Y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Massey Ventures</w:t>
            </w:r>
          </w:p>
        </w:tc>
      </w:tr>
      <w:tr>
        <w:trPr>
          <w:trHeight w:val="307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275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230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Deakin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Business and research partnerships</w:t>
            </w:r>
          </w:p>
        </w:tc>
      </w:tr>
      <w:tr>
        <w:trPr>
          <w:trHeight w:val="293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295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307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South Australia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UniSA Ventures</w:t>
            </w:r>
          </w:p>
        </w:tc>
      </w:tr>
      <w:tr>
        <w:trPr>
          <w:trHeight w:val="134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303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273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Griffith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Griffith Enterprise</w:t>
            </w:r>
          </w:p>
        </w:tc>
      </w:tr>
      <w:tr>
        <w:trPr>
          <w:trHeight w:val="134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308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Tasmania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Innovation and Enterprise Office</w:t>
            </w:r>
          </w:p>
        </w:tc>
      </w:tr>
      <w:tr>
        <w:trPr>
          <w:trHeight w:val="107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372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Swinburne University of Technology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 </w:t>
            </w:r>
          </w:p>
        </w:tc>
      </w:tr>
      <w:tr>
        <w:trPr>
          <w:trHeight w:val="293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375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Waikato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NZ/Y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WaikatoLink</w:t>
            </w:r>
          </w:p>
        </w:tc>
      </w:tr>
      <w:tr>
        <w:trPr>
          <w:trHeight w:val="311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387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Lincoln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NZ/P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Research Management Office</w:t>
            </w:r>
          </w:p>
        </w:tc>
      </w:tr>
      <w:tr>
        <w:trPr>
          <w:trHeight w:val="293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398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294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La Trobe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Innovation &amp; Commercialisation</w:t>
            </w:r>
          </w:p>
        </w:tc>
      </w:tr>
      <w:tr>
        <w:trPr>
          <w:trHeight w:val="134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414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Bond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AU/N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 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423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301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Flinders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Flinders Partners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437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451-500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Auckland University of Technology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NZ/Y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AUTEL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456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Canberra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AU/P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Engage UC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462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335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James Cook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JCU Connect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474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347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Western Sydney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Business Services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551-560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Victoria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 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571-580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Murdoch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Industry &amp; partnerships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591-600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Central Queensland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Office of Engagement &amp; Campuses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651-700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Edith Cowan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AU/P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Office of Research &amp; Innovation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701-750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Charles Darwin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AU/P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Research Grants and Business Development Team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701-750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Southern Queensland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AU/N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 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751-800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Southern Cross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AU/P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Engagement team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801-1000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Australian Catholic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AU/N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 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801-1000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Charles Sturt University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AU/N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 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801-1000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New England Australia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AU/N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 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the Sunshine Coast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AU/N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 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Torrens University Australia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AU/N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 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Divinity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AU/N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 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Carnegie Mellon University - Australia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AU/P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Centre for Technology Transfer and Enterprise Creation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Federation University Australia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AU/P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Research and Innovation team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of Notre Dame Australia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AU/P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Research Office</w:t>
              <w:br/>
              <w:t>Research Development and Grant Management</w:t>
            </w:r>
          </w:p>
        </w:tc>
      </w:tr>
      <w:tr>
        <w:trPr>
          <w:trHeight w:val="335" w:hRule="atLeast"/>
        </w:trPr>
        <w:tc>
          <w:tcPr>
            <w:tcW w:w="9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N/A</w:t>
            </w:r>
          </w:p>
        </w:tc>
        <w:tc>
          <w:tcPr>
            <w:tcW w:w="3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University College London</w:t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AU/Y</w:t>
            </w:r>
          </w:p>
        </w:tc>
        <w:tc>
          <w:tcPr>
            <w:tcW w:w="35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UCLB</w:t>
            </w:r>
            <w:bookmarkStart w:id="0" w:name="_Toc507524568"/>
            <w:bookmarkStart w:id="1" w:name="_Toc507356676"/>
            <w:bookmarkStart w:id="2" w:name="_Toc507249988"/>
            <w:bookmarkEnd w:id="0"/>
            <w:bookmarkEnd w:id="1"/>
            <w:bookmarkEnd w:id="2"/>
          </w:p>
        </w:tc>
      </w:tr>
    </w:tbl>
    <w:p>
      <w:pPr>
        <w:pStyle w:val="Normal"/>
        <w:rPr>
          <w:rFonts w:cs="Times New Roman"/>
          <w:lang w:val="en-GB"/>
        </w:rPr>
      </w:pPr>
      <w:r>
        <w:rPr>
          <w:rFonts w:cs="Times New Roman"/>
          <w:lang w:val="en-GB"/>
        </w:rPr>
      </w:r>
    </w:p>
    <w:p>
      <w:pPr>
        <w:pStyle w:val="Normal"/>
        <w:spacing w:lineRule="auto" w:line="259"/>
        <w:jc w:val="left"/>
        <w:rPr>
          <w:rFonts w:eastAsia="" w:cs="Times New Roman" w:eastAsiaTheme="majorEastAsia"/>
          <w:b/>
          <w:b/>
          <w:sz w:val="28"/>
          <w:szCs w:val="32"/>
          <w:lang w:val="en-GB"/>
        </w:rPr>
      </w:pPr>
      <w:r>
        <w:rPr>
          <w:rFonts w:eastAsia="" w:cs="Times New Roman" w:eastAsiaTheme="majorEastAsia"/>
          <w:b/>
          <w:sz w:val="28"/>
          <w:szCs w:val="32"/>
          <w:lang w:val="en-GB"/>
        </w:rPr>
      </w:r>
      <w:bookmarkStart w:id="3" w:name="_Toc507524569"/>
      <w:bookmarkStart w:id="4" w:name="_Toc507356677"/>
      <w:bookmarkStart w:id="5" w:name="_Toc507249989"/>
      <w:bookmarkStart w:id="6" w:name="_Toc507524569"/>
      <w:bookmarkStart w:id="7" w:name="_Toc507356677"/>
      <w:bookmarkStart w:id="8" w:name="_Toc507249989"/>
      <w:r>
        <w:br w:type="page"/>
      </w:r>
    </w:p>
    <w:p>
      <w:pPr>
        <w:pStyle w:val="Heading2"/>
        <w:rPr>
          <w:rFonts w:ascii="Times New Roman" w:hAnsi="Times New Roman" w:cs="Times New Roman"/>
          <w:color w:val="auto"/>
          <w:lang w:val="en-GB"/>
        </w:rPr>
      </w:pPr>
      <w:bookmarkStart w:id="9" w:name="_Toc507524569"/>
      <w:bookmarkStart w:id="10" w:name="_Toc507356677"/>
      <w:bookmarkStart w:id="11" w:name="_Toc507249989"/>
      <w:r>
        <w:rPr>
          <w:rFonts w:cs="Times New Roman" w:ascii="Times New Roman" w:hAnsi="Times New Roman"/>
          <w:color w:val="auto"/>
          <w:lang w:val="en-GB"/>
        </w:rPr>
        <w:t>Appendix B: Interview Guide (TTO Experts)</w:t>
      </w:r>
      <w:bookmarkEnd w:id="9"/>
      <w:bookmarkEnd w:id="10"/>
      <w:bookmarkEnd w:id="11"/>
    </w:p>
    <w:p>
      <w:pPr>
        <w:pStyle w:val="Normal"/>
        <w:rPr>
          <w:rFonts w:cs="Times New Roman"/>
          <w:b/>
          <w:b/>
          <w:lang w:val="en-GB"/>
        </w:rPr>
      </w:pPr>
      <w:r>
        <w:rPr>
          <w:rFonts w:cs="Times New Roman"/>
          <w:b/>
          <w:lang w:val="en-GB"/>
        </w:rPr>
        <w:t>Part 1: TTO EXPERT PROFILE</w:t>
      </w:r>
    </w:p>
    <w:p>
      <w:pPr>
        <w:pStyle w:val="Normal"/>
        <w:rPr>
          <w:rFonts w:cs="Times New Roman"/>
          <w:lang w:val="en-GB"/>
        </w:rPr>
      </w:pPr>
      <w:r>
        <w:rPr>
          <w:rFonts w:cs="Times New Roman"/>
          <w:lang w:val="en-GB"/>
        </w:rPr>
        <w:t>Role with (TTO name) [probe for key responsibilities, reports, relationships with other departments/parts of the university/individual researchers/external relationship building, etc]</w:t>
      </w:r>
    </w:p>
    <w:p>
      <w:pPr>
        <w:pStyle w:val="Normal"/>
        <w:rPr>
          <w:rFonts w:cs="Times New Roman"/>
          <w:b/>
          <w:b/>
          <w:lang w:val="en-GB"/>
        </w:rPr>
      </w:pPr>
      <w:r>
        <w:rPr>
          <w:rFonts w:cs="Times New Roman"/>
          <w:b/>
          <w:lang w:val="en-GB"/>
        </w:rPr>
        <w:t>Part 2: TNCs</w:t>
      </w:r>
    </w:p>
    <w:p>
      <w:pPr>
        <w:pStyle w:val="ListParagraph"/>
        <w:numPr>
          <w:ilvl w:val="0"/>
          <w:numId w:val="1"/>
        </w:numPr>
        <w:rPr>
          <w:rFonts w:cs="Times New Roman"/>
          <w:lang w:val="en-GB"/>
        </w:rPr>
      </w:pPr>
      <w:r>
        <w:rPr>
          <w:rFonts w:cs="Times New Roman"/>
          <w:lang w:val="en-GB"/>
        </w:rPr>
        <w:t>When a research group approaches with opportunity, next steps? [probe]</w:t>
      </w:r>
    </w:p>
    <w:p>
      <w:pPr>
        <w:pStyle w:val="ListParagraph"/>
        <w:numPr>
          <w:ilvl w:val="0"/>
          <w:numId w:val="1"/>
        </w:numPr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At what stage would you generally present an opportunity to a potential partner? </w:t>
      </w:r>
    </w:p>
    <w:p>
      <w:pPr>
        <w:pStyle w:val="ListParagraph"/>
        <w:numPr>
          <w:ilvl w:val="0"/>
          <w:numId w:val="1"/>
        </w:numPr>
        <w:rPr>
          <w:rFonts w:cs="Times New Roman"/>
          <w:lang w:val="en-GB"/>
        </w:rPr>
      </w:pPr>
      <w:r>
        <w:rPr>
          <w:rFonts w:cs="Times New Roman"/>
          <w:lang w:val="en-GB"/>
        </w:rPr>
        <w:t>To what extent have you been involved with TNCs? [Probe technology licensing, research collaboration, other]</w:t>
      </w:r>
    </w:p>
    <w:p>
      <w:pPr>
        <w:pStyle w:val="ListParagraph"/>
        <w:numPr>
          <w:ilvl w:val="0"/>
          <w:numId w:val="1"/>
        </w:numPr>
        <w:rPr>
          <w:rFonts w:cs="Times New Roman"/>
          <w:lang w:val="en-GB"/>
        </w:rPr>
      </w:pPr>
      <w:r>
        <w:rPr>
          <w:rFonts w:cs="Times New Roman"/>
          <w:lang w:val="en-GB"/>
        </w:rPr>
        <w:t>Opportunities presented to TNCs past 2-3 years:</w:t>
      </w:r>
    </w:p>
    <w:p>
      <w:pPr>
        <w:pStyle w:val="ListParagraph"/>
        <w:numPr>
          <w:ilvl w:val="1"/>
          <w:numId w:val="1"/>
        </w:numPr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Example of ‘good’ relationship [probe for what, </w:t>
      </w:r>
      <w:r>
        <w:rPr>
          <w:rFonts w:cs="Times New Roman"/>
          <w:b/>
          <w:i/>
          <w:lang w:val="en-GB"/>
        </w:rPr>
        <w:t>why,</w:t>
      </w:r>
      <w:r>
        <w:rPr>
          <w:rFonts w:cs="Times New Roman"/>
          <w:lang w:val="en-GB"/>
        </w:rPr>
        <w:t xml:space="preserve"> how, when, where, who]</w:t>
      </w:r>
    </w:p>
    <w:p>
      <w:pPr>
        <w:pStyle w:val="ListParagraph"/>
        <w:numPr>
          <w:ilvl w:val="1"/>
          <w:numId w:val="1"/>
        </w:numPr>
        <w:rPr>
          <w:rFonts w:cs="Times New Roman"/>
          <w:lang w:val="en-GB"/>
        </w:rPr>
      </w:pPr>
      <w:r>
        <w:rPr>
          <w:rFonts w:cs="Times New Roman"/>
          <w:lang w:val="en-GB"/>
        </w:rPr>
        <w:t>Extent of direct contact between the researcher and TNC?</w:t>
      </w:r>
    </w:p>
    <w:p>
      <w:pPr>
        <w:pStyle w:val="ListParagraph"/>
        <w:numPr>
          <w:ilvl w:val="1"/>
          <w:numId w:val="1"/>
        </w:numPr>
        <w:rPr>
          <w:rFonts w:cs="Times New Roman"/>
          <w:lang w:val="en-GB"/>
        </w:rPr>
      </w:pPr>
      <w:r>
        <w:rPr>
          <w:rFonts w:cs="Times New Roman"/>
          <w:lang w:val="en-GB"/>
        </w:rPr>
        <w:t>Results / outcomes? [probe for how learnings/information is handled]</w:t>
      </w:r>
    </w:p>
    <w:p>
      <w:pPr>
        <w:pStyle w:val="ListParagraph"/>
        <w:numPr>
          <w:ilvl w:val="1"/>
          <w:numId w:val="1"/>
        </w:numPr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Example of ‘bad’ relationship [probe for what, </w:t>
      </w:r>
      <w:r>
        <w:rPr>
          <w:rFonts w:cs="Times New Roman"/>
          <w:b/>
          <w:i/>
          <w:lang w:val="en-GB"/>
        </w:rPr>
        <w:t>why,</w:t>
      </w:r>
      <w:r>
        <w:rPr>
          <w:rFonts w:cs="Times New Roman"/>
          <w:lang w:val="en-GB"/>
        </w:rPr>
        <w:t xml:space="preserve"> how, when, where, who]</w:t>
      </w:r>
    </w:p>
    <w:p>
      <w:pPr>
        <w:pStyle w:val="ListParagraph"/>
        <w:numPr>
          <w:ilvl w:val="0"/>
          <w:numId w:val="1"/>
        </w:numPr>
        <w:rPr>
          <w:rFonts w:cs="Times New Roman"/>
          <w:lang w:val="en-GB"/>
        </w:rPr>
      </w:pPr>
      <w:r>
        <w:rPr>
          <w:rFonts w:cs="Times New Roman"/>
          <w:lang w:val="en-GB"/>
        </w:rPr>
        <w:t>Opportunities developed at the request of TNCs? Extent of project involvement?</w:t>
      </w:r>
    </w:p>
    <w:p>
      <w:pPr>
        <w:pStyle w:val="ListParagraph"/>
        <w:numPr>
          <w:ilvl w:val="0"/>
          <w:numId w:val="1"/>
        </w:numPr>
        <w:rPr>
          <w:rFonts w:cs="Times New Roman"/>
          <w:lang w:val="en-GB"/>
        </w:rPr>
      </w:pPr>
      <w:r>
        <w:rPr>
          <w:rFonts w:cs="Times New Roman"/>
          <w:lang w:val="en-GB"/>
        </w:rPr>
        <w:t>Extent to which TNCs approach TTO? [specific research projects, researchers, knowledge management]</w:t>
      </w:r>
    </w:p>
    <w:p>
      <w:pPr>
        <w:pStyle w:val="ListParagraph"/>
        <w:numPr>
          <w:ilvl w:val="0"/>
          <w:numId w:val="1"/>
        </w:numPr>
        <w:rPr>
          <w:rFonts w:cs="Times New Roman"/>
          <w:lang w:val="en-GB"/>
        </w:rPr>
      </w:pPr>
      <w:r>
        <w:rPr>
          <w:rFonts w:cs="Times New Roman"/>
          <w:lang w:val="en-GB"/>
        </w:rPr>
        <w:t>Barriers / challenges when working with TNCs</w:t>
      </w:r>
    </w:p>
    <w:p>
      <w:pPr>
        <w:pStyle w:val="Normal"/>
        <w:rPr>
          <w:rFonts w:cs="Times New Roman"/>
          <w:b/>
          <w:b/>
          <w:lang w:val="en-GB"/>
        </w:rPr>
      </w:pPr>
      <w:r>
        <w:rPr>
          <w:rFonts w:cs="Times New Roman"/>
          <w:b/>
          <w:lang w:val="en-GB"/>
        </w:rPr>
        <w:t>Part 3: RESEARCHERS/TECHNOLOGY DEVELOPERS</w:t>
      </w:r>
    </w:p>
    <w:p>
      <w:pPr>
        <w:pStyle w:val="ListParagraph"/>
        <w:numPr>
          <w:ilvl w:val="0"/>
          <w:numId w:val="1"/>
        </w:numPr>
        <w:rPr>
          <w:rFonts w:cs="Times New Roman"/>
          <w:lang w:val="en-GB"/>
        </w:rPr>
      </w:pPr>
      <w:r>
        <w:rPr>
          <w:rFonts w:cs="Times New Roman"/>
          <w:lang w:val="en-GB"/>
        </w:rPr>
        <w:t>How do researchers decide research direction? [probe]</w:t>
      </w:r>
    </w:p>
    <w:p>
      <w:pPr>
        <w:pStyle w:val="ListParagraph"/>
        <w:numPr>
          <w:ilvl w:val="0"/>
          <w:numId w:val="1"/>
        </w:numPr>
        <w:rPr>
          <w:rFonts w:cs="Times New Roman"/>
          <w:lang w:val="en-GB"/>
        </w:rPr>
      </w:pPr>
      <w:r>
        <w:rPr>
          <w:rFonts w:cs="Times New Roman"/>
          <w:lang w:val="en-GB"/>
        </w:rPr>
        <w:t>To what extent do researchers approach the TTO for advice? [probe stage and type of information sought]</w:t>
      </w:r>
    </w:p>
    <w:p>
      <w:pPr>
        <w:pStyle w:val="ListParagraph"/>
        <w:numPr>
          <w:ilvl w:val="0"/>
          <w:numId w:val="1"/>
        </w:numPr>
        <w:rPr>
          <w:rFonts w:cs="Times New Roman"/>
          <w:lang w:val="en-GB"/>
        </w:rPr>
      </w:pPr>
      <w:r>
        <w:rPr>
          <w:rFonts w:cs="Times New Roman"/>
          <w:lang w:val="en-GB"/>
        </w:rPr>
        <w:t>Day-to-day barriers / challenges when working with researchers?</w:t>
      </w:r>
    </w:p>
    <w:p>
      <w:pPr>
        <w:pStyle w:val="Normal"/>
        <w:spacing w:lineRule="auto" w:line="259"/>
        <w:jc w:val="left"/>
        <w:rPr>
          <w:rFonts w:cs="Times New Roman"/>
          <w:lang w:val="en-GB"/>
        </w:rPr>
      </w:pPr>
      <w:r>
        <w:rPr>
          <w:rFonts w:cs="Times New Roman"/>
          <w:lang w:val="en-GB"/>
        </w:rPr>
      </w:r>
      <w:bookmarkStart w:id="12" w:name="_Toc507524571"/>
      <w:bookmarkStart w:id="13" w:name="_Toc507356679"/>
      <w:bookmarkStart w:id="14" w:name="_Toc507249991"/>
      <w:bookmarkStart w:id="15" w:name="_Toc507524571"/>
      <w:bookmarkStart w:id="16" w:name="_Toc507356679"/>
      <w:bookmarkStart w:id="17" w:name="_Toc507249991"/>
      <w:bookmarkEnd w:id="15"/>
      <w:bookmarkEnd w:id="16"/>
      <w:bookmarkEnd w:id="17"/>
      <w:r>
        <w:br w:type="page"/>
      </w:r>
    </w:p>
    <w:p>
      <w:pPr>
        <w:pStyle w:val="Heading2"/>
        <w:rPr>
          <w:rFonts w:ascii="Times New Roman" w:hAnsi="Times New Roman" w:cs="Times New Roman"/>
          <w:color w:val="auto"/>
          <w:lang w:val="en-GB"/>
        </w:rPr>
      </w:pPr>
      <w:r>
        <w:rPr>
          <w:rFonts w:cs="Times New Roman" w:ascii="Times New Roman" w:hAnsi="Times New Roman"/>
          <w:color w:val="auto"/>
          <w:lang w:val="en-GB"/>
        </w:rPr>
        <w:t>Appendix C: Coding framework</w:t>
      </w:r>
    </w:p>
    <w:p>
      <w:pPr>
        <w:pStyle w:val="Normal"/>
        <w:spacing w:lineRule="auto" w:line="259" w:before="0" w:after="160"/>
        <w:jc w:val="left"/>
        <w:rPr>
          <w:rFonts w:cs="Times New Roman"/>
          <w:lang w:val="en-GB"/>
        </w:rPr>
      </w:pPr>
      <w:bookmarkStart w:id="18" w:name="_Toc507524571"/>
      <w:bookmarkStart w:id="19" w:name="_Toc507356679"/>
      <w:bookmarkStart w:id="20" w:name="_Toc507249991"/>
      <w:bookmarkEnd w:id="18"/>
      <w:bookmarkEnd w:id="19"/>
      <w:bookmarkEnd w:id="20"/>
      <w:r>
        <w:rPr/>
        <w:drawing>
          <wp:inline distT="0" distB="0" distL="0" distR="0">
            <wp:extent cx="5854065" cy="6788150"/>
            <wp:effectExtent l="0" t="0" r="0" b="0"/>
            <wp:docPr id="1" name="Picture 3" descr="A diagram of a company's work fl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A diagram of a company's work fl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065" cy="678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3"/>
      <w:footerReference w:type="even" r:id="rId4"/>
      <w:footerReference w:type="default" r:id="rId5"/>
      <w:footerReference w:type="first" r:id="rId6"/>
      <w:footnotePr>
        <w:numFmt w:val="decimal"/>
      </w:footnotePr>
      <w:type w:val="nextPage"/>
      <w:pgSz w:w="12240" w:h="15840"/>
      <w:pgMar w:left="1440" w:right="1440" w:gutter="0" w:header="72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0</w:t>
    </w:r>
    <w:r>
      <w:rPr>
        <w:rStyle w:val="Pagenumber"/>
      </w:rPr>
      <w:fldChar w:fldCharType="end"/>
    </w:r>
  </w:p>
  <w:p>
    <w:pPr>
      <w:pStyle w:val="Normal"/>
      <w:widowControl/>
      <w:bidi w:val="0"/>
      <w:spacing w:lineRule="auto" w:line="360" w:before="0" w:after="160"/>
      <w:jc w:val="both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Style w:val="Pagenumber"/>
      </w:rPr>
    </w:pPr>
    <w:r>
      <w:rPr/>
    </w:r>
  </w:p>
  <w:p>
    <w:pPr>
      <w:pStyle w:val="Normal"/>
      <w:widowControl/>
      <w:bidi w:val="0"/>
      <w:spacing w:lineRule="auto" w:line="360" w:before="0" w:after="160"/>
      <w:jc w:val="both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Style w:val="Pagenumber"/>
      </w:rPr>
    </w:pPr>
    <w:r>
      <w:rPr/>
    </w:r>
  </w:p>
  <w:p>
    <w:pPr>
      <w:pStyle w:val="Normal"/>
      <w:widowControl/>
      <w:bidi w:val="0"/>
      <w:spacing w:lineRule="auto" w:line="360" w:before="0" w:after="160"/>
      <w:jc w:val="both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widowControl w:val="false"/>
        <w:rPr/>
      </w:pPr>
      <w:r>
        <w:rPr>
          <w:rStyle w:val="FootnoteCharacters"/>
        </w:rPr>
        <w:footnoteRef/>
      </w:r>
      <w:r>
        <w:rPr/>
        <w:t xml:space="preserve"> </w:t>
      </w:r>
      <w:r>
        <w:rPr/>
        <w:t>Y= TTO, N=no TTO, P=no formal TTO, however informal industry knowledge transfer activities</w:t>
      </w:r>
    </w:p>
  </w:footnote>
  <w:footnote w:id="3">
    <w:p>
      <w:pPr>
        <w:pStyle w:val="Footnote"/>
        <w:widowControl w:val="false"/>
        <w:rPr>
          <w:lang w:val="en-US"/>
        </w:rPr>
      </w:pPr>
      <w:r>
        <w:rPr>
          <w:rStyle w:val="FootnoteCharacters"/>
        </w:rPr>
        <w:footnoteRef/>
      </w:r>
      <w:r>
        <w:rPr/>
        <w:t xml:space="preserve"> </w:t>
      </w:r>
      <w:r>
        <w:rPr/>
        <w:t>QS 2021 World Ranking</w:t>
      </w:r>
    </w:p>
  </w:footnote>
  <w:footnote w:id="4">
    <w:p>
      <w:pPr>
        <w:pStyle w:val="Footnote"/>
        <w:widowControl w:val="false"/>
        <w:rPr>
          <w:lang w:val="en-US"/>
        </w:rPr>
      </w:pPr>
      <w:r>
        <w:rPr>
          <w:rStyle w:val="FootnoteCharacters"/>
        </w:rPr>
        <w:footnoteRef/>
      </w:r>
      <w:r>
        <w:rPr/>
        <w:t xml:space="preserve"> </w:t>
      </w:r>
      <w:r>
        <w:rPr/>
        <w:t>QS 2020 Life Sciences + Medicine Ranking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58965250"/>
    </w:sdtPr>
    <w:sdtContent>
      <w:p>
        <w:pPr>
          <w:pStyle w:val="Header"/>
          <w:spacing w:before="0" w:after="160"/>
          <w:jc w:val="lef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2500"/>
      <w:numFmt w:val="bullet"/>
      <w:lvlText w:val="-"/>
      <w:lvlJc w:val="left"/>
      <w:pPr>
        <w:tabs>
          <w:tab w:val="num" w:pos="0"/>
        </w:tabs>
        <w:ind w:left="786" w:hanging="360"/>
      </w:pPr>
      <w:rPr>
        <w:rFonts w:ascii="Calibri" w:hAnsi="Calibri" w:cs="Calibr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47e29"/>
    <w:pPr>
      <w:widowControl/>
      <w:bidi w:val="0"/>
      <w:spacing w:lineRule="auto" w:line="360" w:before="0" w:after="160"/>
      <w:jc w:val="both"/>
    </w:pPr>
    <w:rPr>
      <w:rFonts w:ascii="Times New Roman" w:hAnsi="Times New Roman" w:eastAsia="" w:eastAsiaTheme="minorEastAsia" w:cs=""/>
      <w:color w:val="auto"/>
      <w:kern w:val="0"/>
      <w:sz w:val="24"/>
      <w:szCs w:val="22"/>
      <w:lang w:val="en-AU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69a6"/>
    <w:pPr>
      <w:keepNext w:val="true"/>
      <w:keepLines/>
      <w:spacing w:lineRule="auto" w:line="240" w:before="240" w:after="120"/>
      <w:outlineLvl w:val="0"/>
    </w:pPr>
    <w:rPr>
      <w:rFonts w:eastAsia="" w:cs="" w:cstheme="majorBidi" w:eastAsiaTheme="majorEastAsia"/>
      <w:b/>
      <w:color w:val="1F3864" w:themeColor="accent1" w:themeShade="80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69a6"/>
    <w:pPr>
      <w:keepNext w:val="true"/>
      <w:keepLines/>
      <w:spacing w:lineRule="auto" w:line="240" w:before="120" w:after="120"/>
      <w:outlineLvl w:val="1"/>
    </w:pPr>
    <w:rPr>
      <w:rFonts w:ascii="Calibri Light" w:hAnsi="Calibri Light" w:eastAsia="" w:cs="" w:asciiTheme="majorHAnsi" w:cstheme="majorBidi" w:eastAsiaTheme="majorEastAsia" w:hAnsiTheme="majorHAnsi"/>
      <w:b/>
      <w:color w:val="2F5496" w:themeColor="accent1" w:themeShade="bf"/>
      <w:sz w:val="28"/>
      <w:szCs w:val="32"/>
      <w:lang w:val="en-NZ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69a6"/>
    <w:pPr>
      <w:keepNext w:val="true"/>
      <w:keepLines/>
      <w:spacing w:lineRule="auto" w:line="240" w:before="40" w:after="120"/>
      <w:outlineLvl w:val="2"/>
    </w:pPr>
    <w:rPr>
      <w:rFonts w:ascii="Calibri Light" w:hAnsi="Calibri Light" w:eastAsia="" w:cs="" w:asciiTheme="majorHAnsi" w:cstheme="majorBidi" w:eastAsiaTheme="majorEastAsia" w:hAnsiTheme="majorHAnsi"/>
      <w:i/>
      <w:iCs/>
      <w:color w:val="2F5496" w:themeColor="accent1" w:themeShade="bf"/>
      <w:szCs w:val="24"/>
    </w:rPr>
  </w:style>
  <w:style w:type="paragraph" w:styleId="Heading4">
    <w:name w:val="Heading 4"/>
    <w:basedOn w:val="Quote"/>
    <w:next w:val="Normal"/>
    <w:link w:val="Heading4Char"/>
    <w:uiPriority w:val="9"/>
    <w:unhideWhenUsed/>
    <w:qFormat/>
    <w:rsid w:val="001169a6"/>
    <w:pPr>
      <w:outlineLvl w:val="3"/>
    </w:pPr>
    <w:rPr>
      <w:lang w:val="en-MY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c544b"/>
    <w:pPr>
      <w:keepNext w:val="true"/>
      <w:keepLines/>
      <w:spacing w:lineRule="auto" w:line="240" w:before="120" w:after="120"/>
      <w:outlineLvl w:val="4"/>
    </w:pPr>
    <w:rPr>
      <w:rFonts w:eastAsia="" w:cs="Times New Roman" w:eastAsiaTheme="majorEastAsia"/>
      <w:b/>
      <w:i/>
      <w:sz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9a6"/>
    <w:pPr>
      <w:keepNext w:val="true"/>
      <w:keepLines/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9a6"/>
    <w:pPr>
      <w:keepNext w:val="true"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9a6"/>
    <w:pPr>
      <w:keepNext w:val="true"/>
      <w:keepLines/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9a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1F3864" w:themeColor="accent1" w:themeShade="8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dNoteBibliographyTitleChar" w:customStyle="1">
    <w:name w:val="EndNote Bibliography Title Char"/>
    <w:basedOn w:val="DefaultParagraphFont"/>
    <w:link w:val="EndNoteBibliographyTitle"/>
    <w:qFormat/>
    <w:rsid w:val="009b5afa"/>
    <w:rPr>
      <w:rFonts w:ascii="Times New Roman" w:hAnsi="Times New Roman" w:eastAsia="" w:cs="Times New Roman" w:eastAsiaTheme="minorEastAsia"/>
      <w:sz w:val="24"/>
    </w:rPr>
  </w:style>
  <w:style w:type="character" w:styleId="EndNoteBibliographyChar" w:customStyle="1">
    <w:name w:val="EndNote Bibliography Char"/>
    <w:basedOn w:val="DefaultParagraphFont"/>
    <w:link w:val="EndNoteBibliography"/>
    <w:qFormat/>
    <w:rsid w:val="009b5afa"/>
    <w:rPr>
      <w:rFonts w:ascii="Times New Roman" w:hAnsi="Times New Roman" w:eastAsia="" w:cs="Times New Roman" w:eastAsiaTheme="minorEastAsia"/>
      <w:sz w:val="24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1169a6"/>
    <w:rPr>
      <w:rFonts w:ascii="Times New Roman" w:hAnsi="Times New Roman" w:eastAsia="" w:cs="" w:cstheme="majorBidi" w:eastAsiaTheme="majorEastAsia"/>
      <w:b/>
      <w:color w:val="1F3864" w:themeColor="accent1" w:themeShade="80"/>
      <w:sz w:val="28"/>
      <w:szCs w:val="36"/>
      <w:lang w:val="en-AU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1169a6"/>
    <w:rPr>
      <w:rFonts w:ascii="Calibri Light" w:hAnsi="Calibri Light" w:eastAsia="" w:cs="" w:asciiTheme="majorHAnsi" w:cstheme="majorBidi" w:eastAsiaTheme="majorEastAsia" w:hAnsiTheme="majorHAnsi"/>
      <w:b/>
      <w:color w:val="2F5496" w:themeColor="accent1" w:themeShade="bf"/>
      <w:sz w:val="28"/>
      <w:szCs w:val="32"/>
      <w:lang w:val="en-NZ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1169a6"/>
    <w:rPr>
      <w:rFonts w:ascii="Times New Roman" w:hAnsi="Times New Roman" w:eastAsia="" w:eastAsiaTheme="minorEastAsia"/>
      <w:sz w:val="24"/>
      <w:lang w:val="en-AU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1169a6"/>
    <w:rPr>
      <w:rFonts w:ascii="Times New Roman" w:hAnsi="Times New Roman" w:eastAsia="" w:eastAsiaTheme="minorEastAsia"/>
      <w:sz w:val="24"/>
      <w:lang w:val="en-AU"/>
    </w:rPr>
  </w:style>
  <w:style w:type="character" w:styleId="InternetLink">
    <w:name w:val="Hyperlink"/>
    <w:basedOn w:val="DefaultParagraphFont"/>
    <w:uiPriority w:val="99"/>
    <w:unhideWhenUsed/>
    <w:rsid w:val="001169a6"/>
    <w:rPr>
      <w:color w:val="0563C1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1169a6"/>
    <w:rPr>
      <w:i/>
      <w:iCs/>
      <w:color w:val="595959" w:themeColor="text1" w:themeTint="a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169a6"/>
    <w:rPr>
      <w:color w:val="605E5C"/>
      <w:shd w:fill="E1DFDD" w:val="clear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1169a6"/>
    <w:rPr>
      <w:rFonts w:ascii="Calibri Light" w:hAnsi="Calibri Light" w:eastAsia="" w:cs="" w:asciiTheme="majorHAnsi" w:cstheme="majorBidi" w:eastAsiaTheme="majorEastAsia" w:hAnsiTheme="majorHAnsi"/>
      <w:i/>
      <w:iCs/>
      <w:color w:val="2F5496" w:themeColor="accent1" w:themeShade="bf"/>
      <w:sz w:val="24"/>
      <w:szCs w:val="24"/>
      <w:lang w:val="en-AU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1169a6"/>
    <w:rPr>
      <w:rFonts w:ascii="Times New Roman" w:hAnsi="Times New Roman" w:eastAsia="" w:eastAsiaTheme="minorEastAsia"/>
      <w:i/>
      <w:color w:val="44546A" w:themeColor="text2"/>
      <w:szCs w:val="24"/>
      <w:lang w:val="en-MY"/>
    </w:rPr>
  </w:style>
  <w:style w:type="character" w:styleId="Heading5Char" w:customStyle="1">
    <w:name w:val="Heading 5 Char"/>
    <w:basedOn w:val="DefaultParagraphFont"/>
    <w:link w:val="Heading5"/>
    <w:uiPriority w:val="9"/>
    <w:qFormat/>
    <w:rsid w:val="004c544b"/>
    <w:rPr>
      <w:rFonts w:ascii="Times New Roman" w:hAnsi="Times New Roman" w:eastAsia="" w:cs="Times New Roman" w:eastAsiaTheme="majorEastAsia"/>
      <w:b/>
      <w:i/>
      <w:sz w:val="20"/>
      <w:lang w:val="en-AU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1169a6"/>
    <w:rPr>
      <w:rFonts w:ascii="Calibri Light" w:hAnsi="Calibri Light" w:eastAsia="" w:cs="" w:asciiTheme="majorHAnsi" w:cstheme="majorBidi" w:eastAsiaTheme="majorEastAsia" w:hAnsiTheme="majorHAnsi"/>
      <w:i/>
      <w:iCs/>
      <w:caps/>
      <w:color w:val="1F3864" w:themeColor="accent1" w:themeShade="80"/>
      <w:sz w:val="24"/>
      <w:lang w:val="en-AU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1169a6"/>
    <w:rPr>
      <w:rFonts w:ascii="Calibri Light" w:hAnsi="Calibri Light" w:eastAsia="" w:cs="" w:asciiTheme="majorHAnsi" w:cstheme="majorBidi" w:eastAsiaTheme="majorEastAsia" w:hAnsiTheme="majorHAnsi"/>
      <w:b/>
      <w:bCs/>
      <w:color w:val="1F3864" w:themeColor="accent1" w:themeShade="80"/>
      <w:sz w:val="24"/>
      <w:lang w:val="en-AU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1169a6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1F3864" w:themeColor="accent1" w:themeShade="80"/>
      <w:sz w:val="24"/>
      <w:lang w:val="en-AU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1169a6"/>
    <w:rPr>
      <w:rFonts w:ascii="Calibri Light" w:hAnsi="Calibri Light" w:eastAsia="" w:cs="" w:asciiTheme="majorHAnsi" w:cstheme="majorBidi" w:eastAsiaTheme="majorEastAsia" w:hAnsiTheme="majorHAnsi"/>
      <w:i/>
      <w:iCs/>
      <w:color w:val="1F3864" w:themeColor="accent1" w:themeShade="80"/>
      <w:sz w:val="24"/>
      <w:lang w:val="en-AU"/>
    </w:rPr>
  </w:style>
  <w:style w:type="character" w:styleId="Pagenumber">
    <w:name w:val="page number"/>
    <w:basedOn w:val="DefaultParagraphFont"/>
    <w:uiPriority w:val="99"/>
    <w:semiHidden/>
    <w:unhideWhenUsed/>
    <w:qFormat/>
    <w:rsid w:val="001169a6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169a6"/>
    <w:rPr>
      <w:sz w:val="18"/>
      <w:szCs w:val="18"/>
    </w:rPr>
  </w:style>
  <w:style w:type="character" w:styleId="CommentTextChar" w:customStyle="1">
    <w:name w:val="Comment Text Char"/>
    <w:basedOn w:val="DefaultParagraphFont"/>
    <w:link w:val="Annotationtext"/>
    <w:uiPriority w:val="99"/>
    <w:qFormat/>
    <w:rsid w:val="001169a6"/>
    <w:rPr>
      <w:rFonts w:ascii="Times New Roman" w:hAnsi="Times New Roman" w:eastAsia="" w:eastAsiaTheme="minorEastAsia"/>
      <w:sz w:val="24"/>
      <w:lang w:val="en-AU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1169a6"/>
    <w:rPr>
      <w:rFonts w:ascii="Times New Roman" w:hAnsi="Times New Roman" w:eastAsia="" w:eastAsiaTheme="minorEastAsia"/>
      <w:b/>
      <w:bCs/>
      <w:sz w:val="20"/>
      <w:szCs w:val="20"/>
      <w:lang w:val="en-AU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1169a6"/>
    <w:rPr>
      <w:rFonts w:ascii="Times New Roman" w:hAnsi="Times New Roman" w:eastAsia="" w:cs="Times New Roman" w:eastAsiaTheme="minorEastAsia"/>
      <w:sz w:val="18"/>
      <w:szCs w:val="18"/>
      <w:lang w:val="en-AU"/>
    </w:rPr>
  </w:style>
  <w:style w:type="character" w:styleId="VisitedInternetLink">
    <w:name w:val="FollowedHyperlink"/>
    <w:basedOn w:val="DefaultParagraphFont"/>
    <w:uiPriority w:val="99"/>
    <w:semiHidden/>
    <w:unhideWhenUsed/>
    <w:rsid w:val="001169a6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169a6"/>
    <w:rPr>
      <w:i/>
      <w:iCs/>
    </w:rPr>
  </w:style>
  <w:style w:type="character" w:styleId="TitleChar" w:customStyle="1">
    <w:name w:val="Title Char"/>
    <w:basedOn w:val="DefaultParagraphFont"/>
    <w:link w:val="Title"/>
    <w:uiPriority w:val="10"/>
    <w:qFormat/>
    <w:rsid w:val="001169a6"/>
    <w:rPr>
      <w:rFonts w:ascii="Calibri Light" w:hAnsi="Calibri Light" w:eastAsia="" w:cs="" w:asciiTheme="majorHAnsi" w:cstheme="majorBidi" w:eastAsiaTheme="majorEastAsia" w:hAnsiTheme="majorHAnsi"/>
      <w:b/>
      <w:color w:val="44546A" w:themeColor="text2"/>
      <w:spacing w:val="-15"/>
      <w:sz w:val="40"/>
      <w:szCs w:val="72"/>
      <w:lang w:val="en-AU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1169a6"/>
    <w:rPr>
      <w:rFonts w:ascii="Calibri Light" w:hAnsi="Calibri Light" w:eastAsia="" w:cs="" w:asciiTheme="majorHAnsi" w:cstheme="majorBidi" w:eastAsiaTheme="majorEastAsia" w:hAnsiTheme="majorHAnsi"/>
      <w:color w:val="4472C4" w:themeColor="accent1"/>
      <w:sz w:val="28"/>
      <w:szCs w:val="28"/>
      <w:lang w:val="en-AU"/>
    </w:rPr>
  </w:style>
  <w:style w:type="character" w:styleId="Strong">
    <w:name w:val="Strong"/>
    <w:basedOn w:val="DefaultParagraphFont"/>
    <w:uiPriority w:val="22"/>
    <w:qFormat/>
    <w:rsid w:val="001169a6"/>
    <w:rPr>
      <w:b/>
      <w:bCs/>
    </w:rPr>
  </w:style>
  <w:style w:type="character" w:styleId="QuoteChar" w:customStyle="1">
    <w:name w:val="Quote Char"/>
    <w:basedOn w:val="DefaultParagraphFont"/>
    <w:link w:val="Quote"/>
    <w:uiPriority w:val="29"/>
    <w:qFormat/>
    <w:rsid w:val="001169a6"/>
    <w:rPr>
      <w:rFonts w:ascii="Times New Roman" w:hAnsi="Times New Roman" w:eastAsia="" w:eastAsiaTheme="minorEastAsia"/>
      <w:i/>
      <w:color w:val="44546A" w:themeColor="text2"/>
      <w:szCs w:val="24"/>
      <w:lang w:val="en-AU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1169a6"/>
    <w:rPr>
      <w:rFonts w:ascii="Calibri Light" w:hAnsi="Calibri Light" w:eastAsia="" w:cs="" w:asciiTheme="majorHAnsi" w:cstheme="majorBidi" w:eastAsiaTheme="majorEastAsia" w:hAnsiTheme="majorHAnsi"/>
      <w:color w:val="44546A" w:themeColor="text2"/>
      <w:spacing w:val="-6"/>
      <w:sz w:val="32"/>
      <w:szCs w:val="32"/>
      <w:lang w:val="en-AU"/>
    </w:rPr>
  </w:style>
  <w:style w:type="character" w:styleId="IntenseEmphasis">
    <w:name w:val="Intense Emphasis"/>
    <w:basedOn w:val="DefaultParagraphFont"/>
    <w:uiPriority w:val="21"/>
    <w:qFormat/>
    <w:rsid w:val="001169a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169a6"/>
    <w:rPr>
      <w:smallCaps/>
      <w:color w:val="595959" w:themeColor="text1" w:themeTint="a6"/>
      <w:u w:val="none" w:color="7F7F7F"/>
    </w:rPr>
  </w:style>
  <w:style w:type="character" w:styleId="IntenseReference">
    <w:name w:val="Intense Reference"/>
    <w:basedOn w:val="DefaultParagraphFont"/>
    <w:uiPriority w:val="32"/>
    <w:qFormat/>
    <w:rsid w:val="001169a6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169a6"/>
    <w:rPr>
      <w:b/>
      <w:bCs/>
      <w:smallCaps/>
      <w:spacing w:val="10"/>
    </w:rPr>
  </w:style>
  <w:style w:type="character" w:styleId="FootnoteTextChar" w:customStyle="1">
    <w:name w:val="Footnote Text Char"/>
    <w:basedOn w:val="DefaultParagraphFont"/>
    <w:link w:val="Footnote"/>
    <w:uiPriority w:val="99"/>
    <w:semiHidden/>
    <w:qFormat/>
    <w:rsid w:val="001169a6"/>
    <w:rPr>
      <w:sz w:val="20"/>
      <w:szCs w:val="20"/>
      <w:lang w:val="en-GB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1169a6"/>
    <w:rPr>
      <w:vertAlign w:val="superscript"/>
    </w:rPr>
  </w:style>
  <w:style w:type="character" w:styleId="FootnoteAnchor">
    <w:name w:val="Footnote Reference"/>
    <w:rPr>
      <w:vertAlign w:val="superscript"/>
    </w:rPr>
  </w:style>
  <w:style w:type="character" w:styleId="BodyTextChar" w:customStyle="1">
    <w:name w:val="Body Text Char"/>
    <w:basedOn w:val="DefaultParagraphFont"/>
    <w:uiPriority w:val="1"/>
    <w:qFormat/>
    <w:rsid w:val="001169a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EndnoteAnchor">
    <w:name w:val="Endnote Reference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link w:val="BodyTextChar"/>
    <w:uiPriority w:val="1"/>
    <w:qFormat/>
    <w:rsid w:val="001169a6"/>
    <w:pPr>
      <w:spacing w:lineRule="auto" w:line="480" w:before="0" w:after="0"/>
    </w:pPr>
    <w:rPr>
      <w:rFonts w:eastAsia="Times New Roman" w:cs="Times New Roman"/>
      <w:szCs w:val="20"/>
      <w:lang w:val="en-GB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EndNoteBibliographyTitle" w:customStyle="1">
    <w:name w:val="EndNote Bibliography Title"/>
    <w:basedOn w:val="Normal"/>
    <w:link w:val="EndNoteBibliographyTitleChar"/>
    <w:qFormat/>
    <w:rsid w:val="001169a6"/>
    <w:pPr>
      <w:jc w:val="center"/>
    </w:pPr>
    <w:rPr>
      <w:rFonts w:cs="Times New Roman"/>
      <w:lang w:val="en-US"/>
    </w:rPr>
  </w:style>
  <w:style w:type="paragraph" w:styleId="EndNoteBibliography" w:customStyle="1">
    <w:name w:val="EndNote Bibliography"/>
    <w:basedOn w:val="Normal"/>
    <w:link w:val="EndNoteBibliographyChar"/>
    <w:qFormat/>
    <w:rsid w:val="001169a6"/>
    <w:pPr>
      <w:spacing w:lineRule="auto" w:line="240"/>
    </w:pPr>
    <w:rPr>
      <w:rFonts w:cs="Times New Roman"/>
      <w:lang w:val="en-U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1169a6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1169a6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Caption1">
    <w:name w:val="caption"/>
    <w:basedOn w:val="Normal"/>
    <w:next w:val="Normal"/>
    <w:uiPriority w:val="35"/>
    <w:unhideWhenUsed/>
    <w:qFormat/>
    <w:rsid w:val="001169a6"/>
    <w:pPr>
      <w:spacing w:lineRule="auto" w:line="240"/>
    </w:pPr>
    <w:rPr>
      <w:b/>
      <w:bCs/>
      <w:smallCaps/>
      <w:color w:val="44546A" w:themeColor="text2"/>
    </w:rPr>
  </w:style>
  <w:style w:type="paragraph" w:styleId="ListParagraph">
    <w:name w:val="List Paragraph"/>
    <w:basedOn w:val="Normal"/>
    <w:uiPriority w:val="34"/>
    <w:qFormat/>
    <w:rsid w:val="001169a6"/>
    <w:pPr>
      <w:spacing w:before="0" w:after="160"/>
      <w:ind w:left="720" w:hanging="0"/>
      <w:contextualSpacing/>
    </w:pPr>
    <w:rPr/>
  </w:style>
  <w:style w:type="paragraph" w:styleId="Contents1">
    <w:name w:val="TOC 1"/>
    <w:basedOn w:val="Normal"/>
    <w:next w:val="Normal"/>
    <w:autoRedefine/>
    <w:uiPriority w:val="39"/>
    <w:unhideWhenUsed/>
    <w:rsid w:val="001169a6"/>
    <w:pPr>
      <w:spacing w:before="120" w:after="160"/>
    </w:pPr>
    <w:rPr>
      <w:b/>
      <w:bCs/>
    </w:rPr>
  </w:style>
  <w:style w:type="paragraph" w:styleId="Contents2">
    <w:name w:val="TOC 2"/>
    <w:basedOn w:val="Normal"/>
    <w:next w:val="Normal"/>
    <w:autoRedefine/>
    <w:uiPriority w:val="39"/>
    <w:unhideWhenUsed/>
    <w:rsid w:val="001169a6"/>
    <w:pPr>
      <w:ind w:left="240" w:hanging="0"/>
    </w:pPr>
    <w:rPr>
      <w:b/>
      <w:bCs/>
      <w:sz w:val="22"/>
    </w:rPr>
  </w:style>
  <w:style w:type="paragraph" w:styleId="Contents3">
    <w:name w:val="TOC 3"/>
    <w:basedOn w:val="Normal"/>
    <w:next w:val="Normal"/>
    <w:autoRedefine/>
    <w:uiPriority w:val="39"/>
    <w:unhideWhenUsed/>
    <w:rsid w:val="001169a6"/>
    <w:pPr>
      <w:ind w:left="480" w:hanging="0"/>
    </w:pPr>
    <w:rPr>
      <w:sz w:val="22"/>
    </w:rPr>
  </w:style>
  <w:style w:type="paragraph" w:styleId="Contents4">
    <w:name w:val="TOC 4"/>
    <w:basedOn w:val="Normal"/>
    <w:next w:val="Normal"/>
    <w:autoRedefine/>
    <w:uiPriority w:val="39"/>
    <w:unhideWhenUsed/>
    <w:rsid w:val="001169a6"/>
    <w:pPr>
      <w:ind w:left="720" w:hanging="0"/>
    </w:pPr>
    <w:rPr>
      <w:sz w:val="20"/>
      <w:szCs w:val="20"/>
    </w:rPr>
  </w:style>
  <w:style w:type="paragraph" w:styleId="Contents5">
    <w:name w:val="TOC 5"/>
    <w:basedOn w:val="Normal"/>
    <w:next w:val="Normal"/>
    <w:autoRedefine/>
    <w:uiPriority w:val="39"/>
    <w:unhideWhenUsed/>
    <w:rsid w:val="001169a6"/>
    <w:pPr>
      <w:ind w:left="960" w:hanging="0"/>
    </w:pPr>
    <w:rPr>
      <w:sz w:val="20"/>
      <w:szCs w:val="20"/>
    </w:rPr>
  </w:style>
  <w:style w:type="paragraph" w:styleId="Contents6">
    <w:name w:val="TOC 6"/>
    <w:basedOn w:val="Normal"/>
    <w:next w:val="Normal"/>
    <w:autoRedefine/>
    <w:uiPriority w:val="39"/>
    <w:unhideWhenUsed/>
    <w:rsid w:val="001169a6"/>
    <w:pPr>
      <w:ind w:left="1200" w:hanging="0"/>
    </w:pPr>
    <w:rPr>
      <w:sz w:val="20"/>
      <w:szCs w:val="20"/>
    </w:rPr>
  </w:style>
  <w:style w:type="paragraph" w:styleId="Contents7">
    <w:name w:val="TOC 7"/>
    <w:basedOn w:val="Normal"/>
    <w:next w:val="Normal"/>
    <w:autoRedefine/>
    <w:uiPriority w:val="39"/>
    <w:unhideWhenUsed/>
    <w:rsid w:val="001169a6"/>
    <w:pPr>
      <w:ind w:left="1440" w:hanging="0"/>
    </w:pPr>
    <w:rPr>
      <w:sz w:val="20"/>
      <w:szCs w:val="20"/>
    </w:rPr>
  </w:style>
  <w:style w:type="paragraph" w:styleId="Contents8">
    <w:name w:val="TOC 8"/>
    <w:basedOn w:val="Normal"/>
    <w:next w:val="Normal"/>
    <w:autoRedefine/>
    <w:uiPriority w:val="39"/>
    <w:unhideWhenUsed/>
    <w:rsid w:val="001169a6"/>
    <w:pPr>
      <w:ind w:left="1680" w:hanging="0"/>
    </w:pPr>
    <w:rPr>
      <w:sz w:val="20"/>
      <w:szCs w:val="20"/>
    </w:rPr>
  </w:style>
  <w:style w:type="paragraph" w:styleId="Contents9">
    <w:name w:val="TOC 9"/>
    <w:basedOn w:val="Normal"/>
    <w:next w:val="Normal"/>
    <w:autoRedefine/>
    <w:uiPriority w:val="39"/>
    <w:unhideWhenUsed/>
    <w:rsid w:val="001169a6"/>
    <w:pPr>
      <w:ind w:left="1920" w:hanging="0"/>
    </w:pPr>
    <w:rPr>
      <w:sz w:val="20"/>
      <w:szCs w:val="20"/>
    </w:rPr>
  </w:style>
  <w:style w:type="paragraph" w:styleId="Annotationtext">
    <w:name w:val="annotation text"/>
    <w:basedOn w:val="Normal"/>
    <w:link w:val="CommentTextChar"/>
    <w:uiPriority w:val="99"/>
    <w:unhideWhenUsed/>
    <w:qFormat/>
    <w:rsid w:val="001169a6"/>
    <w:pPr/>
    <w:rPr/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1169a6"/>
    <w:pPr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169a6"/>
    <w:pPr/>
    <w:rPr>
      <w:rFonts w:cs="Times New Roman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1169a6"/>
    <w:pPr>
      <w:ind w:left="480" w:hanging="480"/>
    </w:pPr>
    <w:rPr/>
  </w:style>
  <w:style w:type="paragraph" w:styleId="IndexHeading">
    <w:name w:val="Index Heading"/>
    <w:basedOn w:val="Heading"/>
    <w:pPr/>
    <w:rPr/>
  </w:style>
  <w:style w:type="paragraph" w:styleId="ContentsHeading">
    <w:name w:val="TOC Heading"/>
    <w:basedOn w:val="Heading1"/>
    <w:next w:val="Normal"/>
    <w:uiPriority w:val="39"/>
    <w:unhideWhenUsed/>
    <w:qFormat/>
    <w:rsid w:val="001169a6"/>
    <w:pPr>
      <w:outlineLvl w:val="9"/>
    </w:pPr>
    <w:rPr/>
  </w:style>
  <w:style w:type="paragraph" w:styleId="Revision">
    <w:name w:val="Revision"/>
    <w:uiPriority w:val="99"/>
    <w:semiHidden/>
    <w:qFormat/>
    <w:rsid w:val="001169a6"/>
    <w:pPr>
      <w:widowControl/>
      <w:bidi w:val="0"/>
      <w:spacing w:lineRule="auto" w:line="259" w:before="0" w:after="16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val="en-GB" w:eastAsia="en-US" w:bidi="ar-SA"/>
    </w:rPr>
  </w:style>
  <w:style w:type="paragraph" w:styleId="NoSpacing">
    <w:name w:val="No Spacing"/>
    <w:uiPriority w:val="1"/>
    <w:qFormat/>
    <w:rsid w:val="001169a6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val="en-GB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1169a6"/>
    <w:pPr>
      <w:spacing w:lineRule="auto" w:line="204" w:before="240" w:after="240"/>
      <w:contextualSpacing/>
    </w:pPr>
    <w:rPr>
      <w:rFonts w:ascii="Calibri Light" w:hAnsi="Calibri Light" w:eastAsia="" w:cs="" w:asciiTheme="majorHAnsi" w:cstheme="majorBidi" w:eastAsiaTheme="majorEastAsia" w:hAnsiTheme="majorHAnsi"/>
      <w:b/>
      <w:color w:val="44546A" w:themeColor="text2"/>
      <w:spacing w:val="-15"/>
      <w:sz w:val="40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9a6"/>
    <w:pPr>
      <w:spacing w:lineRule="auto" w:line="240" w:before="0" w:after="240"/>
    </w:pPr>
    <w:rPr>
      <w:rFonts w:ascii="Calibri Light" w:hAnsi="Calibri Light" w:eastAsia="" w:cs="" w:asciiTheme="majorHAnsi" w:cstheme="majorBidi" w:eastAsiaTheme="majorEastAsia" w:hAnsiTheme="majorHAnsi"/>
      <w:color w:val="4472C4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9a6"/>
    <w:pPr>
      <w:spacing w:before="120" w:after="120"/>
      <w:ind w:left="720" w:hanging="0"/>
    </w:pPr>
    <w:rPr>
      <w:i/>
      <w:color w:val="44546A" w:themeColor="text2"/>
      <w:sz w:val="22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9a6"/>
    <w:pPr>
      <w:spacing w:lineRule="auto" w:line="240" w:beforeAutospacing="1" w:after="240"/>
      <w:ind w:left="720" w:hanging="0"/>
      <w:jc w:val="center"/>
    </w:pPr>
    <w:rPr>
      <w:rFonts w:ascii="Calibri Light" w:hAnsi="Calibri Light" w:eastAsia="" w:cs="" w:asciiTheme="majorHAnsi" w:cstheme="majorBidi" w:eastAsiaTheme="majorEastAsia" w:hAnsiTheme="majorHAnsi"/>
      <w:color w:val="44546A" w:themeColor="text2"/>
      <w:spacing w:val="-6"/>
      <w:sz w:val="32"/>
      <w:szCs w:val="32"/>
    </w:rPr>
  </w:style>
  <w:style w:type="paragraph" w:styleId="Default" w:customStyle="1">
    <w:name w:val="Default"/>
    <w:qFormat/>
    <w:rsid w:val="001169a6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en-MY" w:eastAsia="en-US" w:bidi="ar-SA"/>
    </w:rPr>
  </w:style>
  <w:style w:type="paragraph" w:styleId="Footnote">
    <w:name w:val="Footnote Text"/>
    <w:basedOn w:val="Normal"/>
    <w:link w:val="FootnoteTextChar"/>
    <w:uiPriority w:val="99"/>
    <w:semiHidden/>
    <w:unhideWhenUsed/>
    <w:rsid w:val="001169a6"/>
    <w:pPr>
      <w:spacing w:lineRule="auto" w:line="240" w:before="0" w:after="0"/>
      <w:jc w:val="left"/>
    </w:pPr>
    <w:rPr>
      <w:rFonts w:ascii="Calibri" w:hAnsi="Calibri" w:eastAsia="Calibri" w:asciiTheme="minorHAnsi" w:eastAsiaTheme="minorHAnsi" w:hAnsiTheme="minorHAnsi"/>
      <w:sz w:val="20"/>
      <w:szCs w:val="20"/>
      <w:lang w:val="en-GB"/>
    </w:rPr>
  </w:style>
  <w:style w:type="paragraph" w:styleId="Normal1" w:customStyle="1">
    <w:name w:val="[Normal]"/>
    <w:uiPriority w:val="99"/>
    <w:qFormat/>
    <w:rsid w:val="001169a6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4"/>
      <w:szCs w:val="24"/>
      <w:lang w:val="en-MY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1169a6"/>
    <w:pPr>
      <w:spacing w:lineRule="auto" w:line="240" w:beforeAutospacing="1" w:afterAutospacing="1"/>
      <w:jc w:val="left"/>
    </w:pPr>
    <w:rPr>
      <w:rFonts w:cs="Times New Roman"/>
      <w:szCs w:val="24"/>
      <w:lang w:val="en-MY" w:eastAsia="en-MY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169a6"/>
    <w:rPr>
      <w:rFonts w:eastAsiaTheme="minorEastAsia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Light1">
    <w:name w:val="Table Grid Light1"/>
    <w:basedOn w:val="TableNormal"/>
    <w:uiPriority w:val="40"/>
    <w:rsid w:val="001169a6"/>
    <w:rPr>
      <w:rFonts w:eastAsiaTheme="minorEastAsia"/>
      <w:lang w:val="en-GB"/>
    </w:rPr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</w:style>
  <w:style w:type="table" w:customStyle="1" w:styleId="PlainTable21">
    <w:name w:val="Plain Table 21"/>
    <w:basedOn w:val="TableNormal"/>
    <w:uiPriority w:val="42"/>
    <w:rsid w:val="001169a6"/>
    <w:pPr>
      <w:spacing w:after="0" w:line="240" w:lineRule="auto"/>
    </w:pPr>
    <w:rPr>
      <w:rFonts w:eastAsiaTheme="minorEastAsia"/>
      <w:lang w:val="en-GB"/>
    </w:r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2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1Horz">
      <w:tblPr/>
      <w:tcPr>
        <w:tcBorders>
          <w:top w:val="single" w:color="7F7F7F" w:themeColor="text1" w:sz="4" w:space="0"/>
          <w:bottom w:val="single" w:color="7F7F7F" w:themeColor="text1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Application>LibreOffice/7.4.1.2$Windows_X86_64 LibreOffice_project/3c58a8f3a960df8bc8fd77b461821e42c061c5f0</Application>
  <AppVersion>15.0000</AppVersion>
  <Pages>4</Pages>
  <Words>688</Words>
  <Characters>4094</Characters>
  <CharactersWithSpaces>4510</CharactersWithSpaces>
  <Paragraphs>288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2024-05-06T00:59:00Z</dcterms:created>
  <dc:creator>Vicki Little</dc:creator>
  <dc:description/>
  <dc:language>en-IN</dc:language>
  <cp:lastModifiedBy/>
  <cp:lastPrinted>2024-05-06T00:56:00Z</cp:lastPrinted>
  <dcterms:modified xsi:type="dcterms:W3CDTF">2024-08-08T16:54:24Z</dcterms:modified>
  <cp:revision>93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52b3a1-dbcb-41fb-a452-370cf542753f_ActionId">
    <vt:lpwstr>7398e10c-29c3-4792-a88f-6149eef1e3fe</vt:lpwstr>
  </property>
  <property fmtid="{D5CDD505-2E9C-101B-9397-08002B2CF9AE}" pid="3" name="MSIP_Label_1b52b3a1-dbcb-41fb-a452-370cf542753f_ContentBits">
    <vt:lpwstr>0</vt:lpwstr>
  </property>
  <property fmtid="{D5CDD505-2E9C-101B-9397-08002B2CF9AE}" pid="4" name="MSIP_Label_1b52b3a1-dbcb-41fb-a452-370cf542753f_Enabled">
    <vt:lpwstr>true</vt:lpwstr>
  </property>
  <property fmtid="{D5CDD505-2E9C-101B-9397-08002B2CF9AE}" pid="5" name="MSIP_Label_1b52b3a1-dbcb-41fb-a452-370cf542753f_Method">
    <vt:lpwstr>Privileged</vt:lpwstr>
  </property>
  <property fmtid="{D5CDD505-2E9C-101B-9397-08002B2CF9AE}" pid="6" name="MSIP_Label_1b52b3a1-dbcb-41fb-a452-370cf542753f_Name">
    <vt:lpwstr>Public</vt:lpwstr>
  </property>
  <property fmtid="{D5CDD505-2E9C-101B-9397-08002B2CF9AE}" pid="7" name="MSIP_Label_1b52b3a1-dbcb-41fb-a452-370cf542753f_SetDate">
    <vt:lpwstr>2023-10-21T01:18:28Z</vt:lpwstr>
  </property>
  <property fmtid="{D5CDD505-2E9C-101B-9397-08002B2CF9AE}" pid="8" name="MSIP_Label_1b52b3a1-dbcb-41fb-a452-370cf542753f_SiteId">
    <vt:lpwstr>d1323671-cdbe-4417-b4d4-bdb24b51316b</vt:lpwstr>
  </property>
</Properties>
</file>