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1B1DCD" w14:textId="55B0F477" w:rsidR="00BE1A80" w:rsidRDefault="00BE1A80" w:rsidP="00B568FF">
      <w:pPr>
        <w:spacing w:line="360" w:lineRule="auto"/>
        <w:jc w:val="center"/>
        <w:rPr>
          <w:rFonts w:ascii="Times New Roman" w:hAnsi="Times New Roman" w:cs="Times New Roman"/>
          <w:b/>
          <w:sz w:val="28"/>
          <w:szCs w:val="28"/>
        </w:rPr>
      </w:pPr>
      <w:r>
        <w:rPr>
          <w:rFonts w:ascii="Times New Roman" w:hAnsi="Times New Roman" w:cs="Times New Roman"/>
          <w:b/>
          <w:sz w:val="28"/>
          <w:szCs w:val="28"/>
        </w:rPr>
        <w:t>Supplementary information</w:t>
      </w:r>
    </w:p>
    <w:p w14:paraId="67533DDA" w14:textId="77777777" w:rsidR="00BE1A80" w:rsidRDefault="00BE1A80" w:rsidP="00C26D29">
      <w:pPr>
        <w:spacing w:line="360" w:lineRule="auto"/>
        <w:jc w:val="both"/>
        <w:rPr>
          <w:rFonts w:ascii="Times New Roman" w:hAnsi="Times New Roman" w:cs="Times New Roman"/>
          <w:b/>
          <w:sz w:val="28"/>
          <w:szCs w:val="28"/>
        </w:rPr>
      </w:pPr>
    </w:p>
    <w:p w14:paraId="7F78C21D" w14:textId="77777777" w:rsidR="00BE1A80" w:rsidRPr="00CD549B" w:rsidRDefault="00BE1A80" w:rsidP="00C26D29">
      <w:pPr>
        <w:spacing w:line="360" w:lineRule="auto"/>
        <w:jc w:val="both"/>
        <w:rPr>
          <w:rFonts w:ascii="Times New Roman" w:hAnsi="Times New Roman" w:cs="Times New Roman"/>
          <w:b/>
          <w:sz w:val="28"/>
          <w:szCs w:val="28"/>
        </w:rPr>
      </w:pPr>
      <w:r w:rsidRPr="00CD549B">
        <w:rPr>
          <w:rFonts w:ascii="Times New Roman" w:hAnsi="Times New Roman" w:cs="Times New Roman"/>
          <w:b/>
          <w:sz w:val="28"/>
          <w:szCs w:val="28"/>
        </w:rPr>
        <w:t>Use of WetSEM</w:t>
      </w:r>
      <w:r w:rsidRPr="00CD549B">
        <w:rPr>
          <w:rFonts w:ascii="Times New Roman" w:hAnsi="Times New Roman" w:cs="Times New Roman"/>
          <w:i/>
          <w:sz w:val="28"/>
          <w:szCs w:val="28"/>
          <w:vertAlign w:val="superscript"/>
        </w:rPr>
        <w:t>®</w:t>
      </w:r>
      <w:r w:rsidRPr="00CD549B">
        <w:rPr>
          <w:rFonts w:ascii="Times New Roman" w:hAnsi="Times New Roman" w:cs="Times New Roman"/>
          <w:b/>
          <w:sz w:val="28"/>
          <w:szCs w:val="28"/>
        </w:rPr>
        <w:t xml:space="preserve"> capsules for convenient multimodal scanning electron microscopy, energy dispersive X-ray analysis, and micro Raman spectroscopy characterisation of technetium oxides.</w:t>
      </w:r>
    </w:p>
    <w:p w14:paraId="56BBBE48" w14:textId="4A47DED1" w:rsidR="00BE1A80" w:rsidRPr="002504BF" w:rsidRDefault="00BE1A80" w:rsidP="00C26D29">
      <w:pPr>
        <w:spacing w:line="360" w:lineRule="auto"/>
        <w:jc w:val="both"/>
        <w:rPr>
          <w:rFonts w:ascii="Times New Roman" w:hAnsi="Times New Roman" w:cs="Times New Roman"/>
          <w:sz w:val="24"/>
          <w:szCs w:val="24"/>
          <w:vertAlign w:val="superscript"/>
        </w:rPr>
      </w:pPr>
      <w:r w:rsidRPr="002504BF">
        <w:rPr>
          <w:rFonts w:ascii="Times New Roman" w:hAnsi="Times New Roman" w:cs="Times New Roman"/>
          <w:sz w:val="24"/>
          <w:szCs w:val="24"/>
        </w:rPr>
        <w:t>D. J. Bailey,</w:t>
      </w:r>
      <w:r w:rsidRPr="002504BF">
        <w:rPr>
          <w:rFonts w:ascii="Times New Roman" w:hAnsi="Times New Roman" w:cs="Times New Roman"/>
          <w:sz w:val="24"/>
          <w:szCs w:val="24"/>
          <w:vertAlign w:val="superscript"/>
        </w:rPr>
        <w:t>1*</w:t>
      </w:r>
      <w:r w:rsidRPr="002504BF">
        <w:rPr>
          <w:rFonts w:ascii="Times New Roman" w:hAnsi="Times New Roman" w:cs="Times New Roman"/>
          <w:sz w:val="24"/>
          <w:szCs w:val="24"/>
        </w:rPr>
        <w:t xml:space="preserve"> M. C. Stennett,</w:t>
      </w:r>
      <w:r w:rsidRPr="002504BF">
        <w:rPr>
          <w:rFonts w:ascii="Times New Roman" w:hAnsi="Times New Roman" w:cs="Times New Roman"/>
          <w:sz w:val="24"/>
          <w:szCs w:val="24"/>
          <w:vertAlign w:val="superscript"/>
        </w:rPr>
        <w:t>1</w:t>
      </w:r>
      <w:r w:rsidRPr="002504BF">
        <w:rPr>
          <w:rFonts w:ascii="Times New Roman" w:hAnsi="Times New Roman" w:cs="Times New Roman"/>
          <w:sz w:val="24"/>
          <w:szCs w:val="24"/>
        </w:rPr>
        <w:t xml:space="preserve"> J.</w:t>
      </w:r>
      <w:r>
        <w:rPr>
          <w:rFonts w:ascii="Times New Roman" w:hAnsi="Times New Roman" w:cs="Times New Roman"/>
          <w:sz w:val="24"/>
          <w:szCs w:val="24"/>
        </w:rPr>
        <w:t xml:space="preserve"> Heo,</w:t>
      </w:r>
      <w:r w:rsidRPr="002504BF">
        <w:rPr>
          <w:rFonts w:ascii="Times New Roman" w:hAnsi="Times New Roman" w:cs="Times New Roman"/>
          <w:sz w:val="24"/>
          <w:szCs w:val="24"/>
          <w:vertAlign w:val="superscript"/>
        </w:rPr>
        <w:t>2,3</w:t>
      </w:r>
      <w:r>
        <w:rPr>
          <w:rFonts w:ascii="Times New Roman" w:hAnsi="Times New Roman" w:cs="Times New Roman"/>
          <w:sz w:val="24"/>
          <w:szCs w:val="24"/>
        </w:rPr>
        <w:t xml:space="preserve"> N. </w:t>
      </w:r>
      <w:r w:rsidRPr="002504BF">
        <w:rPr>
          <w:rFonts w:ascii="Times New Roman" w:hAnsi="Times New Roman" w:cs="Times New Roman"/>
          <w:sz w:val="24"/>
          <w:szCs w:val="24"/>
        </w:rPr>
        <w:t>C. Hyatt</w:t>
      </w:r>
      <w:r w:rsidRPr="002504BF">
        <w:rPr>
          <w:rFonts w:ascii="Times New Roman" w:hAnsi="Times New Roman" w:cs="Times New Roman"/>
          <w:sz w:val="24"/>
          <w:szCs w:val="24"/>
          <w:vertAlign w:val="superscript"/>
        </w:rPr>
        <w:t>1</w:t>
      </w:r>
      <w:r>
        <w:rPr>
          <w:rFonts w:ascii="Times New Roman" w:hAnsi="Times New Roman" w:cs="Times New Roman"/>
          <w:sz w:val="24"/>
          <w:szCs w:val="24"/>
          <w:vertAlign w:val="superscript"/>
        </w:rPr>
        <w:t>*</w:t>
      </w:r>
    </w:p>
    <w:p w14:paraId="7B7FB1C9" w14:textId="2E288AFE" w:rsidR="00BE1A80" w:rsidRDefault="00BE1A80" w:rsidP="00C26D29">
      <w:pPr>
        <w:spacing w:line="360" w:lineRule="auto"/>
        <w:jc w:val="both"/>
        <w:rPr>
          <w:rStyle w:val="Hyperlink"/>
          <w:rFonts w:ascii="Times New Roman" w:hAnsi="Times New Roman" w:cs="Times New Roman"/>
          <w:szCs w:val="24"/>
        </w:rPr>
      </w:pPr>
      <w:r w:rsidRPr="002504BF">
        <w:rPr>
          <w:rFonts w:ascii="Times New Roman" w:hAnsi="Times New Roman" w:cs="Times New Roman"/>
          <w:szCs w:val="24"/>
        </w:rPr>
        <w:t xml:space="preserve">*Corresponding author: </w:t>
      </w:r>
      <w:hyperlink r:id="rId8" w:history="1">
        <w:r w:rsidRPr="002504BF">
          <w:rPr>
            <w:rStyle w:val="Hyperlink"/>
            <w:rFonts w:ascii="Times New Roman" w:hAnsi="Times New Roman" w:cs="Times New Roman"/>
            <w:szCs w:val="24"/>
          </w:rPr>
          <w:t>d.j.bailey@sheffield.ac.uk</w:t>
        </w:r>
      </w:hyperlink>
      <w:r>
        <w:rPr>
          <w:rStyle w:val="Hyperlink"/>
          <w:rFonts w:ascii="Times New Roman" w:hAnsi="Times New Roman" w:cs="Times New Roman"/>
          <w:szCs w:val="24"/>
        </w:rPr>
        <w:t>, n.c.hyatt@sheffield.ac.uk</w:t>
      </w:r>
    </w:p>
    <w:p w14:paraId="6CD45FDB" w14:textId="77777777" w:rsidR="00BE1A80" w:rsidRPr="002504BF" w:rsidRDefault="00BE1A80" w:rsidP="00C26D29">
      <w:pPr>
        <w:spacing w:line="360" w:lineRule="auto"/>
        <w:jc w:val="both"/>
        <w:rPr>
          <w:rFonts w:ascii="Times New Roman" w:hAnsi="Times New Roman" w:cs="Times New Roman"/>
          <w:szCs w:val="24"/>
        </w:rPr>
      </w:pPr>
    </w:p>
    <w:p w14:paraId="2A6E4DDF" w14:textId="77777777" w:rsidR="00BE1A80" w:rsidRPr="002504BF" w:rsidRDefault="00BE1A80" w:rsidP="00C26D29">
      <w:pPr>
        <w:spacing w:line="360" w:lineRule="auto"/>
        <w:jc w:val="both"/>
        <w:rPr>
          <w:rFonts w:ascii="Times New Roman" w:hAnsi="Times New Roman" w:cs="Times New Roman"/>
          <w:i/>
          <w:szCs w:val="24"/>
        </w:rPr>
      </w:pPr>
      <w:r w:rsidRPr="002504BF">
        <w:rPr>
          <w:rFonts w:ascii="Times New Roman" w:hAnsi="Times New Roman" w:cs="Times New Roman"/>
          <w:i/>
          <w:szCs w:val="24"/>
          <w:vertAlign w:val="superscript"/>
        </w:rPr>
        <w:t>1</w:t>
      </w:r>
      <w:r w:rsidRPr="002504BF">
        <w:rPr>
          <w:rFonts w:ascii="Times New Roman" w:hAnsi="Times New Roman" w:cs="Times New Roman"/>
          <w:i/>
          <w:szCs w:val="24"/>
        </w:rPr>
        <w:t>Department of Materials Science and Engineering, University of Sheffield, Mappin Street, Sheffield, S1 3JD, United Kingdom</w:t>
      </w:r>
    </w:p>
    <w:p w14:paraId="64AE1A7C" w14:textId="77777777" w:rsidR="00BE1A80" w:rsidRPr="002504BF" w:rsidRDefault="00BE1A80" w:rsidP="00C26D29">
      <w:pPr>
        <w:spacing w:line="360" w:lineRule="auto"/>
        <w:jc w:val="both"/>
        <w:rPr>
          <w:rFonts w:ascii="Times New Roman" w:hAnsi="Times New Roman" w:cs="Times New Roman"/>
          <w:i/>
          <w:szCs w:val="24"/>
        </w:rPr>
      </w:pPr>
      <w:r w:rsidRPr="002504BF">
        <w:rPr>
          <w:rFonts w:ascii="Times New Roman" w:hAnsi="Times New Roman" w:cs="Times New Roman"/>
          <w:i/>
          <w:szCs w:val="24"/>
          <w:vertAlign w:val="superscript"/>
        </w:rPr>
        <w:t>2</w:t>
      </w:r>
      <w:r w:rsidRPr="002504BF">
        <w:rPr>
          <w:rFonts w:ascii="Times New Roman" w:hAnsi="Times New Roman" w:cs="Times New Roman"/>
          <w:i/>
          <w:szCs w:val="24"/>
        </w:rPr>
        <w:t>Department of Materials Science and Engineering, Pohang University of Science and Technology (POSTECH), Pohang, Gyeongbuk 790-784, South Korea</w:t>
      </w:r>
    </w:p>
    <w:p w14:paraId="063AE2EA" w14:textId="77777777" w:rsidR="00BE1A80" w:rsidRDefault="00BE1A80" w:rsidP="00C26D29">
      <w:pPr>
        <w:spacing w:line="360" w:lineRule="auto"/>
        <w:jc w:val="both"/>
        <w:rPr>
          <w:rFonts w:ascii="Times New Roman" w:hAnsi="Times New Roman" w:cs="Times New Roman"/>
          <w:szCs w:val="24"/>
        </w:rPr>
      </w:pPr>
      <w:r w:rsidRPr="002504BF">
        <w:rPr>
          <w:rFonts w:ascii="Times New Roman" w:hAnsi="Times New Roman" w:cs="Times New Roman"/>
          <w:i/>
          <w:szCs w:val="24"/>
          <w:vertAlign w:val="superscript"/>
        </w:rPr>
        <w:t>3</w:t>
      </w:r>
      <w:r w:rsidRPr="002504BF">
        <w:rPr>
          <w:rFonts w:ascii="Times New Roman" w:hAnsi="Times New Roman" w:cs="Times New Roman"/>
          <w:i/>
          <w:szCs w:val="24"/>
        </w:rPr>
        <w:t>Division of Advanced Nuclear Engineering, Pohang University of Science and Technology (POSTECH), Pohang, Gyeongbuk 790-784, South Korea</w:t>
      </w:r>
    </w:p>
    <w:p w14:paraId="1C1FD2A6" w14:textId="77777777" w:rsidR="00BE1A80" w:rsidRDefault="00BE1A80" w:rsidP="00C26D29">
      <w:pPr>
        <w:spacing w:line="360" w:lineRule="auto"/>
        <w:jc w:val="both"/>
        <w:rPr>
          <w:rFonts w:ascii="Times New Roman" w:hAnsi="Times New Roman" w:cs="Times New Roman"/>
          <w:b/>
          <w:sz w:val="28"/>
          <w:szCs w:val="28"/>
        </w:rPr>
      </w:pPr>
    </w:p>
    <w:p w14:paraId="0BE0E128" w14:textId="07142594" w:rsidR="00BE1A80" w:rsidRDefault="005B0EFD" w:rsidP="00C26D29">
      <w:pPr>
        <w:spacing w:line="360" w:lineRule="auto"/>
        <w:jc w:val="center"/>
        <w:rPr>
          <w:rFonts w:ascii="Times New Roman" w:hAnsi="Times New Roman" w:cs="Times New Roman"/>
          <w:b/>
          <w:sz w:val="24"/>
          <w:szCs w:val="24"/>
        </w:rPr>
      </w:pPr>
      <w:r w:rsidRPr="005B0EFD">
        <w:rPr>
          <w:rFonts w:ascii="Times New Roman" w:hAnsi="Times New Roman" w:cs="Times New Roman"/>
          <w:b/>
          <w:noProof/>
          <w:sz w:val="24"/>
          <w:szCs w:val="24"/>
          <w:lang w:eastAsia="en-GB"/>
        </w:rPr>
        <w:lastRenderedPageBreak/>
        <w:drawing>
          <wp:inline distT="0" distB="0" distL="0" distR="0" wp14:anchorId="16799829" wp14:editId="5B04012B">
            <wp:extent cx="5731510" cy="5870110"/>
            <wp:effectExtent l="0" t="0" r="2540" b="0"/>
            <wp:docPr id="5" name="Picture 5" descr="D:\Technetium\Rutile\XRD\Ti09Tc01O2 XRD index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echnetium\Rutile\XRD\Ti09Tc01O2 XRD indexed.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5870110"/>
                    </a:xfrm>
                    <a:prstGeom prst="rect">
                      <a:avLst/>
                    </a:prstGeom>
                    <a:noFill/>
                    <a:ln>
                      <a:noFill/>
                    </a:ln>
                  </pic:spPr>
                </pic:pic>
              </a:graphicData>
            </a:graphic>
          </wp:inline>
        </w:drawing>
      </w:r>
    </w:p>
    <w:p w14:paraId="4D2A6D82" w14:textId="1370DE4E" w:rsidR="00BE1A80" w:rsidRPr="005B0EFD" w:rsidRDefault="005B0EFD" w:rsidP="00C26D29">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Fig. S1: </w:t>
      </w:r>
      <w:r>
        <w:rPr>
          <w:rFonts w:ascii="Times New Roman" w:hAnsi="Times New Roman" w:cs="Times New Roman"/>
          <w:sz w:val="24"/>
          <w:szCs w:val="24"/>
        </w:rPr>
        <w:t>X-ray diffraction pattern of synthesised Ti</w:t>
      </w:r>
      <w:r w:rsidRPr="005B0EFD">
        <w:rPr>
          <w:rFonts w:ascii="Times New Roman" w:hAnsi="Times New Roman" w:cs="Times New Roman"/>
          <w:sz w:val="24"/>
          <w:szCs w:val="24"/>
          <w:vertAlign w:val="subscript"/>
        </w:rPr>
        <w:t>0.9</w:t>
      </w:r>
      <w:r>
        <w:rPr>
          <w:rFonts w:ascii="Times New Roman" w:hAnsi="Times New Roman" w:cs="Times New Roman"/>
          <w:sz w:val="24"/>
          <w:szCs w:val="24"/>
        </w:rPr>
        <w:t>Tc</w:t>
      </w:r>
      <w:r w:rsidRPr="005B0EFD">
        <w:rPr>
          <w:rFonts w:ascii="Times New Roman" w:hAnsi="Times New Roman" w:cs="Times New Roman"/>
          <w:sz w:val="24"/>
          <w:szCs w:val="24"/>
          <w:vertAlign w:val="subscript"/>
        </w:rPr>
        <w:t>0.1</w:t>
      </w:r>
      <w:r>
        <w:rPr>
          <w:rFonts w:ascii="Times New Roman" w:hAnsi="Times New Roman" w:cs="Times New Roman"/>
          <w:sz w:val="24"/>
          <w:szCs w:val="24"/>
        </w:rPr>
        <w:t>O</w:t>
      </w:r>
      <w:r w:rsidRPr="005B0EFD">
        <w:rPr>
          <w:rFonts w:ascii="Times New Roman" w:hAnsi="Times New Roman" w:cs="Times New Roman"/>
          <w:sz w:val="24"/>
          <w:szCs w:val="24"/>
          <w:vertAlign w:val="subscript"/>
        </w:rPr>
        <w:t>2</w:t>
      </w:r>
      <w:r>
        <w:rPr>
          <w:rFonts w:ascii="Times New Roman" w:hAnsi="Times New Roman" w:cs="Times New Roman"/>
          <w:sz w:val="24"/>
          <w:szCs w:val="24"/>
        </w:rPr>
        <w:t>.  Tick marks show allowed reflections for TiO</w:t>
      </w:r>
      <w:r w:rsidRPr="005B0EFD">
        <w:rPr>
          <w:rFonts w:ascii="Times New Roman" w:hAnsi="Times New Roman" w:cs="Times New Roman"/>
          <w:sz w:val="24"/>
          <w:szCs w:val="24"/>
          <w:vertAlign w:val="subscript"/>
        </w:rPr>
        <w:t>2</w:t>
      </w:r>
      <w:r>
        <w:rPr>
          <w:rFonts w:ascii="Times New Roman" w:hAnsi="Times New Roman" w:cs="Times New Roman"/>
          <w:sz w:val="24"/>
          <w:szCs w:val="24"/>
        </w:rPr>
        <w:t xml:space="preserve"> (rutile).</w:t>
      </w:r>
    </w:p>
    <w:p w14:paraId="6FB7F3FB" w14:textId="4BA6AF5C" w:rsidR="00BE1A80" w:rsidRDefault="00BE1A80" w:rsidP="00C26D29">
      <w:pPr>
        <w:spacing w:line="360" w:lineRule="auto"/>
        <w:jc w:val="center"/>
        <w:rPr>
          <w:rFonts w:ascii="Times New Roman" w:hAnsi="Times New Roman" w:cs="Times New Roman"/>
          <w:b/>
          <w:sz w:val="24"/>
          <w:szCs w:val="24"/>
        </w:rPr>
      </w:pPr>
    </w:p>
    <w:p w14:paraId="57BB319D" w14:textId="24498BE7" w:rsidR="00BE1A80" w:rsidRDefault="00573B19" w:rsidP="00C26D29">
      <w:pPr>
        <w:spacing w:line="360" w:lineRule="auto"/>
        <w:rPr>
          <w:rFonts w:ascii="Times New Roman" w:hAnsi="Times New Roman" w:cs="Times New Roman"/>
          <w:b/>
          <w:sz w:val="24"/>
          <w:szCs w:val="24"/>
        </w:rPr>
      </w:pPr>
      <w:r w:rsidRPr="00573B19">
        <w:rPr>
          <w:rFonts w:ascii="Times New Roman" w:hAnsi="Times New Roman" w:cs="Times New Roman"/>
          <w:b/>
          <w:noProof/>
          <w:sz w:val="24"/>
          <w:szCs w:val="24"/>
          <w:lang w:eastAsia="en-GB"/>
        </w:rPr>
        <w:lastRenderedPageBreak/>
        <w:drawing>
          <wp:inline distT="0" distB="0" distL="0" distR="0" wp14:anchorId="74E16A30" wp14:editId="3B44740B">
            <wp:extent cx="5731510" cy="5878472"/>
            <wp:effectExtent l="0" t="0" r="2540" b="8255"/>
            <wp:docPr id="6" name="Picture 6" descr="D:\Technetium\Pertechnetates\TlTcO4\TlTcO4 XRD precipitation index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echnetium\Pertechnetates\TlTcO4\TlTcO4 XRD precipitation indexed.b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5878472"/>
                    </a:xfrm>
                    <a:prstGeom prst="rect">
                      <a:avLst/>
                    </a:prstGeom>
                    <a:noFill/>
                    <a:ln>
                      <a:noFill/>
                    </a:ln>
                  </pic:spPr>
                </pic:pic>
              </a:graphicData>
            </a:graphic>
          </wp:inline>
        </w:drawing>
      </w:r>
    </w:p>
    <w:p w14:paraId="543A7723" w14:textId="40E2A165" w:rsidR="003D77D5" w:rsidRPr="00FF3729" w:rsidRDefault="003D77D5" w:rsidP="00217974">
      <w:pPr>
        <w:spacing w:line="360" w:lineRule="auto"/>
        <w:jc w:val="both"/>
        <w:rPr>
          <w:rFonts w:ascii="Times New Roman" w:hAnsi="Times New Roman" w:cs="Times New Roman"/>
          <w:sz w:val="24"/>
          <w:szCs w:val="24"/>
        </w:rPr>
      </w:pPr>
      <w:r>
        <w:rPr>
          <w:rFonts w:ascii="Times New Roman" w:hAnsi="Times New Roman" w:cs="Times New Roman"/>
          <w:b/>
          <w:sz w:val="24"/>
          <w:szCs w:val="24"/>
        </w:rPr>
        <w:t>F</w:t>
      </w:r>
      <w:r w:rsidR="00217974">
        <w:rPr>
          <w:rFonts w:ascii="Times New Roman" w:hAnsi="Times New Roman" w:cs="Times New Roman"/>
          <w:b/>
          <w:sz w:val="24"/>
          <w:szCs w:val="24"/>
        </w:rPr>
        <w:t>ig. S2</w:t>
      </w:r>
      <w:r>
        <w:rPr>
          <w:rFonts w:ascii="Times New Roman" w:hAnsi="Times New Roman" w:cs="Times New Roman"/>
          <w:b/>
          <w:sz w:val="24"/>
          <w:szCs w:val="24"/>
        </w:rPr>
        <w:t xml:space="preserve">: </w:t>
      </w:r>
      <w:r>
        <w:rPr>
          <w:rFonts w:ascii="Times New Roman" w:hAnsi="Times New Roman" w:cs="Times New Roman"/>
          <w:sz w:val="24"/>
          <w:szCs w:val="24"/>
        </w:rPr>
        <w:t xml:space="preserve">X-ray diffraction pattern of synthesised </w:t>
      </w:r>
      <w:r w:rsidR="00573B19">
        <w:rPr>
          <w:rFonts w:ascii="Times New Roman" w:hAnsi="Times New Roman" w:cs="Times New Roman"/>
          <w:sz w:val="24"/>
          <w:szCs w:val="24"/>
        </w:rPr>
        <w:t>TlTcO</w:t>
      </w:r>
      <w:r w:rsidR="00573B19">
        <w:rPr>
          <w:rFonts w:ascii="Times New Roman" w:hAnsi="Times New Roman" w:cs="Times New Roman"/>
          <w:sz w:val="24"/>
          <w:szCs w:val="24"/>
          <w:vertAlign w:val="subscript"/>
        </w:rPr>
        <w:t>4</w:t>
      </w:r>
      <w:r>
        <w:rPr>
          <w:rFonts w:ascii="Times New Roman" w:hAnsi="Times New Roman" w:cs="Times New Roman"/>
          <w:sz w:val="24"/>
          <w:szCs w:val="24"/>
        </w:rPr>
        <w:t xml:space="preserve">.  Tick marks show allowed reflections for </w:t>
      </w:r>
      <w:r w:rsidR="00573B19">
        <w:rPr>
          <w:rFonts w:ascii="Times New Roman" w:hAnsi="Times New Roman" w:cs="Times New Roman"/>
          <w:sz w:val="24"/>
          <w:szCs w:val="24"/>
        </w:rPr>
        <w:t>TlTcO</w:t>
      </w:r>
      <w:r w:rsidR="00573B19">
        <w:rPr>
          <w:rFonts w:ascii="Times New Roman" w:hAnsi="Times New Roman" w:cs="Times New Roman"/>
          <w:sz w:val="24"/>
          <w:szCs w:val="24"/>
          <w:vertAlign w:val="subscript"/>
        </w:rPr>
        <w:t>4</w:t>
      </w:r>
      <w:r w:rsidR="00FF3729">
        <w:rPr>
          <w:rFonts w:ascii="Times New Roman" w:hAnsi="Times New Roman" w:cs="Times New Roman"/>
          <w:sz w:val="24"/>
          <w:szCs w:val="24"/>
        </w:rPr>
        <w:t>, minimum 1 % of maximum intensity.</w:t>
      </w:r>
    </w:p>
    <w:p w14:paraId="63311812" w14:textId="77777777" w:rsidR="00FF3729" w:rsidRDefault="00FF3729">
      <w:pPr>
        <w:rPr>
          <w:rFonts w:ascii="Times New Roman" w:hAnsi="Times New Roman" w:cs="Times New Roman"/>
          <w:b/>
          <w:sz w:val="24"/>
          <w:szCs w:val="24"/>
        </w:rPr>
      </w:pPr>
      <w:r>
        <w:rPr>
          <w:rFonts w:ascii="Times New Roman" w:hAnsi="Times New Roman" w:cs="Times New Roman"/>
          <w:b/>
          <w:sz w:val="24"/>
          <w:szCs w:val="24"/>
        </w:rPr>
        <w:br w:type="page"/>
      </w:r>
    </w:p>
    <w:p w14:paraId="436B28A1" w14:textId="57838B22" w:rsidR="00BE1A80" w:rsidRPr="00D0707B" w:rsidRDefault="00BE1A80" w:rsidP="00C26D29">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Table S1: </w:t>
      </w:r>
      <w:r>
        <w:rPr>
          <w:rFonts w:ascii="Times New Roman" w:hAnsi="Times New Roman" w:cs="Times New Roman"/>
          <w:sz w:val="24"/>
          <w:szCs w:val="24"/>
        </w:rPr>
        <w:t>Raman shifts and tentative mode/symmetry assignments for TlTcO</w:t>
      </w:r>
      <w:r w:rsidRPr="00AA32C0">
        <w:rPr>
          <w:rFonts w:ascii="Times New Roman" w:hAnsi="Times New Roman" w:cs="Times New Roman"/>
          <w:sz w:val="24"/>
          <w:szCs w:val="24"/>
          <w:vertAlign w:val="subscript"/>
        </w:rPr>
        <w:t>4</w:t>
      </w:r>
      <w:r>
        <w:rPr>
          <w:rFonts w:ascii="Times New Roman" w:hAnsi="Times New Roman" w:cs="Times New Roman"/>
          <w:sz w:val="24"/>
          <w:szCs w:val="24"/>
        </w:rPr>
        <w:t>, assignments based on TlReO</w:t>
      </w:r>
      <w:r w:rsidRPr="00D0707B">
        <w:rPr>
          <w:rFonts w:ascii="Times New Roman" w:hAnsi="Times New Roman" w:cs="Times New Roman"/>
          <w:sz w:val="24"/>
          <w:szCs w:val="24"/>
          <w:vertAlign w:val="subscript"/>
        </w:rPr>
        <w:t>4</w:t>
      </w:r>
      <w:r>
        <w:rPr>
          <w:rFonts w:ascii="Times New Roman" w:hAnsi="Times New Roman" w:cs="Times New Roman"/>
          <w:sz w:val="24"/>
          <w:szCs w:val="24"/>
        </w:rPr>
        <w:t xml:space="preserve">. Rot. = rotation, Sci. = scissoring, Wagg. = wagging, Rock. = rocking, Twist. = twisting, Asym. Str. = Asymmetric stretching and </w:t>
      </w:r>
      <w:r w:rsidR="00B568FF">
        <w:rPr>
          <w:rFonts w:ascii="Times New Roman" w:hAnsi="Times New Roman" w:cs="Times New Roman"/>
          <w:sz w:val="24"/>
          <w:szCs w:val="24"/>
        </w:rPr>
        <w:t xml:space="preserve">Sym. Str = symmetric stretching </w:t>
      </w:r>
      <w:r w:rsidR="000A3B05">
        <w:rPr>
          <w:rFonts w:ascii="Times New Roman" w:hAnsi="Times New Roman" w:cs="Times New Roman"/>
          <w:sz w:val="24"/>
          <w:szCs w:val="24"/>
        </w:rPr>
        <w:fldChar w:fldCharType="begin" w:fldLock="1"/>
      </w:r>
      <w:r w:rsidR="00553FF0">
        <w:rPr>
          <w:rFonts w:ascii="Times New Roman" w:hAnsi="Times New Roman" w:cs="Times New Roman"/>
          <w:sz w:val="24"/>
          <w:szCs w:val="24"/>
        </w:rPr>
        <w:instrText>ADDIN CSL_CITATION {"citationItems":[{"id":"ITEM-1","itemData":{"DOI":"10.1088/1361-648X/abb651","ISSN":"1361648X","abstract":"The present work describes a density-functional theory (DFT) study of TlReO4 in combination with powder x-ray diffraction experiments as a function of temperature and Raman measurements at ambient temperature. X-ray diffraction measurements reveal three different structures as a function of temperature. A monoclinic structure (space group P21/c) is observed at room temperature while two isostructural tetragonal structures (space group I41/a) are found at low- and high-temperature. In order to complement the experimental results first-principles DFT calculations were performed to compute the structural energy differences. From the total energies it is evident that the monoclinic structure has the lowest total energy when compared to the orthorhombic structure, which was originally proposed to be the structure at room temperature, which agrees with our experiments. The structural and vibrational properties of the low- and room-temperature phase of TlReO4 have been calculated using DFT. Inclusion of van der Waals correction to the standard DFT exchange correlation functional is found to improve the agreement with the observed structural and vibrational properties. The Born effective charge of these phases has also been studied which shows a combination of ionic and covalent nature, resembling metavalent bonding. Calculations of zone-center phonon frequencies lead to the symmetry assignment of previously reported low-temperature Raman modes. We have determined the frequencies of the eight infrared-active, 13 Raman-active and three silent modes of low-temperature TlReO4 along with 105 infrared-active and 108 Raman-active modes for room-temperature TlReO4. Phonons of these two phases of TlReO4 are mainly divided into three regions which are below 150 cm-1 due to vibration of whole crystal, 250 to 400 cm-1 due to wagging, scissoring, rocking and twisting and above 900 cm-1 due to stretching in ReO4 tetrahedron. The strongest infrared peak is associated to the internal asymmetric stretching of ReO4 whereas the strongest Raman peak is associated to the internal symmetric stretching of ReO4. We have also measured the room-temperature Raman spectra of monoclinic TlReO4 identifying up to 28 modes. This Raman spectrum has been interpreted by comparison with the previously reported Raman frequencies of the low-temperature phase and our calculated Raman frequencies of low- and room-temperature phases of TlReO4.","author":[{"dropping-particle":"","family":"Mondal","given":"S.","non-dropping-particle":"","parse-names":false,"suffix":""},{"dropping-particle":"","family":"Vaitheeswaran","given":"G.","non-dropping-particle":"","parse-names":false,"suffix":""},{"dropping-particle":"","family":"Kennedy","given":"Brendan J.","non-dropping-particle":"","parse-names":false,"suffix":""},{"dropping-particle":"","family":"Chay","given":"Clarissa","non-dropping-particle":"","parse-names":false,"suffix":""},{"dropping-particle":"","family":"Injac","given":"Sean","non-dropping-particle":"","parse-names":false,"suffix":""},{"dropping-particle":"","family":"Errandonea","given":"Daniel","non-dropping-particle":"","parse-names":false,"suffix":""}],"container-title":"Journal of Physics Condensed Matter","id":"ITEM-1","issue":"6","issued":{"date-parts":[["2020"]]},"publisher":"IOP Publishing","title":"Crystal structure and phase transition of TlReO4: a combined experimental and theoretical study","type":"article-journal","volume":"33"},"uris":["http://www.mendeley.com/documents/?uuid=50687e4d-ac25-4b9e-a1c0-5f480f9e6b77"]}],"mendeley":{"formattedCitation":"[28]","plainTextFormattedCitation":"[28]","previouslyFormattedCitation":"[29]"},"properties":{"noteIndex":0},"schema":"https://github.com/citation-style-language/schema/raw/master/csl-citation.json"}</w:instrText>
      </w:r>
      <w:r w:rsidR="000A3B05">
        <w:rPr>
          <w:rFonts w:ascii="Times New Roman" w:hAnsi="Times New Roman" w:cs="Times New Roman"/>
          <w:sz w:val="24"/>
          <w:szCs w:val="24"/>
        </w:rPr>
        <w:fldChar w:fldCharType="separate"/>
      </w:r>
      <w:r w:rsidR="00553FF0" w:rsidRPr="00553FF0">
        <w:rPr>
          <w:rFonts w:ascii="Times New Roman" w:hAnsi="Times New Roman" w:cs="Times New Roman"/>
          <w:noProof/>
          <w:sz w:val="24"/>
          <w:szCs w:val="24"/>
        </w:rPr>
        <w:t>[</w:t>
      </w:r>
      <w:r w:rsidR="00B568FF">
        <w:rPr>
          <w:rFonts w:ascii="Times New Roman" w:hAnsi="Times New Roman" w:cs="Times New Roman"/>
          <w:noProof/>
          <w:sz w:val="24"/>
          <w:szCs w:val="24"/>
        </w:rPr>
        <w:t>1</w:t>
      </w:r>
      <w:r w:rsidR="00553FF0" w:rsidRPr="00553FF0">
        <w:rPr>
          <w:rFonts w:ascii="Times New Roman" w:hAnsi="Times New Roman" w:cs="Times New Roman"/>
          <w:noProof/>
          <w:sz w:val="24"/>
          <w:szCs w:val="24"/>
        </w:rPr>
        <w:t>]</w:t>
      </w:r>
      <w:r w:rsidR="000A3B05">
        <w:rPr>
          <w:rFonts w:ascii="Times New Roman" w:hAnsi="Times New Roman" w:cs="Times New Roman"/>
          <w:sz w:val="24"/>
          <w:szCs w:val="24"/>
        </w:rPr>
        <w:fldChar w:fldCharType="end"/>
      </w:r>
      <w:r w:rsidR="00B568FF">
        <w:rPr>
          <w:rFonts w:ascii="Times New Roman" w:hAnsi="Times New Roman" w:cs="Times New Roman"/>
          <w:sz w:val="24"/>
          <w:szCs w:val="24"/>
        </w:rPr>
        <w:t>.</w:t>
      </w:r>
    </w:p>
    <w:p w14:paraId="0102851B" w14:textId="77777777" w:rsidR="00BE1A80" w:rsidRDefault="00BE1A80" w:rsidP="00C26D29">
      <w:pPr>
        <w:spacing w:line="360" w:lineRule="auto"/>
        <w:jc w:val="center"/>
        <w:rPr>
          <w:rFonts w:ascii="Times New Roman" w:hAnsi="Times New Roman" w:cs="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4"/>
        <w:gridCol w:w="1842"/>
        <w:gridCol w:w="3124"/>
      </w:tblGrid>
      <w:tr w:rsidR="00BE1A80" w14:paraId="41476E24" w14:textId="77777777" w:rsidTr="006E42B9">
        <w:trPr>
          <w:jc w:val="center"/>
        </w:trPr>
        <w:tc>
          <w:tcPr>
            <w:tcW w:w="2264" w:type="dxa"/>
            <w:tcBorders>
              <w:top w:val="single" w:sz="4" w:space="0" w:color="auto"/>
              <w:bottom w:val="single" w:sz="4" w:space="0" w:color="auto"/>
            </w:tcBorders>
          </w:tcPr>
          <w:p w14:paraId="58B8FD67" w14:textId="77777777" w:rsidR="00BE1A80" w:rsidRPr="00D0707B" w:rsidRDefault="00BE1A80" w:rsidP="00C26D29">
            <w:pPr>
              <w:spacing w:line="360" w:lineRule="auto"/>
              <w:jc w:val="center"/>
              <w:rPr>
                <w:rFonts w:ascii="Times New Roman" w:hAnsi="Times New Roman" w:cs="Times New Roman"/>
                <w:b/>
                <w:sz w:val="24"/>
                <w:szCs w:val="24"/>
              </w:rPr>
            </w:pPr>
            <w:r w:rsidRPr="00D0707B">
              <w:rPr>
                <w:rFonts w:ascii="Times New Roman" w:hAnsi="Times New Roman" w:cs="Times New Roman"/>
                <w:b/>
                <w:sz w:val="24"/>
                <w:szCs w:val="24"/>
              </w:rPr>
              <w:t>Raman shift (cm</w:t>
            </w:r>
            <w:r w:rsidRPr="00D0707B">
              <w:rPr>
                <w:rFonts w:ascii="Times New Roman" w:hAnsi="Times New Roman" w:cs="Times New Roman"/>
                <w:b/>
                <w:sz w:val="24"/>
                <w:szCs w:val="24"/>
                <w:vertAlign w:val="superscript"/>
              </w:rPr>
              <w:t>-1</w:t>
            </w:r>
            <w:r w:rsidRPr="00D0707B">
              <w:rPr>
                <w:rFonts w:ascii="Times New Roman" w:hAnsi="Times New Roman" w:cs="Times New Roman"/>
                <w:b/>
                <w:sz w:val="24"/>
                <w:szCs w:val="24"/>
              </w:rPr>
              <w:t>)</w:t>
            </w:r>
          </w:p>
        </w:tc>
        <w:tc>
          <w:tcPr>
            <w:tcW w:w="1842" w:type="dxa"/>
            <w:tcBorders>
              <w:top w:val="single" w:sz="4" w:space="0" w:color="auto"/>
              <w:bottom w:val="single" w:sz="4" w:space="0" w:color="auto"/>
            </w:tcBorders>
          </w:tcPr>
          <w:p w14:paraId="4BDE32C8" w14:textId="77777777" w:rsidR="00BE1A80" w:rsidRPr="00D0707B" w:rsidRDefault="00BE1A80" w:rsidP="00C26D29">
            <w:pPr>
              <w:spacing w:line="360" w:lineRule="auto"/>
              <w:jc w:val="center"/>
              <w:rPr>
                <w:rFonts w:ascii="Times New Roman" w:hAnsi="Times New Roman" w:cs="Times New Roman"/>
                <w:b/>
                <w:sz w:val="24"/>
                <w:szCs w:val="24"/>
              </w:rPr>
            </w:pPr>
            <w:r w:rsidRPr="00D0707B">
              <w:rPr>
                <w:rFonts w:ascii="Times New Roman" w:hAnsi="Times New Roman" w:cs="Times New Roman"/>
                <w:b/>
                <w:sz w:val="24"/>
                <w:szCs w:val="24"/>
              </w:rPr>
              <w:t>Symmetry</w:t>
            </w:r>
          </w:p>
        </w:tc>
        <w:tc>
          <w:tcPr>
            <w:tcW w:w="3124" w:type="dxa"/>
            <w:tcBorders>
              <w:top w:val="single" w:sz="4" w:space="0" w:color="auto"/>
              <w:bottom w:val="single" w:sz="4" w:space="0" w:color="auto"/>
            </w:tcBorders>
          </w:tcPr>
          <w:p w14:paraId="264F0A36" w14:textId="77777777" w:rsidR="00BE1A80" w:rsidRPr="00D0707B" w:rsidRDefault="00BE1A80" w:rsidP="00C26D29">
            <w:pPr>
              <w:spacing w:line="360" w:lineRule="auto"/>
              <w:jc w:val="center"/>
              <w:rPr>
                <w:rFonts w:ascii="Times New Roman" w:hAnsi="Times New Roman" w:cs="Times New Roman"/>
                <w:b/>
                <w:sz w:val="24"/>
                <w:szCs w:val="24"/>
              </w:rPr>
            </w:pPr>
            <w:r w:rsidRPr="00D0707B">
              <w:rPr>
                <w:rFonts w:ascii="Times New Roman" w:hAnsi="Times New Roman" w:cs="Times New Roman"/>
                <w:b/>
                <w:sz w:val="24"/>
                <w:szCs w:val="24"/>
              </w:rPr>
              <w:t>Assignment</w:t>
            </w:r>
          </w:p>
        </w:tc>
      </w:tr>
      <w:tr w:rsidR="00BE1A80" w14:paraId="7457AE53" w14:textId="77777777" w:rsidTr="006E42B9">
        <w:trPr>
          <w:jc w:val="center"/>
        </w:trPr>
        <w:tc>
          <w:tcPr>
            <w:tcW w:w="2264" w:type="dxa"/>
            <w:tcBorders>
              <w:top w:val="single" w:sz="4" w:space="0" w:color="auto"/>
            </w:tcBorders>
          </w:tcPr>
          <w:p w14:paraId="6C594194" w14:textId="77777777" w:rsidR="00BE1A80" w:rsidRDefault="00BE1A80" w:rsidP="00C26D29">
            <w:pPr>
              <w:spacing w:line="360" w:lineRule="auto"/>
              <w:jc w:val="center"/>
              <w:rPr>
                <w:rFonts w:ascii="Times New Roman" w:hAnsi="Times New Roman" w:cs="Times New Roman"/>
                <w:sz w:val="24"/>
                <w:szCs w:val="24"/>
              </w:rPr>
            </w:pPr>
            <w:r>
              <w:rPr>
                <w:rFonts w:ascii="Times New Roman" w:hAnsi="Times New Roman" w:cs="Times New Roman"/>
                <w:sz w:val="24"/>
                <w:szCs w:val="24"/>
              </w:rPr>
              <w:t>67.34</w:t>
            </w:r>
          </w:p>
        </w:tc>
        <w:tc>
          <w:tcPr>
            <w:tcW w:w="1842" w:type="dxa"/>
            <w:tcBorders>
              <w:top w:val="single" w:sz="4" w:space="0" w:color="auto"/>
            </w:tcBorders>
          </w:tcPr>
          <w:p w14:paraId="3735B730" w14:textId="77777777" w:rsidR="00BE1A80" w:rsidRDefault="00BE1A80" w:rsidP="00C26D29">
            <w:pPr>
              <w:spacing w:line="360" w:lineRule="auto"/>
              <w:jc w:val="center"/>
              <w:rPr>
                <w:rFonts w:ascii="Times New Roman" w:hAnsi="Times New Roman" w:cs="Times New Roman"/>
                <w:sz w:val="24"/>
                <w:szCs w:val="24"/>
              </w:rPr>
            </w:pPr>
            <w:r>
              <w:rPr>
                <w:rFonts w:ascii="Times New Roman" w:hAnsi="Times New Roman" w:cs="Times New Roman"/>
                <w:sz w:val="24"/>
                <w:szCs w:val="24"/>
              </w:rPr>
              <w:t>E</w:t>
            </w:r>
            <w:r w:rsidRPr="00AA32C0">
              <w:rPr>
                <w:rFonts w:ascii="Times New Roman" w:hAnsi="Times New Roman" w:cs="Times New Roman"/>
                <w:sz w:val="24"/>
                <w:szCs w:val="24"/>
                <w:vertAlign w:val="subscript"/>
              </w:rPr>
              <w:t>g</w:t>
            </w:r>
          </w:p>
        </w:tc>
        <w:tc>
          <w:tcPr>
            <w:tcW w:w="3124" w:type="dxa"/>
            <w:tcBorders>
              <w:top w:val="single" w:sz="4" w:space="0" w:color="auto"/>
            </w:tcBorders>
          </w:tcPr>
          <w:p w14:paraId="22C17FFC" w14:textId="77777777" w:rsidR="00BE1A80" w:rsidRDefault="00BE1A80" w:rsidP="00C26D29">
            <w:pPr>
              <w:spacing w:line="360" w:lineRule="auto"/>
              <w:jc w:val="both"/>
              <w:rPr>
                <w:rFonts w:ascii="Times New Roman" w:hAnsi="Times New Roman" w:cs="Times New Roman"/>
                <w:sz w:val="24"/>
                <w:szCs w:val="24"/>
              </w:rPr>
            </w:pPr>
            <w:r>
              <w:rPr>
                <w:rFonts w:ascii="Times New Roman" w:hAnsi="Times New Roman" w:cs="Times New Roman"/>
                <w:sz w:val="24"/>
                <w:szCs w:val="24"/>
              </w:rPr>
              <w:t>Rot. of TcO</w:t>
            </w:r>
            <w:r w:rsidRPr="00AA32C0">
              <w:rPr>
                <w:rFonts w:ascii="Times New Roman" w:hAnsi="Times New Roman" w:cs="Times New Roman"/>
                <w:sz w:val="24"/>
                <w:szCs w:val="24"/>
                <w:vertAlign w:val="subscript"/>
              </w:rPr>
              <w:t>4</w:t>
            </w:r>
          </w:p>
        </w:tc>
      </w:tr>
      <w:tr w:rsidR="00BE1A80" w14:paraId="211BDE7D" w14:textId="77777777" w:rsidTr="006E42B9">
        <w:trPr>
          <w:jc w:val="center"/>
        </w:trPr>
        <w:tc>
          <w:tcPr>
            <w:tcW w:w="2264" w:type="dxa"/>
          </w:tcPr>
          <w:p w14:paraId="62C7A6CD" w14:textId="77777777" w:rsidR="00BE1A80" w:rsidRDefault="00BE1A80" w:rsidP="00C26D29">
            <w:pPr>
              <w:spacing w:line="360" w:lineRule="auto"/>
              <w:jc w:val="center"/>
              <w:rPr>
                <w:rFonts w:ascii="Times New Roman" w:hAnsi="Times New Roman" w:cs="Times New Roman"/>
                <w:sz w:val="24"/>
                <w:szCs w:val="24"/>
              </w:rPr>
            </w:pPr>
            <w:r>
              <w:rPr>
                <w:rFonts w:ascii="Times New Roman" w:hAnsi="Times New Roman" w:cs="Times New Roman"/>
                <w:sz w:val="24"/>
                <w:szCs w:val="24"/>
              </w:rPr>
              <w:t>95.04</w:t>
            </w:r>
          </w:p>
        </w:tc>
        <w:tc>
          <w:tcPr>
            <w:tcW w:w="1842" w:type="dxa"/>
          </w:tcPr>
          <w:p w14:paraId="20570208" w14:textId="77777777" w:rsidR="00BE1A80" w:rsidRDefault="00BE1A80" w:rsidP="00C26D29">
            <w:pPr>
              <w:spacing w:line="360" w:lineRule="auto"/>
              <w:jc w:val="center"/>
              <w:rPr>
                <w:rFonts w:ascii="Times New Roman" w:hAnsi="Times New Roman" w:cs="Times New Roman"/>
                <w:sz w:val="24"/>
                <w:szCs w:val="24"/>
              </w:rPr>
            </w:pPr>
            <w:r>
              <w:rPr>
                <w:rFonts w:ascii="Times New Roman" w:hAnsi="Times New Roman" w:cs="Times New Roman"/>
                <w:sz w:val="24"/>
                <w:szCs w:val="24"/>
              </w:rPr>
              <w:t>B</w:t>
            </w:r>
            <w:r w:rsidRPr="00AA32C0">
              <w:rPr>
                <w:rFonts w:ascii="Times New Roman" w:hAnsi="Times New Roman" w:cs="Times New Roman"/>
                <w:sz w:val="24"/>
                <w:szCs w:val="24"/>
                <w:vertAlign w:val="subscript"/>
              </w:rPr>
              <w:t>g</w:t>
            </w:r>
          </w:p>
        </w:tc>
        <w:tc>
          <w:tcPr>
            <w:tcW w:w="3124" w:type="dxa"/>
          </w:tcPr>
          <w:p w14:paraId="44F5B48A" w14:textId="77777777" w:rsidR="00BE1A80" w:rsidRDefault="00BE1A80" w:rsidP="00C26D29">
            <w:pPr>
              <w:spacing w:line="360" w:lineRule="auto"/>
              <w:jc w:val="both"/>
              <w:rPr>
                <w:rFonts w:ascii="Times New Roman" w:hAnsi="Times New Roman" w:cs="Times New Roman"/>
                <w:sz w:val="24"/>
                <w:szCs w:val="24"/>
              </w:rPr>
            </w:pPr>
            <w:r>
              <w:rPr>
                <w:rFonts w:ascii="Times New Roman" w:hAnsi="Times New Roman" w:cs="Times New Roman"/>
                <w:sz w:val="24"/>
                <w:szCs w:val="24"/>
              </w:rPr>
              <w:t>Rot. of TcO</w:t>
            </w:r>
            <w:r w:rsidRPr="00AA32C0">
              <w:rPr>
                <w:rFonts w:ascii="Times New Roman" w:hAnsi="Times New Roman" w:cs="Times New Roman"/>
                <w:sz w:val="24"/>
                <w:szCs w:val="24"/>
                <w:vertAlign w:val="subscript"/>
              </w:rPr>
              <w:t>4</w:t>
            </w:r>
          </w:p>
        </w:tc>
      </w:tr>
      <w:tr w:rsidR="00BE1A80" w14:paraId="0E99B591" w14:textId="77777777" w:rsidTr="006E42B9">
        <w:trPr>
          <w:jc w:val="center"/>
        </w:trPr>
        <w:tc>
          <w:tcPr>
            <w:tcW w:w="2264" w:type="dxa"/>
          </w:tcPr>
          <w:p w14:paraId="45331868" w14:textId="77777777" w:rsidR="00BE1A80" w:rsidRDefault="00BE1A80" w:rsidP="00C26D29">
            <w:pPr>
              <w:spacing w:line="360" w:lineRule="auto"/>
              <w:jc w:val="center"/>
              <w:rPr>
                <w:rFonts w:ascii="Times New Roman" w:hAnsi="Times New Roman" w:cs="Times New Roman"/>
                <w:sz w:val="24"/>
                <w:szCs w:val="24"/>
              </w:rPr>
            </w:pPr>
            <w:r>
              <w:rPr>
                <w:rFonts w:ascii="Times New Roman" w:hAnsi="Times New Roman" w:cs="Times New Roman"/>
                <w:sz w:val="24"/>
                <w:szCs w:val="24"/>
              </w:rPr>
              <w:t>316.76</w:t>
            </w:r>
          </w:p>
        </w:tc>
        <w:tc>
          <w:tcPr>
            <w:tcW w:w="1842" w:type="dxa"/>
          </w:tcPr>
          <w:p w14:paraId="543C340F" w14:textId="77777777" w:rsidR="00BE1A80" w:rsidRDefault="00BE1A80" w:rsidP="00C26D29">
            <w:pPr>
              <w:spacing w:line="360" w:lineRule="auto"/>
              <w:jc w:val="center"/>
              <w:rPr>
                <w:rFonts w:ascii="Times New Roman" w:hAnsi="Times New Roman" w:cs="Times New Roman"/>
                <w:sz w:val="24"/>
                <w:szCs w:val="24"/>
              </w:rPr>
            </w:pPr>
            <w:r>
              <w:rPr>
                <w:rFonts w:ascii="Times New Roman" w:hAnsi="Times New Roman" w:cs="Times New Roman"/>
                <w:sz w:val="24"/>
                <w:szCs w:val="24"/>
              </w:rPr>
              <w:t>A</w:t>
            </w:r>
            <w:r w:rsidRPr="00AA32C0">
              <w:rPr>
                <w:rFonts w:ascii="Times New Roman" w:hAnsi="Times New Roman" w:cs="Times New Roman"/>
                <w:sz w:val="24"/>
                <w:szCs w:val="24"/>
                <w:vertAlign w:val="subscript"/>
              </w:rPr>
              <w:t>g</w:t>
            </w:r>
          </w:p>
        </w:tc>
        <w:tc>
          <w:tcPr>
            <w:tcW w:w="3124" w:type="dxa"/>
          </w:tcPr>
          <w:p w14:paraId="24A5FAF8" w14:textId="77777777" w:rsidR="00BE1A80" w:rsidRDefault="00BE1A80" w:rsidP="00C26D29">
            <w:pPr>
              <w:spacing w:line="360" w:lineRule="auto"/>
              <w:jc w:val="both"/>
              <w:rPr>
                <w:rFonts w:ascii="Times New Roman" w:hAnsi="Times New Roman" w:cs="Times New Roman"/>
                <w:sz w:val="24"/>
                <w:szCs w:val="24"/>
              </w:rPr>
            </w:pPr>
            <w:r>
              <w:rPr>
                <w:rFonts w:ascii="Times New Roman" w:hAnsi="Times New Roman" w:cs="Times New Roman"/>
                <w:sz w:val="24"/>
                <w:szCs w:val="24"/>
              </w:rPr>
              <w:t>Sci. in TcO</w:t>
            </w:r>
            <w:r w:rsidRPr="00AA32C0">
              <w:rPr>
                <w:rFonts w:ascii="Times New Roman" w:hAnsi="Times New Roman" w:cs="Times New Roman"/>
                <w:sz w:val="24"/>
                <w:szCs w:val="24"/>
                <w:vertAlign w:val="subscript"/>
              </w:rPr>
              <w:t>4</w:t>
            </w:r>
          </w:p>
        </w:tc>
      </w:tr>
      <w:tr w:rsidR="00BE1A80" w14:paraId="5EF3B069" w14:textId="77777777" w:rsidTr="006E42B9">
        <w:trPr>
          <w:jc w:val="center"/>
        </w:trPr>
        <w:tc>
          <w:tcPr>
            <w:tcW w:w="2264" w:type="dxa"/>
          </w:tcPr>
          <w:p w14:paraId="39D73B5E" w14:textId="77777777" w:rsidR="00BE1A80" w:rsidRDefault="00BE1A80" w:rsidP="00C26D29">
            <w:pPr>
              <w:spacing w:line="360" w:lineRule="auto"/>
              <w:jc w:val="center"/>
              <w:rPr>
                <w:rFonts w:ascii="Times New Roman" w:hAnsi="Times New Roman" w:cs="Times New Roman"/>
                <w:sz w:val="24"/>
                <w:szCs w:val="24"/>
              </w:rPr>
            </w:pPr>
            <w:r>
              <w:rPr>
                <w:rFonts w:ascii="Times New Roman" w:hAnsi="Times New Roman" w:cs="Times New Roman"/>
                <w:sz w:val="24"/>
                <w:szCs w:val="24"/>
              </w:rPr>
              <w:t>334.27</w:t>
            </w:r>
          </w:p>
        </w:tc>
        <w:tc>
          <w:tcPr>
            <w:tcW w:w="1842" w:type="dxa"/>
          </w:tcPr>
          <w:p w14:paraId="110D47C3" w14:textId="77777777" w:rsidR="00BE1A80" w:rsidRDefault="00BE1A80" w:rsidP="00C26D29">
            <w:pPr>
              <w:spacing w:line="360" w:lineRule="auto"/>
              <w:jc w:val="center"/>
              <w:rPr>
                <w:rFonts w:ascii="Times New Roman" w:hAnsi="Times New Roman" w:cs="Times New Roman"/>
                <w:sz w:val="24"/>
                <w:szCs w:val="24"/>
              </w:rPr>
            </w:pPr>
            <w:r>
              <w:rPr>
                <w:rFonts w:ascii="Times New Roman" w:hAnsi="Times New Roman" w:cs="Times New Roman"/>
                <w:sz w:val="24"/>
                <w:szCs w:val="24"/>
              </w:rPr>
              <w:t>E</w:t>
            </w:r>
            <w:r w:rsidRPr="00AA32C0">
              <w:rPr>
                <w:rFonts w:ascii="Times New Roman" w:hAnsi="Times New Roman" w:cs="Times New Roman"/>
                <w:sz w:val="24"/>
                <w:szCs w:val="24"/>
                <w:vertAlign w:val="subscript"/>
              </w:rPr>
              <w:t>g</w:t>
            </w:r>
          </w:p>
        </w:tc>
        <w:tc>
          <w:tcPr>
            <w:tcW w:w="3124" w:type="dxa"/>
          </w:tcPr>
          <w:p w14:paraId="4586C9AC" w14:textId="77777777" w:rsidR="00BE1A80" w:rsidRDefault="00BE1A80" w:rsidP="00C26D29">
            <w:pPr>
              <w:spacing w:line="360" w:lineRule="auto"/>
              <w:jc w:val="both"/>
              <w:rPr>
                <w:rFonts w:ascii="Times New Roman" w:hAnsi="Times New Roman" w:cs="Times New Roman"/>
                <w:sz w:val="24"/>
                <w:szCs w:val="24"/>
              </w:rPr>
            </w:pPr>
            <w:r>
              <w:rPr>
                <w:rFonts w:ascii="Times New Roman" w:hAnsi="Times New Roman" w:cs="Times New Roman"/>
                <w:sz w:val="24"/>
                <w:szCs w:val="24"/>
              </w:rPr>
              <w:t>Wagg., Rock. in TcO</w:t>
            </w:r>
            <w:r w:rsidRPr="00AA32C0">
              <w:rPr>
                <w:rFonts w:ascii="Times New Roman" w:hAnsi="Times New Roman" w:cs="Times New Roman"/>
                <w:sz w:val="24"/>
                <w:szCs w:val="24"/>
                <w:vertAlign w:val="subscript"/>
              </w:rPr>
              <w:t>4</w:t>
            </w:r>
          </w:p>
        </w:tc>
      </w:tr>
      <w:tr w:rsidR="00BE1A80" w14:paraId="1D9F2F13" w14:textId="77777777" w:rsidTr="006E42B9">
        <w:trPr>
          <w:jc w:val="center"/>
        </w:trPr>
        <w:tc>
          <w:tcPr>
            <w:tcW w:w="2264" w:type="dxa"/>
          </w:tcPr>
          <w:p w14:paraId="45C39FAF" w14:textId="77777777" w:rsidR="00BE1A80" w:rsidRDefault="00BE1A80" w:rsidP="00C26D29">
            <w:pPr>
              <w:spacing w:line="360" w:lineRule="auto"/>
              <w:jc w:val="center"/>
              <w:rPr>
                <w:rFonts w:ascii="Times New Roman" w:hAnsi="Times New Roman" w:cs="Times New Roman"/>
                <w:sz w:val="24"/>
                <w:szCs w:val="24"/>
              </w:rPr>
            </w:pPr>
            <w:r>
              <w:rPr>
                <w:rFonts w:ascii="Times New Roman" w:hAnsi="Times New Roman" w:cs="Times New Roman"/>
                <w:sz w:val="24"/>
                <w:szCs w:val="24"/>
              </w:rPr>
              <w:t>344.82</w:t>
            </w:r>
          </w:p>
        </w:tc>
        <w:tc>
          <w:tcPr>
            <w:tcW w:w="1842" w:type="dxa"/>
          </w:tcPr>
          <w:p w14:paraId="7CD1D9DB" w14:textId="77777777" w:rsidR="00BE1A80" w:rsidRDefault="00BE1A80" w:rsidP="00C26D29">
            <w:pPr>
              <w:spacing w:line="360" w:lineRule="auto"/>
              <w:jc w:val="center"/>
              <w:rPr>
                <w:rFonts w:ascii="Times New Roman" w:hAnsi="Times New Roman" w:cs="Times New Roman"/>
                <w:sz w:val="24"/>
                <w:szCs w:val="24"/>
              </w:rPr>
            </w:pPr>
            <w:r>
              <w:rPr>
                <w:rFonts w:ascii="Times New Roman" w:hAnsi="Times New Roman" w:cs="Times New Roman"/>
                <w:sz w:val="24"/>
                <w:szCs w:val="24"/>
              </w:rPr>
              <w:t>B</w:t>
            </w:r>
            <w:r w:rsidRPr="00AA32C0">
              <w:rPr>
                <w:rFonts w:ascii="Times New Roman" w:hAnsi="Times New Roman" w:cs="Times New Roman"/>
                <w:sz w:val="24"/>
                <w:szCs w:val="24"/>
                <w:vertAlign w:val="subscript"/>
              </w:rPr>
              <w:t>g</w:t>
            </w:r>
          </w:p>
        </w:tc>
        <w:tc>
          <w:tcPr>
            <w:tcW w:w="3124" w:type="dxa"/>
          </w:tcPr>
          <w:p w14:paraId="199FAC3C" w14:textId="77777777" w:rsidR="00BE1A80" w:rsidRDefault="00BE1A80" w:rsidP="00C26D29">
            <w:pPr>
              <w:spacing w:line="360" w:lineRule="auto"/>
              <w:jc w:val="both"/>
              <w:rPr>
                <w:rFonts w:ascii="Times New Roman" w:hAnsi="Times New Roman" w:cs="Times New Roman"/>
                <w:sz w:val="24"/>
                <w:szCs w:val="24"/>
              </w:rPr>
            </w:pPr>
            <w:r>
              <w:rPr>
                <w:rFonts w:ascii="Times New Roman" w:hAnsi="Times New Roman" w:cs="Times New Roman"/>
                <w:sz w:val="24"/>
                <w:szCs w:val="24"/>
              </w:rPr>
              <w:t>Sci., Twist. in TcO</w:t>
            </w:r>
            <w:r w:rsidRPr="00AA32C0">
              <w:rPr>
                <w:rFonts w:ascii="Times New Roman" w:hAnsi="Times New Roman" w:cs="Times New Roman"/>
                <w:sz w:val="24"/>
                <w:szCs w:val="24"/>
                <w:vertAlign w:val="subscript"/>
              </w:rPr>
              <w:t>4</w:t>
            </w:r>
          </w:p>
        </w:tc>
      </w:tr>
      <w:tr w:rsidR="00BE1A80" w14:paraId="55567F92" w14:textId="77777777" w:rsidTr="006E42B9">
        <w:trPr>
          <w:jc w:val="center"/>
        </w:trPr>
        <w:tc>
          <w:tcPr>
            <w:tcW w:w="2264" w:type="dxa"/>
          </w:tcPr>
          <w:p w14:paraId="7EDDA4FF" w14:textId="77777777" w:rsidR="00BE1A80" w:rsidRDefault="00BE1A80" w:rsidP="00C26D29">
            <w:pPr>
              <w:spacing w:line="360" w:lineRule="auto"/>
              <w:jc w:val="center"/>
              <w:rPr>
                <w:rFonts w:ascii="Times New Roman" w:hAnsi="Times New Roman" w:cs="Times New Roman"/>
                <w:sz w:val="24"/>
                <w:szCs w:val="24"/>
              </w:rPr>
            </w:pPr>
            <w:r>
              <w:rPr>
                <w:rFonts w:ascii="Times New Roman" w:hAnsi="Times New Roman" w:cs="Times New Roman"/>
                <w:sz w:val="24"/>
                <w:szCs w:val="24"/>
              </w:rPr>
              <w:t>864.88</w:t>
            </w:r>
          </w:p>
        </w:tc>
        <w:tc>
          <w:tcPr>
            <w:tcW w:w="1842" w:type="dxa"/>
          </w:tcPr>
          <w:p w14:paraId="180FB437" w14:textId="77777777" w:rsidR="00BE1A80" w:rsidRDefault="00BE1A80" w:rsidP="00C26D29">
            <w:pPr>
              <w:spacing w:line="360" w:lineRule="auto"/>
              <w:jc w:val="center"/>
              <w:rPr>
                <w:rFonts w:ascii="Times New Roman" w:hAnsi="Times New Roman" w:cs="Times New Roman"/>
                <w:sz w:val="24"/>
                <w:szCs w:val="24"/>
              </w:rPr>
            </w:pPr>
            <w:r>
              <w:rPr>
                <w:rFonts w:ascii="Times New Roman" w:hAnsi="Times New Roman" w:cs="Times New Roman"/>
                <w:sz w:val="24"/>
                <w:szCs w:val="24"/>
              </w:rPr>
              <w:t>E</w:t>
            </w:r>
            <w:r w:rsidRPr="00AA32C0">
              <w:rPr>
                <w:rFonts w:ascii="Times New Roman" w:hAnsi="Times New Roman" w:cs="Times New Roman"/>
                <w:sz w:val="24"/>
                <w:szCs w:val="24"/>
                <w:vertAlign w:val="subscript"/>
              </w:rPr>
              <w:t>g</w:t>
            </w:r>
          </w:p>
        </w:tc>
        <w:tc>
          <w:tcPr>
            <w:tcW w:w="3124" w:type="dxa"/>
          </w:tcPr>
          <w:p w14:paraId="2D8152E9" w14:textId="77777777" w:rsidR="00BE1A80" w:rsidRDefault="00BE1A80" w:rsidP="00C26D29">
            <w:pPr>
              <w:spacing w:line="360" w:lineRule="auto"/>
              <w:jc w:val="both"/>
              <w:rPr>
                <w:rFonts w:ascii="Times New Roman" w:hAnsi="Times New Roman" w:cs="Times New Roman"/>
                <w:sz w:val="24"/>
                <w:szCs w:val="24"/>
              </w:rPr>
            </w:pPr>
            <w:r>
              <w:rPr>
                <w:rFonts w:ascii="Times New Roman" w:hAnsi="Times New Roman" w:cs="Times New Roman"/>
                <w:sz w:val="24"/>
                <w:szCs w:val="24"/>
              </w:rPr>
              <w:t>Asym. Str. of Tc-O bonds</w:t>
            </w:r>
          </w:p>
        </w:tc>
      </w:tr>
      <w:tr w:rsidR="00BE1A80" w14:paraId="25D0DB3F" w14:textId="77777777" w:rsidTr="006E42B9">
        <w:trPr>
          <w:jc w:val="center"/>
        </w:trPr>
        <w:tc>
          <w:tcPr>
            <w:tcW w:w="2264" w:type="dxa"/>
          </w:tcPr>
          <w:p w14:paraId="7268F674" w14:textId="77777777" w:rsidR="00BE1A80" w:rsidRDefault="00BE1A80" w:rsidP="00C26D29">
            <w:pPr>
              <w:spacing w:line="360" w:lineRule="auto"/>
              <w:jc w:val="center"/>
              <w:rPr>
                <w:rFonts w:ascii="Times New Roman" w:hAnsi="Times New Roman" w:cs="Times New Roman"/>
                <w:sz w:val="24"/>
                <w:szCs w:val="24"/>
              </w:rPr>
            </w:pPr>
            <w:r>
              <w:rPr>
                <w:rFonts w:ascii="Times New Roman" w:hAnsi="Times New Roman" w:cs="Times New Roman"/>
                <w:sz w:val="24"/>
                <w:szCs w:val="24"/>
              </w:rPr>
              <w:t>886.28</w:t>
            </w:r>
          </w:p>
        </w:tc>
        <w:tc>
          <w:tcPr>
            <w:tcW w:w="1842" w:type="dxa"/>
          </w:tcPr>
          <w:p w14:paraId="3FC3A7FE" w14:textId="77777777" w:rsidR="00BE1A80" w:rsidRDefault="00BE1A80" w:rsidP="00C26D29">
            <w:pPr>
              <w:spacing w:line="360" w:lineRule="auto"/>
              <w:jc w:val="center"/>
              <w:rPr>
                <w:rFonts w:ascii="Times New Roman" w:hAnsi="Times New Roman" w:cs="Times New Roman"/>
                <w:sz w:val="24"/>
                <w:szCs w:val="24"/>
              </w:rPr>
            </w:pPr>
            <w:r>
              <w:rPr>
                <w:rFonts w:ascii="Times New Roman" w:hAnsi="Times New Roman" w:cs="Times New Roman"/>
                <w:sz w:val="24"/>
                <w:szCs w:val="24"/>
              </w:rPr>
              <w:t>B</w:t>
            </w:r>
            <w:r w:rsidRPr="00AA32C0">
              <w:rPr>
                <w:rFonts w:ascii="Times New Roman" w:hAnsi="Times New Roman" w:cs="Times New Roman"/>
                <w:sz w:val="24"/>
                <w:szCs w:val="24"/>
                <w:vertAlign w:val="subscript"/>
              </w:rPr>
              <w:t>g</w:t>
            </w:r>
          </w:p>
        </w:tc>
        <w:tc>
          <w:tcPr>
            <w:tcW w:w="3124" w:type="dxa"/>
          </w:tcPr>
          <w:p w14:paraId="50108BD2" w14:textId="77777777" w:rsidR="00BE1A80" w:rsidRDefault="00BE1A80" w:rsidP="00C26D29">
            <w:pPr>
              <w:spacing w:line="360" w:lineRule="auto"/>
              <w:jc w:val="both"/>
              <w:rPr>
                <w:rFonts w:ascii="Times New Roman" w:hAnsi="Times New Roman" w:cs="Times New Roman"/>
                <w:sz w:val="24"/>
                <w:szCs w:val="24"/>
              </w:rPr>
            </w:pPr>
            <w:r>
              <w:rPr>
                <w:rFonts w:ascii="Times New Roman" w:hAnsi="Times New Roman" w:cs="Times New Roman"/>
                <w:sz w:val="24"/>
                <w:szCs w:val="24"/>
              </w:rPr>
              <w:t>Asym. Str. of Tc-O bonds</w:t>
            </w:r>
          </w:p>
        </w:tc>
      </w:tr>
      <w:tr w:rsidR="00BE1A80" w14:paraId="4F64E474" w14:textId="77777777" w:rsidTr="006E42B9">
        <w:trPr>
          <w:jc w:val="center"/>
        </w:trPr>
        <w:tc>
          <w:tcPr>
            <w:tcW w:w="2264" w:type="dxa"/>
            <w:tcBorders>
              <w:bottom w:val="single" w:sz="4" w:space="0" w:color="auto"/>
            </w:tcBorders>
          </w:tcPr>
          <w:p w14:paraId="5877BF33" w14:textId="77777777" w:rsidR="00BE1A80" w:rsidRDefault="00BE1A80" w:rsidP="00C26D29">
            <w:pPr>
              <w:spacing w:line="360" w:lineRule="auto"/>
              <w:jc w:val="center"/>
              <w:rPr>
                <w:rFonts w:ascii="Times New Roman" w:hAnsi="Times New Roman" w:cs="Times New Roman"/>
                <w:sz w:val="24"/>
                <w:szCs w:val="24"/>
              </w:rPr>
            </w:pPr>
            <w:r>
              <w:rPr>
                <w:rFonts w:ascii="Times New Roman" w:hAnsi="Times New Roman" w:cs="Times New Roman"/>
                <w:sz w:val="24"/>
                <w:szCs w:val="24"/>
              </w:rPr>
              <w:t>900.05</w:t>
            </w:r>
          </w:p>
        </w:tc>
        <w:tc>
          <w:tcPr>
            <w:tcW w:w="1842" w:type="dxa"/>
            <w:tcBorders>
              <w:bottom w:val="single" w:sz="4" w:space="0" w:color="auto"/>
            </w:tcBorders>
          </w:tcPr>
          <w:p w14:paraId="04EEF407" w14:textId="77777777" w:rsidR="00BE1A80" w:rsidRDefault="00BE1A80" w:rsidP="00C26D29">
            <w:pPr>
              <w:spacing w:line="360" w:lineRule="auto"/>
              <w:jc w:val="center"/>
              <w:rPr>
                <w:rFonts w:ascii="Times New Roman" w:hAnsi="Times New Roman" w:cs="Times New Roman"/>
                <w:sz w:val="24"/>
                <w:szCs w:val="24"/>
              </w:rPr>
            </w:pPr>
            <w:r>
              <w:rPr>
                <w:rFonts w:ascii="Times New Roman" w:hAnsi="Times New Roman" w:cs="Times New Roman"/>
                <w:sz w:val="24"/>
                <w:szCs w:val="24"/>
              </w:rPr>
              <w:t>A</w:t>
            </w:r>
            <w:r w:rsidRPr="00AA32C0">
              <w:rPr>
                <w:rFonts w:ascii="Times New Roman" w:hAnsi="Times New Roman" w:cs="Times New Roman"/>
                <w:sz w:val="24"/>
                <w:szCs w:val="24"/>
                <w:vertAlign w:val="subscript"/>
              </w:rPr>
              <w:t>g</w:t>
            </w:r>
          </w:p>
        </w:tc>
        <w:tc>
          <w:tcPr>
            <w:tcW w:w="3124" w:type="dxa"/>
            <w:tcBorders>
              <w:bottom w:val="single" w:sz="4" w:space="0" w:color="auto"/>
            </w:tcBorders>
          </w:tcPr>
          <w:p w14:paraId="5E14649E" w14:textId="77777777" w:rsidR="00BE1A80" w:rsidRDefault="00BE1A80" w:rsidP="00C26D29">
            <w:pPr>
              <w:spacing w:line="360" w:lineRule="auto"/>
              <w:jc w:val="both"/>
              <w:rPr>
                <w:rFonts w:ascii="Times New Roman" w:hAnsi="Times New Roman" w:cs="Times New Roman"/>
                <w:sz w:val="24"/>
                <w:szCs w:val="24"/>
              </w:rPr>
            </w:pPr>
            <w:r>
              <w:rPr>
                <w:rFonts w:ascii="Times New Roman" w:hAnsi="Times New Roman" w:cs="Times New Roman"/>
                <w:sz w:val="24"/>
                <w:szCs w:val="24"/>
              </w:rPr>
              <w:t>Sym. Str of all bonds in TcO</w:t>
            </w:r>
            <w:r w:rsidRPr="00D0707B">
              <w:rPr>
                <w:rFonts w:ascii="Times New Roman" w:hAnsi="Times New Roman" w:cs="Times New Roman"/>
                <w:sz w:val="24"/>
                <w:szCs w:val="24"/>
                <w:vertAlign w:val="subscript"/>
              </w:rPr>
              <w:t>4</w:t>
            </w:r>
          </w:p>
        </w:tc>
      </w:tr>
    </w:tbl>
    <w:p w14:paraId="6C9D14EC" w14:textId="77777777" w:rsidR="00BE1A80" w:rsidRPr="00F6788E" w:rsidRDefault="00BE1A80" w:rsidP="00C26D29">
      <w:pPr>
        <w:spacing w:line="360" w:lineRule="auto"/>
        <w:jc w:val="center"/>
        <w:rPr>
          <w:rFonts w:ascii="Times New Roman" w:hAnsi="Times New Roman" w:cs="Times New Roman"/>
          <w:sz w:val="24"/>
          <w:szCs w:val="24"/>
        </w:rPr>
      </w:pPr>
    </w:p>
    <w:p w14:paraId="15B6D7E8" w14:textId="77777777" w:rsidR="00B568FF" w:rsidRDefault="00B568FF" w:rsidP="00C26D29">
      <w:pPr>
        <w:spacing w:line="360" w:lineRule="auto"/>
        <w:jc w:val="both"/>
        <w:rPr>
          <w:rFonts w:ascii="Times New Roman" w:hAnsi="Times New Roman" w:cs="Times New Roman"/>
          <w:b/>
          <w:sz w:val="24"/>
          <w:szCs w:val="24"/>
        </w:rPr>
      </w:pPr>
    </w:p>
    <w:p w14:paraId="34518CCD" w14:textId="7F8B1523" w:rsidR="00661902" w:rsidRPr="00B568FF" w:rsidRDefault="00B568FF" w:rsidP="00C26D29">
      <w:pPr>
        <w:spacing w:line="360" w:lineRule="auto"/>
        <w:jc w:val="both"/>
        <w:rPr>
          <w:rFonts w:ascii="Times New Roman" w:hAnsi="Times New Roman" w:cs="Times New Roman"/>
          <w:b/>
          <w:sz w:val="24"/>
          <w:szCs w:val="24"/>
        </w:rPr>
      </w:pPr>
      <w:bookmarkStart w:id="0" w:name="_GoBack"/>
      <w:bookmarkEnd w:id="0"/>
      <w:r w:rsidRPr="00B568FF">
        <w:rPr>
          <w:rFonts w:ascii="Times New Roman" w:hAnsi="Times New Roman" w:cs="Times New Roman"/>
          <w:b/>
          <w:sz w:val="24"/>
          <w:szCs w:val="24"/>
        </w:rPr>
        <w:t>References</w:t>
      </w:r>
    </w:p>
    <w:p w14:paraId="0FAF9BA4" w14:textId="3E1C5458" w:rsidR="00B568FF" w:rsidRPr="00B568FF" w:rsidRDefault="00B568FF" w:rsidP="00B568FF">
      <w:pPr>
        <w:pStyle w:val="ListParagraph"/>
        <w:numPr>
          <w:ilvl w:val="0"/>
          <w:numId w:val="6"/>
        </w:numPr>
        <w:spacing w:line="360" w:lineRule="auto"/>
        <w:jc w:val="both"/>
        <w:rPr>
          <w:rFonts w:ascii="Times New Roman" w:hAnsi="Times New Roman" w:cs="Times New Roman"/>
          <w:sz w:val="24"/>
          <w:szCs w:val="24"/>
        </w:rPr>
      </w:pPr>
      <w:r w:rsidRPr="00B568FF">
        <w:rPr>
          <w:rFonts w:ascii="Times New Roman" w:hAnsi="Times New Roman" w:cs="Times New Roman"/>
          <w:noProof/>
          <w:sz w:val="24"/>
          <w:szCs w:val="24"/>
        </w:rPr>
        <w:t>Mondal S, Vaitheeswaran G, Kennedy BJ, et al (2020) Crystal structure and phase transition of TlReO</w:t>
      </w:r>
      <w:r w:rsidRPr="00B568FF">
        <w:rPr>
          <w:rFonts w:ascii="Times New Roman" w:hAnsi="Times New Roman" w:cs="Times New Roman"/>
          <w:noProof/>
          <w:sz w:val="24"/>
          <w:szCs w:val="24"/>
          <w:vertAlign w:val="subscript"/>
        </w:rPr>
        <w:t>4</w:t>
      </w:r>
      <w:r w:rsidRPr="00B568FF">
        <w:rPr>
          <w:rFonts w:ascii="Times New Roman" w:hAnsi="Times New Roman" w:cs="Times New Roman"/>
          <w:noProof/>
          <w:sz w:val="24"/>
          <w:szCs w:val="24"/>
        </w:rPr>
        <w:t>: a combined experimental and theoretical study. J Phys Condens Matter 33:. https://doi.org/10.1088/1361-648X/abb651</w:t>
      </w:r>
    </w:p>
    <w:sectPr w:rsidR="00B568FF" w:rsidRPr="00B568FF" w:rsidSect="00B568FF">
      <w:footerReference w:type="default" r:id="rId11"/>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E3DB1" w16cex:dateUtc="2020-05-19T08:12:00Z"/>
  <w16cex:commentExtensible w16cex:durableId="226E1D89" w16cex:dateUtc="2020-05-19T05:55:00Z"/>
  <w16cex:commentExtensible w16cex:durableId="226E3674" w16cex:dateUtc="2020-05-19T07:41:00Z"/>
  <w16cex:commentExtensible w16cex:durableId="226E3CFA" w16cex:dateUtc="2020-05-19T08:09:00Z"/>
  <w16cex:commentExtensible w16cex:durableId="226E352A" w16cex:dateUtc="2020-05-19T07:36:00Z"/>
  <w16cex:commentExtensible w16cex:durableId="226E3B85" w16cex:dateUtc="2020-05-19T08: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7159377" w16cid:durableId="226E3DB1"/>
  <w16cid:commentId w16cid:paraId="6CCDDDE3" w16cid:durableId="226E1D89"/>
  <w16cid:commentId w16cid:paraId="3DF2F3E9" w16cid:durableId="226E3674"/>
  <w16cid:commentId w16cid:paraId="553C55DA" w16cid:durableId="226E3CFA"/>
  <w16cid:commentId w16cid:paraId="3CE9CCAC" w16cid:durableId="226E352A"/>
  <w16cid:commentId w16cid:paraId="71B5A11C" w16cid:durableId="226E3B8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C44579" w14:textId="77777777" w:rsidR="005F6E9E" w:rsidRDefault="005F6E9E" w:rsidP="00D44239">
      <w:pPr>
        <w:spacing w:after="0" w:line="240" w:lineRule="auto"/>
      </w:pPr>
      <w:r>
        <w:separator/>
      </w:r>
    </w:p>
  </w:endnote>
  <w:endnote w:type="continuationSeparator" w:id="0">
    <w:p w14:paraId="4D1F094B" w14:textId="77777777" w:rsidR="005F6E9E" w:rsidRDefault="005F6E9E" w:rsidP="00D44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3022271"/>
      <w:docPartObj>
        <w:docPartGallery w:val="Page Numbers (Bottom of Page)"/>
        <w:docPartUnique/>
      </w:docPartObj>
    </w:sdtPr>
    <w:sdtEndPr>
      <w:rPr>
        <w:noProof/>
      </w:rPr>
    </w:sdtEndPr>
    <w:sdtContent>
      <w:p w14:paraId="4B9B252B" w14:textId="4F1B2BC5" w:rsidR="005479DD" w:rsidRDefault="005479DD">
        <w:pPr>
          <w:pStyle w:val="Footer"/>
          <w:jc w:val="right"/>
        </w:pPr>
        <w:r>
          <w:fldChar w:fldCharType="begin"/>
        </w:r>
        <w:r>
          <w:instrText xml:space="preserve"> PAGE   \* MERGEFORMAT </w:instrText>
        </w:r>
        <w:r>
          <w:fldChar w:fldCharType="separate"/>
        </w:r>
        <w:r w:rsidR="00B568FF">
          <w:rPr>
            <w:noProof/>
          </w:rPr>
          <w:t>1</w:t>
        </w:r>
        <w:r>
          <w:rPr>
            <w:noProof/>
          </w:rPr>
          <w:fldChar w:fldCharType="end"/>
        </w:r>
      </w:p>
    </w:sdtContent>
  </w:sdt>
  <w:p w14:paraId="45E6D2B7" w14:textId="77777777" w:rsidR="005479DD" w:rsidRDefault="005479D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660F65" w14:textId="77777777" w:rsidR="005F6E9E" w:rsidRDefault="005F6E9E" w:rsidP="00D44239">
      <w:pPr>
        <w:spacing w:after="0" w:line="240" w:lineRule="auto"/>
      </w:pPr>
      <w:r>
        <w:separator/>
      </w:r>
    </w:p>
  </w:footnote>
  <w:footnote w:type="continuationSeparator" w:id="0">
    <w:p w14:paraId="0D7791A6" w14:textId="77777777" w:rsidR="005F6E9E" w:rsidRDefault="005F6E9E" w:rsidP="00D442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A437B"/>
    <w:multiLevelType w:val="hybridMultilevel"/>
    <w:tmpl w:val="351267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756BF5"/>
    <w:multiLevelType w:val="multilevel"/>
    <w:tmpl w:val="A3B62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811CF1"/>
    <w:multiLevelType w:val="hybridMultilevel"/>
    <w:tmpl w:val="11CAC3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2E044C"/>
    <w:multiLevelType w:val="hybridMultilevel"/>
    <w:tmpl w:val="AB148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FDB2A8C"/>
    <w:multiLevelType w:val="hybridMultilevel"/>
    <w:tmpl w:val="06867B3A"/>
    <w:lvl w:ilvl="0" w:tplc="383E1CD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77682903"/>
    <w:multiLevelType w:val="hybridMultilevel"/>
    <w:tmpl w:val="53C4051A"/>
    <w:lvl w:ilvl="0" w:tplc="BC047A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072"/>
    <w:rsid w:val="000053F6"/>
    <w:rsid w:val="00006870"/>
    <w:rsid w:val="00017867"/>
    <w:rsid w:val="00041CEE"/>
    <w:rsid w:val="00050BAD"/>
    <w:rsid w:val="0005120F"/>
    <w:rsid w:val="0006496C"/>
    <w:rsid w:val="00066CA5"/>
    <w:rsid w:val="000762F9"/>
    <w:rsid w:val="00085DEC"/>
    <w:rsid w:val="00086480"/>
    <w:rsid w:val="00087FDD"/>
    <w:rsid w:val="00094767"/>
    <w:rsid w:val="000A3B05"/>
    <w:rsid w:val="000B05D0"/>
    <w:rsid w:val="000B2572"/>
    <w:rsid w:val="000B5243"/>
    <w:rsid w:val="000C0213"/>
    <w:rsid w:val="000E48CE"/>
    <w:rsid w:val="0014493B"/>
    <w:rsid w:val="0014684F"/>
    <w:rsid w:val="00154F02"/>
    <w:rsid w:val="0016106C"/>
    <w:rsid w:val="00190459"/>
    <w:rsid w:val="001A4BAE"/>
    <w:rsid w:val="001C6D5B"/>
    <w:rsid w:val="001D4BC2"/>
    <w:rsid w:val="001D7F7E"/>
    <w:rsid w:val="001F2832"/>
    <w:rsid w:val="002117B8"/>
    <w:rsid w:val="00217415"/>
    <w:rsid w:val="00217974"/>
    <w:rsid w:val="00220569"/>
    <w:rsid w:val="00233F07"/>
    <w:rsid w:val="00234D22"/>
    <w:rsid w:val="00246C0A"/>
    <w:rsid w:val="002504BF"/>
    <w:rsid w:val="00252028"/>
    <w:rsid w:val="00253AE7"/>
    <w:rsid w:val="002579EF"/>
    <w:rsid w:val="0026331B"/>
    <w:rsid w:val="00264A5B"/>
    <w:rsid w:val="0027246A"/>
    <w:rsid w:val="00287894"/>
    <w:rsid w:val="00296CFC"/>
    <w:rsid w:val="002B1196"/>
    <w:rsid w:val="002B1E76"/>
    <w:rsid w:val="002B3137"/>
    <w:rsid w:val="002B411C"/>
    <w:rsid w:val="002C4281"/>
    <w:rsid w:val="002D0A0E"/>
    <w:rsid w:val="002D4AD2"/>
    <w:rsid w:val="002D5858"/>
    <w:rsid w:val="002D6C42"/>
    <w:rsid w:val="002E21B9"/>
    <w:rsid w:val="002E3BD2"/>
    <w:rsid w:val="00321EDF"/>
    <w:rsid w:val="00331B82"/>
    <w:rsid w:val="0033570C"/>
    <w:rsid w:val="0034509C"/>
    <w:rsid w:val="00353072"/>
    <w:rsid w:val="00360C6F"/>
    <w:rsid w:val="00371C3F"/>
    <w:rsid w:val="00385371"/>
    <w:rsid w:val="003B48E0"/>
    <w:rsid w:val="003D77D5"/>
    <w:rsid w:val="003F01FE"/>
    <w:rsid w:val="003F230A"/>
    <w:rsid w:val="003F75AB"/>
    <w:rsid w:val="00400C75"/>
    <w:rsid w:val="00416D2B"/>
    <w:rsid w:val="00427C9A"/>
    <w:rsid w:val="004404CB"/>
    <w:rsid w:val="0045515E"/>
    <w:rsid w:val="00461EAC"/>
    <w:rsid w:val="00462FB2"/>
    <w:rsid w:val="00465940"/>
    <w:rsid w:val="00472525"/>
    <w:rsid w:val="00490C37"/>
    <w:rsid w:val="00490C66"/>
    <w:rsid w:val="004A4431"/>
    <w:rsid w:val="004A4646"/>
    <w:rsid w:val="004A6D7A"/>
    <w:rsid w:val="004B79DC"/>
    <w:rsid w:val="004C58D4"/>
    <w:rsid w:val="004F16D9"/>
    <w:rsid w:val="004F28E3"/>
    <w:rsid w:val="00526E60"/>
    <w:rsid w:val="0053125A"/>
    <w:rsid w:val="005313D8"/>
    <w:rsid w:val="005344C8"/>
    <w:rsid w:val="005479DD"/>
    <w:rsid w:val="00553A47"/>
    <w:rsid w:val="00553FF0"/>
    <w:rsid w:val="005714C0"/>
    <w:rsid w:val="00573B19"/>
    <w:rsid w:val="0058548D"/>
    <w:rsid w:val="00587C26"/>
    <w:rsid w:val="005A16A2"/>
    <w:rsid w:val="005A259F"/>
    <w:rsid w:val="005A7DDB"/>
    <w:rsid w:val="005B0EFD"/>
    <w:rsid w:val="005B22BC"/>
    <w:rsid w:val="005B2FDC"/>
    <w:rsid w:val="005C1B83"/>
    <w:rsid w:val="005F6E9E"/>
    <w:rsid w:val="00604470"/>
    <w:rsid w:val="00616582"/>
    <w:rsid w:val="006318BC"/>
    <w:rsid w:val="00636DB8"/>
    <w:rsid w:val="0065262C"/>
    <w:rsid w:val="00656793"/>
    <w:rsid w:val="00657C56"/>
    <w:rsid w:val="00661902"/>
    <w:rsid w:val="00662516"/>
    <w:rsid w:val="00667F42"/>
    <w:rsid w:val="00693239"/>
    <w:rsid w:val="006A48BF"/>
    <w:rsid w:val="006A67AF"/>
    <w:rsid w:val="006C5307"/>
    <w:rsid w:val="006C5456"/>
    <w:rsid w:val="006D6957"/>
    <w:rsid w:val="006E358A"/>
    <w:rsid w:val="006F2AE0"/>
    <w:rsid w:val="00702636"/>
    <w:rsid w:val="0070648F"/>
    <w:rsid w:val="00716927"/>
    <w:rsid w:val="00727DE4"/>
    <w:rsid w:val="00741CF8"/>
    <w:rsid w:val="0075034F"/>
    <w:rsid w:val="00764926"/>
    <w:rsid w:val="007704C5"/>
    <w:rsid w:val="00775032"/>
    <w:rsid w:val="0078405C"/>
    <w:rsid w:val="00793371"/>
    <w:rsid w:val="00796931"/>
    <w:rsid w:val="007B267B"/>
    <w:rsid w:val="007E4E1B"/>
    <w:rsid w:val="007F5DC2"/>
    <w:rsid w:val="008137F4"/>
    <w:rsid w:val="00831DDC"/>
    <w:rsid w:val="00832570"/>
    <w:rsid w:val="00864BBB"/>
    <w:rsid w:val="00876038"/>
    <w:rsid w:val="008963EB"/>
    <w:rsid w:val="008A463B"/>
    <w:rsid w:val="008A5C5D"/>
    <w:rsid w:val="008B1194"/>
    <w:rsid w:val="008B337B"/>
    <w:rsid w:val="008C182E"/>
    <w:rsid w:val="008C41A8"/>
    <w:rsid w:val="008E6FA5"/>
    <w:rsid w:val="008F744C"/>
    <w:rsid w:val="00911942"/>
    <w:rsid w:val="00917A8D"/>
    <w:rsid w:val="00922992"/>
    <w:rsid w:val="009248A0"/>
    <w:rsid w:val="009367F7"/>
    <w:rsid w:val="00957A9B"/>
    <w:rsid w:val="0096245E"/>
    <w:rsid w:val="009762F2"/>
    <w:rsid w:val="00981B0F"/>
    <w:rsid w:val="009855CA"/>
    <w:rsid w:val="009C19A0"/>
    <w:rsid w:val="009D1182"/>
    <w:rsid w:val="009D3F5F"/>
    <w:rsid w:val="00A11E55"/>
    <w:rsid w:val="00A21B4A"/>
    <w:rsid w:val="00A318C7"/>
    <w:rsid w:val="00A52980"/>
    <w:rsid w:val="00A60FD8"/>
    <w:rsid w:val="00A621D8"/>
    <w:rsid w:val="00A64858"/>
    <w:rsid w:val="00A8595F"/>
    <w:rsid w:val="00A902CA"/>
    <w:rsid w:val="00AD05C4"/>
    <w:rsid w:val="00AD47B3"/>
    <w:rsid w:val="00AD61FF"/>
    <w:rsid w:val="00AF3054"/>
    <w:rsid w:val="00B14DC3"/>
    <w:rsid w:val="00B22F63"/>
    <w:rsid w:val="00B24C6D"/>
    <w:rsid w:val="00B262FE"/>
    <w:rsid w:val="00B43E4F"/>
    <w:rsid w:val="00B568FF"/>
    <w:rsid w:val="00B603F3"/>
    <w:rsid w:val="00B75A05"/>
    <w:rsid w:val="00B95073"/>
    <w:rsid w:val="00BA0D8C"/>
    <w:rsid w:val="00BC1CAC"/>
    <w:rsid w:val="00BD5EE3"/>
    <w:rsid w:val="00BE1A80"/>
    <w:rsid w:val="00BE20A1"/>
    <w:rsid w:val="00BF3A2E"/>
    <w:rsid w:val="00C008A7"/>
    <w:rsid w:val="00C13686"/>
    <w:rsid w:val="00C13E64"/>
    <w:rsid w:val="00C14CCF"/>
    <w:rsid w:val="00C155C4"/>
    <w:rsid w:val="00C2338B"/>
    <w:rsid w:val="00C26D29"/>
    <w:rsid w:val="00C32ABD"/>
    <w:rsid w:val="00C507DB"/>
    <w:rsid w:val="00C6253B"/>
    <w:rsid w:val="00C62A75"/>
    <w:rsid w:val="00C63DB5"/>
    <w:rsid w:val="00C85D66"/>
    <w:rsid w:val="00C87B53"/>
    <w:rsid w:val="00C9011E"/>
    <w:rsid w:val="00C928BB"/>
    <w:rsid w:val="00CA06A3"/>
    <w:rsid w:val="00CD549B"/>
    <w:rsid w:val="00D06F6C"/>
    <w:rsid w:val="00D35B1F"/>
    <w:rsid w:val="00D40641"/>
    <w:rsid w:val="00D44239"/>
    <w:rsid w:val="00D45F61"/>
    <w:rsid w:val="00D521BC"/>
    <w:rsid w:val="00D5670B"/>
    <w:rsid w:val="00D75BD5"/>
    <w:rsid w:val="00D8200A"/>
    <w:rsid w:val="00D92222"/>
    <w:rsid w:val="00DB3794"/>
    <w:rsid w:val="00DF397D"/>
    <w:rsid w:val="00E06DAE"/>
    <w:rsid w:val="00E324DF"/>
    <w:rsid w:val="00E6773F"/>
    <w:rsid w:val="00E73766"/>
    <w:rsid w:val="00E81363"/>
    <w:rsid w:val="00E83A31"/>
    <w:rsid w:val="00E84EA3"/>
    <w:rsid w:val="00E8678B"/>
    <w:rsid w:val="00ED2014"/>
    <w:rsid w:val="00F04A1B"/>
    <w:rsid w:val="00F10EE2"/>
    <w:rsid w:val="00F2557B"/>
    <w:rsid w:val="00F3359C"/>
    <w:rsid w:val="00F44AD8"/>
    <w:rsid w:val="00F453D5"/>
    <w:rsid w:val="00F8118B"/>
    <w:rsid w:val="00F82163"/>
    <w:rsid w:val="00F93D86"/>
    <w:rsid w:val="00FA5A18"/>
    <w:rsid w:val="00FE74E7"/>
    <w:rsid w:val="00FF3729"/>
    <w:rsid w:val="00FF594E"/>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F31B5C"/>
  <w15:chartTrackingRefBased/>
  <w15:docId w15:val="{2B37FA4D-BA37-4103-B0CB-CE58AEE8C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3072"/>
    <w:rPr>
      <w:color w:val="0563C1" w:themeColor="hyperlink"/>
      <w:u w:val="single"/>
    </w:rPr>
  </w:style>
  <w:style w:type="paragraph" w:styleId="ListParagraph">
    <w:name w:val="List Paragraph"/>
    <w:basedOn w:val="Normal"/>
    <w:uiPriority w:val="34"/>
    <w:qFormat/>
    <w:rsid w:val="00353072"/>
    <w:pPr>
      <w:ind w:left="720"/>
      <w:contextualSpacing/>
    </w:pPr>
  </w:style>
  <w:style w:type="paragraph" w:customStyle="1" w:styleId="RSCB02ArticleText">
    <w:name w:val="RSC B02 Article Text"/>
    <w:basedOn w:val="Normal"/>
    <w:link w:val="RSCB02ArticleTextChar"/>
    <w:qFormat/>
    <w:rsid w:val="0027246A"/>
    <w:pPr>
      <w:tabs>
        <w:tab w:val="left" w:pos="284"/>
      </w:tabs>
      <w:spacing w:after="0" w:line="240" w:lineRule="exact"/>
      <w:jc w:val="both"/>
    </w:pPr>
    <w:rPr>
      <w:rFonts w:cs="Times New Roman"/>
      <w:w w:val="108"/>
      <w:sz w:val="18"/>
      <w:szCs w:val="18"/>
    </w:rPr>
  </w:style>
  <w:style w:type="character" w:customStyle="1" w:styleId="RSCB02ArticleTextChar">
    <w:name w:val="RSC B02 Article Text Char"/>
    <w:basedOn w:val="DefaultParagraphFont"/>
    <w:link w:val="RSCB02ArticleText"/>
    <w:rsid w:val="0027246A"/>
    <w:rPr>
      <w:rFonts w:cs="Times New Roman"/>
      <w:w w:val="108"/>
      <w:sz w:val="18"/>
      <w:szCs w:val="18"/>
    </w:rPr>
  </w:style>
  <w:style w:type="character" w:customStyle="1" w:styleId="il">
    <w:name w:val="il"/>
    <w:basedOn w:val="DefaultParagraphFont"/>
    <w:rsid w:val="00661902"/>
  </w:style>
  <w:style w:type="character" w:styleId="CommentReference">
    <w:name w:val="annotation reference"/>
    <w:basedOn w:val="DefaultParagraphFont"/>
    <w:uiPriority w:val="99"/>
    <w:semiHidden/>
    <w:unhideWhenUsed/>
    <w:rsid w:val="00462FB2"/>
    <w:rPr>
      <w:sz w:val="16"/>
      <w:szCs w:val="16"/>
    </w:rPr>
  </w:style>
  <w:style w:type="paragraph" w:styleId="CommentText">
    <w:name w:val="annotation text"/>
    <w:basedOn w:val="Normal"/>
    <w:link w:val="CommentTextChar"/>
    <w:uiPriority w:val="99"/>
    <w:semiHidden/>
    <w:unhideWhenUsed/>
    <w:rsid w:val="00462FB2"/>
    <w:pPr>
      <w:spacing w:line="240" w:lineRule="auto"/>
    </w:pPr>
    <w:rPr>
      <w:sz w:val="20"/>
      <w:szCs w:val="20"/>
    </w:rPr>
  </w:style>
  <w:style w:type="character" w:customStyle="1" w:styleId="CommentTextChar">
    <w:name w:val="Comment Text Char"/>
    <w:basedOn w:val="DefaultParagraphFont"/>
    <w:link w:val="CommentText"/>
    <w:uiPriority w:val="99"/>
    <w:semiHidden/>
    <w:rsid w:val="00462FB2"/>
    <w:rPr>
      <w:sz w:val="20"/>
      <w:szCs w:val="20"/>
    </w:rPr>
  </w:style>
  <w:style w:type="paragraph" w:styleId="CommentSubject">
    <w:name w:val="annotation subject"/>
    <w:basedOn w:val="CommentText"/>
    <w:next w:val="CommentText"/>
    <w:link w:val="CommentSubjectChar"/>
    <w:uiPriority w:val="99"/>
    <w:semiHidden/>
    <w:unhideWhenUsed/>
    <w:rsid w:val="00462FB2"/>
    <w:rPr>
      <w:b/>
      <w:bCs/>
    </w:rPr>
  </w:style>
  <w:style w:type="character" w:customStyle="1" w:styleId="CommentSubjectChar">
    <w:name w:val="Comment Subject Char"/>
    <w:basedOn w:val="CommentTextChar"/>
    <w:link w:val="CommentSubject"/>
    <w:uiPriority w:val="99"/>
    <w:semiHidden/>
    <w:rsid w:val="00462FB2"/>
    <w:rPr>
      <w:b/>
      <w:bCs/>
      <w:sz w:val="20"/>
      <w:szCs w:val="20"/>
    </w:rPr>
  </w:style>
  <w:style w:type="paragraph" w:styleId="BalloonText">
    <w:name w:val="Balloon Text"/>
    <w:basedOn w:val="Normal"/>
    <w:link w:val="BalloonTextChar"/>
    <w:uiPriority w:val="99"/>
    <w:semiHidden/>
    <w:unhideWhenUsed/>
    <w:rsid w:val="00462F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FB2"/>
    <w:rPr>
      <w:rFonts w:ascii="Segoe UI" w:hAnsi="Segoe UI" w:cs="Segoe UI"/>
      <w:sz w:val="18"/>
      <w:szCs w:val="18"/>
    </w:rPr>
  </w:style>
  <w:style w:type="character" w:customStyle="1" w:styleId="citationsource-book">
    <w:name w:val="citation_source-book"/>
    <w:basedOn w:val="DefaultParagraphFont"/>
    <w:rsid w:val="00D8200A"/>
  </w:style>
  <w:style w:type="character" w:customStyle="1" w:styleId="nlmpublisher-name">
    <w:name w:val="nlm_publisher-name"/>
    <w:basedOn w:val="DefaultParagraphFont"/>
    <w:rsid w:val="00D8200A"/>
  </w:style>
  <w:style w:type="character" w:customStyle="1" w:styleId="nlmpublisher-loc">
    <w:name w:val="nlm_publisher-loc"/>
    <w:basedOn w:val="DefaultParagraphFont"/>
    <w:rsid w:val="00D8200A"/>
  </w:style>
  <w:style w:type="character" w:customStyle="1" w:styleId="nlmx">
    <w:name w:val="nlm_x"/>
    <w:basedOn w:val="DefaultParagraphFont"/>
    <w:rsid w:val="00D8200A"/>
  </w:style>
  <w:style w:type="character" w:customStyle="1" w:styleId="nlmyear">
    <w:name w:val="nlm_year"/>
    <w:basedOn w:val="DefaultParagraphFont"/>
    <w:rsid w:val="00D8200A"/>
  </w:style>
  <w:style w:type="character" w:customStyle="1" w:styleId="cited-contentcbycitationarticle-contributors">
    <w:name w:val="cited-content_cbycitation_article-contributors"/>
    <w:basedOn w:val="DefaultParagraphFont"/>
    <w:rsid w:val="002E21B9"/>
  </w:style>
  <w:style w:type="character" w:customStyle="1" w:styleId="nlmstring-name">
    <w:name w:val="nlm_string-name"/>
    <w:basedOn w:val="DefaultParagraphFont"/>
    <w:rsid w:val="002E21B9"/>
  </w:style>
  <w:style w:type="character" w:customStyle="1" w:styleId="cited-contentcbycitationarticle-title">
    <w:name w:val="cited-content_cbycitation_article-title"/>
    <w:basedOn w:val="DefaultParagraphFont"/>
    <w:rsid w:val="002E21B9"/>
  </w:style>
  <w:style w:type="character" w:customStyle="1" w:styleId="referencessource">
    <w:name w:val="references__source"/>
    <w:basedOn w:val="DefaultParagraphFont"/>
    <w:rsid w:val="002E21B9"/>
  </w:style>
  <w:style w:type="character" w:styleId="Strong">
    <w:name w:val="Strong"/>
    <w:basedOn w:val="DefaultParagraphFont"/>
    <w:uiPriority w:val="22"/>
    <w:qFormat/>
    <w:rsid w:val="002E21B9"/>
    <w:rPr>
      <w:b/>
      <w:bCs/>
    </w:rPr>
  </w:style>
  <w:style w:type="character" w:styleId="Emphasis">
    <w:name w:val="Emphasis"/>
    <w:basedOn w:val="DefaultParagraphFont"/>
    <w:uiPriority w:val="20"/>
    <w:qFormat/>
    <w:rsid w:val="002E21B9"/>
    <w:rPr>
      <w:i/>
      <w:iCs/>
    </w:rPr>
  </w:style>
  <w:style w:type="paragraph" w:styleId="FootnoteText">
    <w:name w:val="footnote text"/>
    <w:basedOn w:val="Normal"/>
    <w:link w:val="FootnoteTextChar"/>
    <w:uiPriority w:val="99"/>
    <w:semiHidden/>
    <w:unhideWhenUsed/>
    <w:rsid w:val="00D442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4239"/>
    <w:rPr>
      <w:sz w:val="20"/>
      <w:szCs w:val="20"/>
    </w:rPr>
  </w:style>
  <w:style w:type="character" w:styleId="FootnoteReference">
    <w:name w:val="footnote reference"/>
    <w:basedOn w:val="DefaultParagraphFont"/>
    <w:uiPriority w:val="99"/>
    <w:semiHidden/>
    <w:unhideWhenUsed/>
    <w:rsid w:val="00D44239"/>
    <w:rPr>
      <w:vertAlign w:val="superscript"/>
    </w:rPr>
  </w:style>
  <w:style w:type="character" w:styleId="FollowedHyperlink">
    <w:name w:val="FollowedHyperlink"/>
    <w:basedOn w:val="DefaultParagraphFont"/>
    <w:uiPriority w:val="99"/>
    <w:semiHidden/>
    <w:unhideWhenUsed/>
    <w:rsid w:val="00416D2B"/>
    <w:rPr>
      <w:color w:val="954F72" w:themeColor="followedHyperlink"/>
      <w:u w:val="single"/>
    </w:rPr>
  </w:style>
  <w:style w:type="table" w:styleId="TableGrid">
    <w:name w:val="Table Grid"/>
    <w:basedOn w:val="TableNormal"/>
    <w:uiPriority w:val="39"/>
    <w:rsid w:val="00BE1A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79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79DD"/>
  </w:style>
  <w:style w:type="paragraph" w:styleId="Footer">
    <w:name w:val="footer"/>
    <w:basedOn w:val="Normal"/>
    <w:link w:val="FooterChar"/>
    <w:uiPriority w:val="99"/>
    <w:unhideWhenUsed/>
    <w:rsid w:val="005479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79DD"/>
  </w:style>
  <w:style w:type="character" w:styleId="LineNumber">
    <w:name w:val="line number"/>
    <w:basedOn w:val="DefaultParagraphFont"/>
    <w:uiPriority w:val="99"/>
    <w:semiHidden/>
    <w:unhideWhenUsed/>
    <w:rsid w:val="000A3B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34855">
      <w:bodyDiv w:val="1"/>
      <w:marLeft w:val="0"/>
      <w:marRight w:val="0"/>
      <w:marTop w:val="0"/>
      <w:marBottom w:val="0"/>
      <w:divBdr>
        <w:top w:val="none" w:sz="0" w:space="0" w:color="auto"/>
        <w:left w:val="none" w:sz="0" w:space="0" w:color="auto"/>
        <w:bottom w:val="none" w:sz="0" w:space="0" w:color="auto"/>
        <w:right w:val="none" w:sz="0" w:space="0" w:color="auto"/>
      </w:divBdr>
    </w:div>
    <w:div w:id="357128146">
      <w:bodyDiv w:val="1"/>
      <w:marLeft w:val="0"/>
      <w:marRight w:val="0"/>
      <w:marTop w:val="0"/>
      <w:marBottom w:val="0"/>
      <w:divBdr>
        <w:top w:val="none" w:sz="0" w:space="0" w:color="auto"/>
        <w:left w:val="none" w:sz="0" w:space="0" w:color="auto"/>
        <w:bottom w:val="none" w:sz="0" w:space="0" w:color="auto"/>
        <w:right w:val="none" w:sz="0" w:space="0" w:color="auto"/>
      </w:divBdr>
      <w:divsChild>
        <w:div w:id="1663042831">
          <w:marLeft w:val="0"/>
          <w:marRight w:val="0"/>
          <w:marTop w:val="240"/>
          <w:marBottom w:val="240"/>
          <w:divBdr>
            <w:top w:val="none" w:sz="0" w:space="0" w:color="auto"/>
            <w:left w:val="none" w:sz="0" w:space="0" w:color="auto"/>
            <w:bottom w:val="none" w:sz="0" w:space="0" w:color="auto"/>
            <w:right w:val="none" w:sz="0" w:space="0" w:color="auto"/>
          </w:divBdr>
        </w:div>
      </w:divsChild>
    </w:div>
    <w:div w:id="471556137">
      <w:bodyDiv w:val="1"/>
      <w:marLeft w:val="0"/>
      <w:marRight w:val="0"/>
      <w:marTop w:val="0"/>
      <w:marBottom w:val="0"/>
      <w:divBdr>
        <w:top w:val="none" w:sz="0" w:space="0" w:color="auto"/>
        <w:left w:val="none" w:sz="0" w:space="0" w:color="auto"/>
        <w:bottom w:val="none" w:sz="0" w:space="0" w:color="auto"/>
        <w:right w:val="none" w:sz="0" w:space="0" w:color="auto"/>
      </w:divBdr>
    </w:div>
    <w:div w:id="1998414376">
      <w:bodyDiv w:val="1"/>
      <w:marLeft w:val="0"/>
      <w:marRight w:val="0"/>
      <w:marTop w:val="0"/>
      <w:marBottom w:val="0"/>
      <w:divBdr>
        <w:top w:val="none" w:sz="0" w:space="0" w:color="auto"/>
        <w:left w:val="none" w:sz="0" w:space="0" w:color="auto"/>
        <w:bottom w:val="none" w:sz="0" w:space="0" w:color="auto"/>
        <w:right w:val="none" w:sz="0" w:space="0" w:color="auto"/>
      </w:divBdr>
      <w:divsChild>
        <w:div w:id="925726319">
          <w:marLeft w:val="0"/>
          <w:marRight w:val="0"/>
          <w:marTop w:val="0"/>
          <w:marBottom w:val="0"/>
          <w:divBdr>
            <w:top w:val="none" w:sz="0" w:space="0" w:color="auto"/>
            <w:left w:val="none" w:sz="0" w:space="0" w:color="auto"/>
            <w:bottom w:val="none" w:sz="0" w:space="0" w:color="auto"/>
            <w:right w:val="none" w:sz="0" w:space="0" w:color="auto"/>
          </w:divBdr>
          <w:divsChild>
            <w:div w:id="184755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j.bailey@sheffield.ac.uk" TargetMode="External"/><Relationship Id="rId13"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6C9E24-5E06-4D54-BF43-C88C820C1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976</Words>
  <Characters>4795</Characters>
  <Application>Microsoft Office Word</Application>
  <DocSecurity>0</DocSecurity>
  <Lines>149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Bailey</dc:creator>
  <cp:keywords/>
  <dc:description/>
  <cp:lastModifiedBy>Neil Hyatt</cp:lastModifiedBy>
  <cp:revision>2</cp:revision>
  <cp:lastPrinted>2021-02-23T19:41:00Z</cp:lastPrinted>
  <dcterms:created xsi:type="dcterms:W3CDTF">2021-05-03T08:49:00Z</dcterms:created>
  <dcterms:modified xsi:type="dcterms:W3CDTF">2021-05-03T08:49:00Z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88fa999e-2210-3d6e-9352-af1141e76678</vt:lpwstr>
  </property>
  <property fmtid="{D5CDD505-2E9C-101B-9397-08002B2CF9AE}" pid="4" name="Mendeley Citation Style_1">
    <vt:lpwstr>http://www.zotero.org/styles/journal-of-radioanalytical-and-nuclear-chemistry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http://www.zotero.org/styles/journal-of-radioanalytical-and-nuclear-chemistry</vt:lpwstr>
  </property>
  <property fmtid="{D5CDD505-2E9C-101B-9397-08002B2CF9AE}" pid="18" name="Mendeley Recent Style Name 6_1">
    <vt:lpwstr>Journal of Radioanalytical and Nuclear Chemistry</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http://www.zotero.org/styles/royal-society-of-chemistry</vt:lpwstr>
  </property>
  <property fmtid="{D5CDD505-2E9C-101B-9397-08002B2CF9AE}" pid="24" name="Mendeley Recent Style Name 9_1">
    <vt:lpwstr>Royal Society of Chemistry</vt:lpwstr>
  </property>
</Properties>
</file>