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1CD" w:rsidRPr="00ED162C" w:rsidRDefault="00D031CD" w:rsidP="00D031CD">
      <w:pPr>
        <w:pStyle w:val="JRNCTitle"/>
        <w:jc w:val="left"/>
      </w:pPr>
      <w:r w:rsidRPr="00ED162C">
        <w:t>Suppleme</w:t>
      </w:r>
      <w:bookmarkStart w:id="0" w:name="_GoBack"/>
      <w:bookmarkEnd w:id="0"/>
      <w:r w:rsidRPr="00ED162C">
        <w:t>ntary information</w:t>
      </w:r>
    </w:p>
    <w:p w:rsidR="00D031CD" w:rsidRPr="00ED162C" w:rsidRDefault="00D031CD" w:rsidP="00D031CD">
      <w:pPr>
        <w:pStyle w:val="JRNCBody"/>
        <w:rPr>
          <w:b/>
          <w:bCs/>
          <w:i/>
          <w:iCs/>
          <w:lang w:val="en-US"/>
        </w:rPr>
      </w:pPr>
      <w:r w:rsidRPr="00ED162C">
        <w:rPr>
          <w:b/>
          <w:bCs/>
          <w:i/>
          <w:iCs/>
          <w:lang w:val="en-US"/>
        </w:rPr>
        <w:t>Microfluidic system</w:t>
      </w:r>
    </w:p>
    <w:p w:rsidR="00D031CD" w:rsidRPr="00ED162C" w:rsidRDefault="00D031CD" w:rsidP="00D031CD">
      <w:pPr>
        <w:pStyle w:val="JRNCBody"/>
        <w:rPr>
          <w:lang w:val="en-US"/>
        </w:rPr>
      </w:pPr>
      <w:r w:rsidRPr="00997604">
        <w:rPr>
          <w:bCs/>
          <w:noProof/>
          <w:lang w:val="en-IN" w:eastAsia="en-IN"/>
        </w:rPr>
        <w:drawing>
          <wp:inline distT="0" distB="0" distL="0" distR="0" wp14:anchorId="15DBFDB0" wp14:editId="33A0009C">
            <wp:extent cx="5396865" cy="2739489"/>
            <wp:effectExtent l="0" t="0" r="0" b="381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6865" cy="2739489"/>
                    </a:xfrm>
                    <a:prstGeom prst="rect">
                      <a:avLst/>
                    </a:prstGeom>
                  </pic:spPr>
                </pic:pic>
              </a:graphicData>
            </a:graphic>
          </wp:inline>
        </w:drawing>
      </w:r>
    </w:p>
    <w:p w:rsidR="00D031CD" w:rsidRPr="00ED162C" w:rsidRDefault="00D031CD" w:rsidP="00D031CD">
      <w:pPr>
        <w:pStyle w:val="JRNCBody"/>
        <w:rPr>
          <w:lang w:val="en-US"/>
        </w:rPr>
      </w:pPr>
      <w:r w:rsidRPr="00ED162C">
        <w:rPr>
          <w:b/>
          <w:lang w:val="en-US"/>
        </w:rPr>
        <w:t xml:space="preserve">Figure </w:t>
      </w:r>
      <w:r w:rsidRPr="00997604">
        <w:rPr>
          <w:b/>
          <w:lang w:val="en-US"/>
        </w:rPr>
        <w:t>8</w:t>
      </w:r>
      <w:r w:rsidRPr="00ED162C">
        <w:rPr>
          <w:b/>
          <w:lang w:val="en-US"/>
        </w:rPr>
        <w:t>.</w:t>
      </w:r>
      <w:r w:rsidRPr="00ED162C">
        <w:rPr>
          <w:lang w:val="en-US"/>
        </w:rPr>
        <w:t xml:space="preserve"> Layout of the microfluidic system.</w:t>
      </w:r>
    </w:p>
    <w:p w:rsidR="00D031CD" w:rsidRPr="00ED162C" w:rsidRDefault="00D031CD" w:rsidP="00D031CD">
      <w:pPr>
        <w:pStyle w:val="JRNCBody"/>
        <w:ind w:firstLine="567"/>
        <w:rPr>
          <w:lang w:val="en-US"/>
        </w:rPr>
      </w:pPr>
      <w:r w:rsidRPr="00ED162C">
        <w:rPr>
          <w:lang w:val="en-US"/>
        </w:rPr>
        <w:t xml:space="preserve">The microfluidic system (Figure </w:t>
      </w:r>
      <w:r w:rsidRPr="00997604">
        <w:rPr>
          <w:lang w:val="en-US"/>
        </w:rPr>
        <w:t>8</w:t>
      </w:r>
      <w:r w:rsidRPr="00ED162C">
        <w:rPr>
          <w:lang w:val="en-US"/>
        </w:rPr>
        <w:t xml:space="preserve">.) was built for the co-injection of small volume samples of buffered chelator solutions and a </w:t>
      </w:r>
      <w:r w:rsidRPr="00ED162C">
        <w:rPr>
          <w:vertAlign w:val="superscript"/>
          <w:lang w:val="en-US"/>
        </w:rPr>
        <w:t>68</w:t>
      </w:r>
      <w:r w:rsidRPr="00ED162C">
        <w:rPr>
          <w:lang w:val="en-US"/>
        </w:rPr>
        <w:t>Ga stock solution into a heated capillary reactor. After the reaction time, the contents of the capillary were immediately injected onto the HPLC column for separation. The system consisted of a Titan HP HPLC injector valve (IDEX) a 10 position Cheminert selection valve (Valco) two Tecan XP3000 syringe pumps (Cavro) and a home-built temperature controlled heating block equipped with PEEK capillary reactor (0.25 mm i.d., 2 m length). The system was controlled by a PC, running a LabView code. The units of the system were connected to an Arduino Mega card, receiving the commands from the PC. The Arduino Mega card controlled the units via I2C bus.</w:t>
      </w:r>
    </w:p>
    <w:p w:rsidR="00D031CD" w:rsidRPr="00ED162C" w:rsidRDefault="00D031CD" w:rsidP="00D031CD">
      <w:pPr>
        <w:pStyle w:val="JRNCBody"/>
        <w:ind w:firstLine="567"/>
        <w:rPr>
          <w:lang w:val="en-US"/>
        </w:rPr>
      </w:pPr>
      <w:r w:rsidRPr="00ED162C">
        <w:rPr>
          <w:lang w:val="en-US"/>
        </w:rPr>
        <w:t xml:space="preserve">Labeling experiments were performed according to the following steps. Syringe pump „B” was filled with 1 mL </w:t>
      </w:r>
      <w:r w:rsidRPr="00ED162C">
        <w:rPr>
          <w:vertAlign w:val="superscript"/>
          <w:lang w:val="en-US"/>
        </w:rPr>
        <w:t>68</w:t>
      </w:r>
      <w:r w:rsidRPr="00ED162C">
        <w:rPr>
          <w:lang w:val="en-US"/>
        </w:rPr>
        <w:t xml:space="preserve">Ga solution before starting the experiments. Syringe pump “A” pulled a 100 µL chelator solution sample from a vial, selected by the 10-way </w:t>
      </w:r>
      <w:r w:rsidRPr="00ED162C">
        <w:rPr>
          <w:lang w:val="en-US"/>
        </w:rPr>
        <w:lastRenderedPageBreak/>
        <w:t xml:space="preserve">valve. The chelator solution remained in the connection tubing (0.8 mm i.d. Tefzel) between the syringe pump and the 10-way valve, separated from the liquid in the syringe pump by a small air bubble. The buffered chelator solution and the </w:t>
      </w:r>
      <w:r w:rsidRPr="00ED162C">
        <w:rPr>
          <w:vertAlign w:val="superscript"/>
          <w:lang w:val="en-US"/>
        </w:rPr>
        <w:t>68</w:t>
      </w:r>
      <w:r w:rsidRPr="00ED162C">
        <w:rPr>
          <w:lang w:val="en-US"/>
        </w:rPr>
        <w:t>Ga solution were co-injected into the heated capillary reactor and the outlet valve closed for the duration of the reaction to prevent liquid loss from the reactor. After the elapse of the reaction time the injector valve switched, and the eluent flow flushed the contents of the reactor to the HPLC column.</w:t>
      </w:r>
    </w:p>
    <w:p w:rsidR="00D031CD" w:rsidRPr="00ED162C" w:rsidRDefault="00D031CD" w:rsidP="00D031CD">
      <w:pPr>
        <w:pStyle w:val="JRNCBody"/>
      </w:pPr>
    </w:p>
    <w:p w:rsidR="00D031CD" w:rsidRPr="00ED162C" w:rsidRDefault="00D031CD" w:rsidP="00D031CD">
      <w:pPr>
        <w:pStyle w:val="JRNCBody"/>
        <w:jc w:val="center"/>
      </w:pPr>
      <w:r w:rsidRPr="00997604">
        <w:rPr>
          <w:noProof/>
          <w:lang w:val="en-IN" w:eastAsia="en-IN"/>
        </w:rPr>
        <w:drawing>
          <wp:inline distT="0" distB="0" distL="0" distR="0" wp14:anchorId="1C4438F1" wp14:editId="004927FB">
            <wp:extent cx="4594860" cy="282702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4860" cy="2827020"/>
                    </a:xfrm>
                    <a:prstGeom prst="rect">
                      <a:avLst/>
                    </a:prstGeom>
                    <a:noFill/>
                  </pic:spPr>
                </pic:pic>
              </a:graphicData>
            </a:graphic>
          </wp:inline>
        </w:drawing>
      </w:r>
    </w:p>
    <w:p w:rsidR="00D031CD" w:rsidRPr="00ED162C" w:rsidRDefault="00D031CD" w:rsidP="00D031CD">
      <w:pPr>
        <w:pStyle w:val="JRNCBody"/>
        <w:rPr>
          <w:lang w:val="en-US"/>
        </w:rPr>
      </w:pPr>
      <w:r w:rsidRPr="00ED162C">
        <w:rPr>
          <w:b/>
        </w:rPr>
        <w:t xml:space="preserve">Figure </w:t>
      </w:r>
      <w:r w:rsidRPr="00997604">
        <w:rPr>
          <w:b/>
        </w:rPr>
        <w:t>9</w:t>
      </w:r>
      <w:r w:rsidRPr="00ED162C">
        <w:t xml:space="preserve">. </w:t>
      </w:r>
      <w:r w:rsidRPr="00ED162C">
        <w:rPr>
          <w:lang w:val="en-US"/>
        </w:rPr>
        <w:t>Linearity of the radioactivity detector measured by the new chromatographic method with [Ga</w:t>
      </w:r>
      <w:r w:rsidRPr="00ED162C">
        <w:rPr>
          <w:vertAlign w:val="superscript"/>
          <w:lang w:val="en-US"/>
        </w:rPr>
        <w:t>68</w:t>
      </w:r>
      <w:r w:rsidRPr="00ED162C">
        <w:rPr>
          <w:lang w:val="en-US"/>
        </w:rPr>
        <w:t>]Ga-DOTA.</w:t>
      </w:r>
    </w:p>
    <w:p w:rsidR="00D031CD" w:rsidRPr="00997604" w:rsidRDefault="00D031CD" w:rsidP="00D031CD">
      <w:pPr>
        <w:spacing w:after="240"/>
        <w:rPr>
          <w:b/>
          <w:i/>
          <w:lang w:val="en-US" w:eastAsia="en-GB"/>
        </w:rPr>
      </w:pPr>
      <w:r w:rsidRPr="00997604">
        <w:rPr>
          <w:b/>
          <w:i/>
          <w:lang w:val="en-US" w:eastAsia="en-GB"/>
        </w:rPr>
        <w:t>Effect of different buffers on radiolabeling</w:t>
      </w:r>
    </w:p>
    <w:p w:rsidR="00D031CD" w:rsidRPr="00997604" w:rsidRDefault="00D031CD" w:rsidP="00D031CD">
      <w:pPr>
        <w:spacing w:line="360" w:lineRule="auto"/>
        <w:ind w:firstLine="567"/>
        <w:jc w:val="both"/>
        <w:rPr>
          <w:lang w:val="en-US" w:eastAsia="en-GB"/>
        </w:rPr>
      </w:pPr>
      <w:r w:rsidRPr="00997604">
        <w:rPr>
          <w:lang w:val="en-US" w:eastAsia="en-GB"/>
        </w:rPr>
        <w:t>In addition to the widely used ammonium acetate (AmAc), the labeling reaction of [</w:t>
      </w:r>
      <w:r w:rsidRPr="00997604">
        <w:rPr>
          <w:vertAlign w:val="superscript"/>
          <w:lang w:val="en-US" w:eastAsia="en-GB"/>
        </w:rPr>
        <w:t>68</w:t>
      </w:r>
      <w:r w:rsidRPr="00997604">
        <w:rPr>
          <w:lang w:val="en-US" w:eastAsia="en-GB"/>
        </w:rPr>
        <w:t>Ga]Ga-NOTA and [</w:t>
      </w:r>
      <w:r w:rsidRPr="00997604">
        <w:rPr>
          <w:vertAlign w:val="superscript"/>
          <w:lang w:val="en-US" w:eastAsia="en-GB"/>
        </w:rPr>
        <w:t>68</w:t>
      </w:r>
      <w:r w:rsidRPr="00997604">
        <w:rPr>
          <w:lang w:val="en-US" w:eastAsia="en-GB"/>
        </w:rPr>
        <w:t xml:space="preserve">Ga]Ga-DOTA were also studied in the presence of non-coordinating buffers [27]. The applied buffers were used in the same concentration and adjusted to the same pH. The concentration dependence of complex formation was investigated with NOTA chelator in the case of seven buffers (Table 3.). Samples buffered with ascorbate and citrate were examined only once, as the radiochemical yield achieved with them was very low. The recovery of the formed complexes from the column was also investigated at flow rates of 1.0 and 0.6 mL/min. The decay </w:t>
      </w:r>
      <w:r w:rsidRPr="00997604">
        <w:rPr>
          <w:lang w:val="en-US" w:eastAsia="en-GB"/>
        </w:rPr>
        <w:lastRenderedPageBreak/>
        <w:t>corrected peak areas of the samples, injected to the HPLC with- and without column were compared.</w:t>
      </w:r>
    </w:p>
    <w:p w:rsidR="00D031CD" w:rsidRPr="00997604" w:rsidRDefault="00D031CD" w:rsidP="00D031CD">
      <w:pPr>
        <w:rPr>
          <w:lang w:val="en-US" w:eastAsia="en-GB"/>
        </w:rPr>
      </w:pPr>
    </w:p>
    <w:p w:rsidR="00D031CD" w:rsidRPr="00997604" w:rsidRDefault="00D031CD" w:rsidP="00D031CD">
      <w:pPr>
        <w:spacing w:line="360" w:lineRule="auto"/>
        <w:jc w:val="both"/>
        <w:rPr>
          <w:lang w:val="en-US" w:eastAsia="en-GB"/>
        </w:rPr>
      </w:pPr>
      <w:r w:rsidRPr="00997604">
        <w:rPr>
          <w:b/>
          <w:lang w:val="en-US" w:eastAsia="en-GB"/>
        </w:rPr>
        <w:t>Table 3.</w:t>
      </w:r>
      <w:r w:rsidRPr="00997604">
        <w:rPr>
          <w:lang w:val="en-US" w:eastAsia="en-GB"/>
        </w:rPr>
        <w:t xml:space="preserve"> Optimization of the labeling reaction using different buffers by iTLC and recovery% of the formed complexes by liquid chromatography.</w:t>
      </w:r>
    </w:p>
    <w:tbl>
      <w:tblPr>
        <w:tblW w:w="8330" w:type="dxa"/>
        <w:jc w:val="center"/>
        <w:tblCellMar>
          <w:left w:w="70" w:type="dxa"/>
          <w:right w:w="70" w:type="dxa"/>
        </w:tblCellMar>
        <w:tblLook w:val="04A0" w:firstRow="1" w:lastRow="0" w:firstColumn="1" w:lastColumn="0" w:noHBand="0" w:noVBand="1"/>
      </w:tblPr>
      <w:tblGrid>
        <w:gridCol w:w="1951"/>
        <w:gridCol w:w="823"/>
        <w:gridCol w:w="850"/>
        <w:gridCol w:w="920"/>
        <w:gridCol w:w="803"/>
        <w:gridCol w:w="927"/>
        <w:gridCol w:w="1180"/>
        <w:gridCol w:w="876"/>
      </w:tblGrid>
      <w:tr w:rsidR="00D031CD" w:rsidRPr="00ED162C" w:rsidTr="00D75B0E">
        <w:trPr>
          <w:trHeight w:val="345"/>
          <w:jc w:val="center"/>
        </w:trPr>
        <w:tc>
          <w:tcPr>
            <w:tcW w:w="1951" w:type="dxa"/>
            <w:tcBorders>
              <w:bottom w:val="single" w:sz="4" w:space="0" w:color="auto"/>
            </w:tcBorders>
            <w:shd w:val="clear" w:color="auto" w:fill="auto"/>
            <w:noWrap/>
            <w:vAlign w:val="center"/>
            <w:hideMark/>
          </w:tcPr>
          <w:p w:rsidR="00D031CD" w:rsidRPr="00997604" w:rsidRDefault="00D031CD" w:rsidP="00D75B0E">
            <w:pPr>
              <w:jc w:val="center"/>
              <w:rPr>
                <w:lang w:val="en-US"/>
              </w:rPr>
            </w:pPr>
            <w:r w:rsidRPr="00997604">
              <w:rPr>
                <w:lang w:val="en-US"/>
              </w:rPr>
              <w:t>Buffers</w:t>
            </w:r>
          </w:p>
        </w:tc>
        <w:tc>
          <w:tcPr>
            <w:tcW w:w="823"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AmAc</w:t>
            </w:r>
          </w:p>
        </w:tc>
        <w:tc>
          <w:tcPr>
            <w:tcW w:w="850"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MOPS</w:t>
            </w:r>
          </w:p>
        </w:tc>
        <w:tc>
          <w:tcPr>
            <w:tcW w:w="920"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PIPES</w:t>
            </w:r>
          </w:p>
        </w:tc>
        <w:tc>
          <w:tcPr>
            <w:tcW w:w="803"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MES</w:t>
            </w:r>
          </w:p>
        </w:tc>
        <w:tc>
          <w:tcPr>
            <w:tcW w:w="927"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HEPES</w:t>
            </w:r>
          </w:p>
        </w:tc>
        <w:tc>
          <w:tcPr>
            <w:tcW w:w="1180"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Ascorbate</w:t>
            </w:r>
          </w:p>
        </w:tc>
        <w:tc>
          <w:tcPr>
            <w:tcW w:w="876" w:type="dxa"/>
            <w:tcBorders>
              <w:bottom w:val="single" w:sz="4" w:space="0" w:color="auto"/>
            </w:tcBorders>
            <w:shd w:val="clear" w:color="auto" w:fill="auto"/>
            <w:noWrap/>
            <w:vAlign w:val="center"/>
            <w:hideMark/>
          </w:tcPr>
          <w:p w:rsidR="00D031CD" w:rsidRPr="00997604" w:rsidRDefault="00D031CD" w:rsidP="00D75B0E">
            <w:pPr>
              <w:jc w:val="center"/>
              <w:rPr>
                <w:b/>
                <w:bCs/>
                <w:lang w:val="en-US"/>
              </w:rPr>
            </w:pPr>
            <w:r w:rsidRPr="00997604">
              <w:rPr>
                <w:b/>
                <w:bCs/>
                <w:lang w:val="en-US"/>
              </w:rPr>
              <w:t>Citrate</w:t>
            </w:r>
          </w:p>
        </w:tc>
      </w:tr>
      <w:tr w:rsidR="00D031CD" w:rsidRPr="00ED162C" w:rsidTr="00D75B0E">
        <w:trPr>
          <w:trHeight w:val="345"/>
          <w:jc w:val="center"/>
        </w:trPr>
        <w:tc>
          <w:tcPr>
            <w:tcW w:w="1951"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pH</w:t>
            </w:r>
          </w:p>
        </w:tc>
        <w:tc>
          <w:tcPr>
            <w:tcW w:w="823"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c>
          <w:tcPr>
            <w:tcW w:w="850"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c>
          <w:tcPr>
            <w:tcW w:w="920"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5.1</w:t>
            </w:r>
          </w:p>
        </w:tc>
        <w:tc>
          <w:tcPr>
            <w:tcW w:w="803"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c>
          <w:tcPr>
            <w:tcW w:w="927"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c>
          <w:tcPr>
            <w:tcW w:w="1180"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c>
          <w:tcPr>
            <w:tcW w:w="876"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4</w:t>
            </w:r>
          </w:p>
        </w:tc>
      </w:tr>
      <w:tr w:rsidR="00D031CD" w:rsidRPr="00ED162C" w:rsidTr="00D75B0E">
        <w:trPr>
          <w:trHeight w:val="345"/>
          <w:jc w:val="center"/>
        </w:trPr>
        <w:tc>
          <w:tcPr>
            <w:tcW w:w="1951"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c (M)</w:t>
            </w:r>
          </w:p>
        </w:tc>
        <w:tc>
          <w:tcPr>
            <w:tcW w:w="823"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c>
          <w:tcPr>
            <w:tcW w:w="850"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c>
          <w:tcPr>
            <w:tcW w:w="920"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0.0033*</w:t>
            </w:r>
          </w:p>
        </w:tc>
        <w:tc>
          <w:tcPr>
            <w:tcW w:w="803"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c>
          <w:tcPr>
            <w:tcW w:w="927"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c>
          <w:tcPr>
            <w:tcW w:w="1180"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c>
          <w:tcPr>
            <w:tcW w:w="876"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w:t>
            </w:r>
          </w:p>
        </w:tc>
      </w:tr>
      <w:tr w:rsidR="00D031CD" w:rsidRPr="00ED162C" w:rsidTr="00D75B0E">
        <w:trPr>
          <w:trHeight w:val="330"/>
          <w:jc w:val="center"/>
        </w:trPr>
        <w:tc>
          <w:tcPr>
            <w:tcW w:w="1951" w:type="dxa"/>
            <w:tcBorders>
              <w:top w:val="single" w:sz="4" w:space="0" w:color="auto"/>
              <w:bottom w:val="single" w:sz="4" w:space="0" w:color="auto"/>
            </w:tcBorders>
            <w:shd w:val="clear" w:color="auto" w:fill="auto"/>
            <w:noWrap/>
            <w:vAlign w:val="center"/>
            <w:hideMark/>
          </w:tcPr>
          <w:p w:rsidR="00D031CD" w:rsidRPr="00997604" w:rsidRDefault="00D031CD" w:rsidP="00D75B0E">
            <w:pPr>
              <w:jc w:val="center"/>
              <w:rPr>
                <w:lang w:val="en-US"/>
              </w:rPr>
            </w:pPr>
            <w:r w:rsidRPr="00997604">
              <w:rPr>
                <w:lang w:val="en-US"/>
              </w:rPr>
              <w:t>NOTA c (µM)</w:t>
            </w:r>
          </w:p>
        </w:tc>
        <w:tc>
          <w:tcPr>
            <w:tcW w:w="6379" w:type="dxa"/>
            <w:gridSpan w:val="7"/>
            <w:tcBorders>
              <w:top w:val="single" w:sz="4" w:space="0" w:color="auto"/>
              <w:bottom w:val="single" w:sz="4" w:space="0" w:color="auto"/>
            </w:tcBorders>
            <w:shd w:val="clear" w:color="auto" w:fill="auto"/>
            <w:noWrap/>
            <w:vAlign w:val="center"/>
            <w:hideMark/>
          </w:tcPr>
          <w:p w:rsidR="00D031CD" w:rsidRPr="00997604" w:rsidRDefault="00D031CD" w:rsidP="00D75B0E">
            <w:pPr>
              <w:jc w:val="center"/>
              <w:rPr>
                <w:b/>
                <w:lang w:val="en-US"/>
              </w:rPr>
            </w:pPr>
            <w:r w:rsidRPr="00997604">
              <w:rPr>
                <w:b/>
                <w:lang w:val="en-US"/>
              </w:rPr>
              <w:t>RCY % by iTLC</w:t>
            </w:r>
          </w:p>
        </w:tc>
      </w:tr>
      <w:tr w:rsidR="00D031CD" w:rsidRPr="00ED162C" w:rsidTr="00D75B0E">
        <w:trPr>
          <w:trHeight w:val="315"/>
          <w:jc w:val="center"/>
        </w:trPr>
        <w:tc>
          <w:tcPr>
            <w:tcW w:w="1951" w:type="dxa"/>
            <w:tcBorders>
              <w:top w:val="single" w:sz="4" w:space="0" w:color="auto"/>
            </w:tcBorders>
            <w:shd w:val="clear" w:color="auto" w:fill="auto"/>
            <w:noWrap/>
            <w:vAlign w:val="center"/>
            <w:hideMark/>
          </w:tcPr>
          <w:p w:rsidR="00D031CD" w:rsidRPr="00997604" w:rsidRDefault="00D031CD" w:rsidP="00D75B0E">
            <w:pPr>
              <w:jc w:val="center"/>
              <w:rPr>
                <w:lang w:val="en-US"/>
              </w:rPr>
            </w:pPr>
            <w:r w:rsidRPr="00997604">
              <w:rPr>
                <w:lang w:val="en-US"/>
              </w:rPr>
              <w:t>3</w:t>
            </w:r>
          </w:p>
        </w:tc>
        <w:tc>
          <w:tcPr>
            <w:tcW w:w="823"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97.01</w:t>
            </w:r>
          </w:p>
        </w:tc>
        <w:tc>
          <w:tcPr>
            <w:tcW w:w="850"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98.48</w:t>
            </w:r>
          </w:p>
        </w:tc>
        <w:tc>
          <w:tcPr>
            <w:tcW w:w="920"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93.19</w:t>
            </w:r>
          </w:p>
        </w:tc>
        <w:tc>
          <w:tcPr>
            <w:tcW w:w="803"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95.78</w:t>
            </w:r>
          </w:p>
        </w:tc>
        <w:tc>
          <w:tcPr>
            <w:tcW w:w="927"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98.92</w:t>
            </w:r>
          </w:p>
        </w:tc>
        <w:tc>
          <w:tcPr>
            <w:tcW w:w="1180"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11.72</w:t>
            </w:r>
          </w:p>
        </w:tc>
        <w:tc>
          <w:tcPr>
            <w:tcW w:w="876" w:type="dxa"/>
            <w:tcBorders>
              <w:top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73.50</w:t>
            </w:r>
          </w:p>
        </w:tc>
      </w:tr>
      <w:tr w:rsidR="00D031CD" w:rsidRPr="00ED162C" w:rsidTr="00D75B0E">
        <w:trPr>
          <w:trHeight w:val="315"/>
          <w:jc w:val="center"/>
        </w:trPr>
        <w:tc>
          <w:tcPr>
            <w:tcW w:w="1951" w:type="dxa"/>
            <w:shd w:val="clear" w:color="auto" w:fill="auto"/>
            <w:noWrap/>
            <w:vAlign w:val="center"/>
            <w:hideMark/>
          </w:tcPr>
          <w:p w:rsidR="00D031CD" w:rsidRPr="00997604" w:rsidRDefault="00D031CD" w:rsidP="00D75B0E">
            <w:pPr>
              <w:jc w:val="center"/>
              <w:rPr>
                <w:lang w:val="en-US"/>
              </w:rPr>
            </w:pPr>
            <w:r w:rsidRPr="00997604">
              <w:rPr>
                <w:lang w:val="en-US"/>
              </w:rPr>
              <w:t>1</w:t>
            </w:r>
          </w:p>
        </w:tc>
        <w:tc>
          <w:tcPr>
            <w:tcW w:w="823" w:type="dxa"/>
            <w:shd w:val="clear" w:color="auto" w:fill="auto"/>
            <w:noWrap/>
            <w:vAlign w:val="center"/>
            <w:hideMark/>
          </w:tcPr>
          <w:p w:rsidR="00D031CD" w:rsidRPr="00997604" w:rsidRDefault="00D031CD" w:rsidP="00D75B0E">
            <w:pPr>
              <w:jc w:val="right"/>
              <w:rPr>
                <w:lang w:val="en-US"/>
              </w:rPr>
            </w:pPr>
            <w:r w:rsidRPr="00997604">
              <w:rPr>
                <w:lang w:val="en-US"/>
              </w:rPr>
              <w:t>3.17</w:t>
            </w:r>
          </w:p>
        </w:tc>
        <w:tc>
          <w:tcPr>
            <w:tcW w:w="850" w:type="dxa"/>
            <w:shd w:val="clear" w:color="auto" w:fill="auto"/>
            <w:noWrap/>
            <w:vAlign w:val="center"/>
            <w:hideMark/>
          </w:tcPr>
          <w:p w:rsidR="00D031CD" w:rsidRPr="00997604" w:rsidRDefault="00D031CD" w:rsidP="00D75B0E">
            <w:pPr>
              <w:jc w:val="right"/>
              <w:rPr>
                <w:lang w:val="en-US"/>
              </w:rPr>
            </w:pPr>
            <w:r w:rsidRPr="00997604">
              <w:rPr>
                <w:lang w:val="en-US"/>
              </w:rPr>
              <w:t>93.92</w:t>
            </w:r>
          </w:p>
        </w:tc>
        <w:tc>
          <w:tcPr>
            <w:tcW w:w="920" w:type="dxa"/>
            <w:shd w:val="clear" w:color="auto" w:fill="auto"/>
            <w:noWrap/>
            <w:vAlign w:val="center"/>
            <w:hideMark/>
          </w:tcPr>
          <w:p w:rsidR="00D031CD" w:rsidRPr="00997604" w:rsidRDefault="00D031CD" w:rsidP="00D75B0E">
            <w:pPr>
              <w:jc w:val="right"/>
              <w:rPr>
                <w:lang w:val="en-US"/>
              </w:rPr>
            </w:pPr>
            <w:r w:rsidRPr="00997604">
              <w:rPr>
                <w:lang w:val="en-US"/>
              </w:rPr>
              <w:t>91.94</w:t>
            </w:r>
          </w:p>
        </w:tc>
        <w:tc>
          <w:tcPr>
            <w:tcW w:w="803" w:type="dxa"/>
            <w:shd w:val="clear" w:color="auto" w:fill="auto"/>
            <w:noWrap/>
            <w:vAlign w:val="center"/>
            <w:hideMark/>
          </w:tcPr>
          <w:p w:rsidR="00D031CD" w:rsidRPr="00997604" w:rsidRDefault="00D031CD" w:rsidP="00D75B0E">
            <w:pPr>
              <w:jc w:val="right"/>
              <w:rPr>
                <w:lang w:val="en-US"/>
              </w:rPr>
            </w:pPr>
            <w:r w:rsidRPr="00997604">
              <w:rPr>
                <w:lang w:val="en-US"/>
              </w:rPr>
              <w:t>93.36</w:t>
            </w:r>
          </w:p>
        </w:tc>
        <w:tc>
          <w:tcPr>
            <w:tcW w:w="927" w:type="dxa"/>
            <w:shd w:val="clear" w:color="auto" w:fill="auto"/>
            <w:noWrap/>
            <w:vAlign w:val="center"/>
            <w:hideMark/>
          </w:tcPr>
          <w:p w:rsidR="00D031CD" w:rsidRPr="00997604" w:rsidRDefault="00D031CD" w:rsidP="00D75B0E">
            <w:pPr>
              <w:jc w:val="right"/>
              <w:rPr>
                <w:lang w:val="en-US"/>
              </w:rPr>
            </w:pPr>
            <w:r w:rsidRPr="00997604">
              <w:rPr>
                <w:lang w:val="en-US"/>
              </w:rPr>
              <w:t>96.91</w:t>
            </w:r>
          </w:p>
        </w:tc>
        <w:tc>
          <w:tcPr>
            <w:tcW w:w="1180" w:type="dxa"/>
            <w:shd w:val="clear" w:color="auto" w:fill="auto"/>
            <w:noWrap/>
            <w:vAlign w:val="center"/>
            <w:hideMark/>
          </w:tcPr>
          <w:p w:rsidR="00D031CD" w:rsidRPr="00997604" w:rsidRDefault="00D031CD" w:rsidP="00D75B0E">
            <w:pPr>
              <w:jc w:val="right"/>
              <w:rPr>
                <w:lang w:val="en-US"/>
              </w:rPr>
            </w:pPr>
            <w:r w:rsidRPr="00997604">
              <w:rPr>
                <w:lang w:val="en-US"/>
              </w:rPr>
              <w:t>0.00</w:t>
            </w:r>
          </w:p>
        </w:tc>
        <w:tc>
          <w:tcPr>
            <w:tcW w:w="876" w:type="dxa"/>
            <w:shd w:val="clear" w:color="auto" w:fill="auto"/>
            <w:noWrap/>
            <w:vAlign w:val="center"/>
            <w:hideMark/>
          </w:tcPr>
          <w:p w:rsidR="00D031CD" w:rsidRPr="00997604" w:rsidRDefault="00D031CD" w:rsidP="00D75B0E">
            <w:pPr>
              <w:jc w:val="right"/>
              <w:rPr>
                <w:lang w:val="en-US"/>
              </w:rPr>
            </w:pPr>
            <w:r w:rsidRPr="00997604">
              <w:rPr>
                <w:lang w:val="en-US"/>
              </w:rPr>
              <w:t>74.60</w:t>
            </w:r>
          </w:p>
        </w:tc>
      </w:tr>
      <w:tr w:rsidR="00D031CD" w:rsidRPr="00ED162C" w:rsidTr="00D75B0E">
        <w:trPr>
          <w:trHeight w:val="315"/>
          <w:jc w:val="center"/>
        </w:trPr>
        <w:tc>
          <w:tcPr>
            <w:tcW w:w="1951" w:type="dxa"/>
            <w:tcBorders>
              <w:bottom w:val="single" w:sz="4" w:space="0" w:color="auto"/>
            </w:tcBorders>
            <w:shd w:val="clear" w:color="auto" w:fill="auto"/>
            <w:noWrap/>
            <w:vAlign w:val="center"/>
            <w:hideMark/>
          </w:tcPr>
          <w:p w:rsidR="00D031CD" w:rsidRPr="00997604" w:rsidRDefault="00D031CD" w:rsidP="00D75B0E">
            <w:pPr>
              <w:jc w:val="center"/>
              <w:rPr>
                <w:lang w:val="en-US"/>
              </w:rPr>
            </w:pPr>
            <w:r w:rsidRPr="00997604">
              <w:rPr>
                <w:lang w:val="en-US"/>
              </w:rPr>
              <w:t>0.3</w:t>
            </w:r>
          </w:p>
        </w:tc>
        <w:tc>
          <w:tcPr>
            <w:tcW w:w="823"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0.00</w:t>
            </w:r>
          </w:p>
        </w:tc>
        <w:tc>
          <w:tcPr>
            <w:tcW w:w="850"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85.17</w:t>
            </w:r>
          </w:p>
        </w:tc>
        <w:tc>
          <w:tcPr>
            <w:tcW w:w="920"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80.28</w:t>
            </w:r>
          </w:p>
        </w:tc>
        <w:tc>
          <w:tcPr>
            <w:tcW w:w="803"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59.21</w:t>
            </w:r>
          </w:p>
        </w:tc>
        <w:tc>
          <w:tcPr>
            <w:tcW w:w="927"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81.02</w:t>
            </w:r>
          </w:p>
        </w:tc>
        <w:tc>
          <w:tcPr>
            <w:tcW w:w="1180"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0.00</w:t>
            </w:r>
          </w:p>
        </w:tc>
        <w:tc>
          <w:tcPr>
            <w:tcW w:w="876" w:type="dxa"/>
            <w:tcBorders>
              <w:bottom w:val="single" w:sz="4" w:space="0" w:color="auto"/>
            </w:tcBorders>
            <w:shd w:val="clear" w:color="auto" w:fill="auto"/>
            <w:noWrap/>
            <w:vAlign w:val="center"/>
            <w:hideMark/>
          </w:tcPr>
          <w:p w:rsidR="00D031CD" w:rsidRPr="00997604" w:rsidRDefault="00D031CD" w:rsidP="00D75B0E">
            <w:pPr>
              <w:jc w:val="right"/>
              <w:rPr>
                <w:lang w:val="en-US"/>
              </w:rPr>
            </w:pPr>
            <w:r w:rsidRPr="00997604">
              <w:rPr>
                <w:lang w:val="en-US"/>
              </w:rPr>
              <w:t>71.89</w:t>
            </w:r>
          </w:p>
        </w:tc>
      </w:tr>
      <w:tr w:rsidR="00D031CD" w:rsidRPr="00ED162C" w:rsidTr="00D75B0E">
        <w:trPr>
          <w:trHeight w:val="315"/>
          <w:jc w:val="center"/>
        </w:trPr>
        <w:tc>
          <w:tcPr>
            <w:tcW w:w="1951" w:type="dxa"/>
            <w:tcBorders>
              <w:top w:val="single" w:sz="4" w:space="0" w:color="auto"/>
              <w:bottom w:val="single" w:sz="4" w:space="0" w:color="auto"/>
            </w:tcBorders>
            <w:shd w:val="clear" w:color="auto" w:fill="auto"/>
            <w:noWrap/>
            <w:vAlign w:val="center"/>
          </w:tcPr>
          <w:p w:rsidR="00D031CD" w:rsidRPr="00997604" w:rsidRDefault="00D031CD" w:rsidP="00D75B0E">
            <w:pPr>
              <w:jc w:val="center"/>
              <w:rPr>
                <w:lang w:val="en-US"/>
              </w:rPr>
            </w:pPr>
          </w:p>
        </w:tc>
        <w:tc>
          <w:tcPr>
            <w:tcW w:w="6379" w:type="dxa"/>
            <w:gridSpan w:val="7"/>
            <w:tcBorders>
              <w:top w:val="single" w:sz="4" w:space="0" w:color="auto"/>
              <w:bottom w:val="single" w:sz="4" w:space="0" w:color="auto"/>
            </w:tcBorders>
            <w:shd w:val="clear" w:color="auto" w:fill="auto"/>
            <w:noWrap/>
            <w:vAlign w:val="center"/>
          </w:tcPr>
          <w:p w:rsidR="00D031CD" w:rsidRPr="00997604" w:rsidRDefault="00D031CD" w:rsidP="00D75B0E">
            <w:pPr>
              <w:jc w:val="center"/>
              <w:rPr>
                <w:b/>
                <w:lang w:val="en-US"/>
              </w:rPr>
            </w:pPr>
            <w:r w:rsidRPr="00997604">
              <w:rPr>
                <w:b/>
                <w:lang w:val="en-US"/>
              </w:rPr>
              <w:t>Recovery % by HPLC</w:t>
            </w:r>
          </w:p>
        </w:tc>
      </w:tr>
      <w:tr w:rsidR="00D031CD" w:rsidRPr="00ED162C" w:rsidTr="00D75B0E">
        <w:trPr>
          <w:trHeight w:val="315"/>
          <w:jc w:val="center"/>
        </w:trPr>
        <w:tc>
          <w:tcPr>
            <w:tcW w:w="1951" w:type="dxa"/>
            <w:tcBorders>
              <w:top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1.0 mL/min</w:t>
            </w:r>
          </w:p>
        </w:tc>
        <w:tc>
          <w:tcPr>
            <w:tcW w:w="823"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91.7</w:t>
            </w:r>
          </w:p>
        </w:tc>
        <w:tc>
          <w:tcPr>
            <w:tcW w:w="850"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92.2</w:t>
            </w:r>
          </w:p>
        </w:tc>
        <w:tc>
          <w:tcPr>
            <w:tcW w:w="920"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93.2</w:t>
            </w:r>
          </w:p>
        </w:tc>
        <w:tc>
          <w:tcPr>
            <w:tcW w:w="803"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88.8</w:t>
            </w:r>
          </w:p>
        </w:tc>
        <w:tc>
          <w:tcPr>
            <w:tcW w:w="927"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96.5</w:t>
            </w:r>
          </w:p>
        </w:tc>
        <w:tc>
          <w:tcPr>
            <w:tcW w:w="1180"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w:t>
            </w:r>
          </w:p>
        </w:tc>
        <w:tc>
          <w:tcPr>
            <w:tcW w:w="876" w:type="dxa"/>
            <w:tcBorders>
              <w:top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w:t>
            </w:r>
          </w:p>
        </w:tc>
      </w:tr>
      <w:tr w:rsidR="00D031CD" w:rsidRPr="00ED162C" w:rsidTr="00D75B0E">
        <w:trPr>
          <w:trHeight w:val="315"/>
          <w:jc w:val="center"/>
        </w:trPr>
        <w:tc>
          <w:tcPr>
            <w:tcW w:w="1951" w:type="dxa"/>
            <w:tcBorders>
              <w:bottom w:val="single" w:sz="4" w:space="0" w:color="auto"/>
            </w:tcBorders>
            <w:shd w:val="clear" w:color="auto" w:fill="auto"/>
            <w:noWrap/>
            <w:vAlign w:val="center"/>
          </w:tcPr>
          <w:p w:rsidR="00D031CD" w:rsidRPr="00997604" w:rsidRDefault="00D031CD" w:rsidP="00D75B0E">
            <w:pPr>
              <w:jc w:val="center"/>
              <w:rPr>
                <w:lang w:val="en-US"/>
              </w:rPr>
            </w:pPr>
            <w:r w:rsidRPr="00997604">
              <w:rPr>
                <w:lang w:val="en-US"/>
              </w:rPr>
              <w:t>0.6 mL/min</w:t>
            </w:r>
          </w:p>
        </w:tc>
        <w:tc>
          <w:tcPr>
            <w:tcW w:w="823"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99.6</w:t>
            </w:r>
          </w:p>
        </w:tc>
        <w:tc>
          <w:tcPr>
            <w:tcW w:w="850"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99.9</w:t>
            </w:r>
          </w:p>
        </w:tc>
        <w:tc>
          <w:tcPr>
            <w:tcW w:w="920"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99.4</w:t>
            </w:r>
          </w:p>
        </w:tc>
        <w:tc>
          <w:tcPr>
            <w:tcW w:w="803"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92.5</w:t>
            </w:r>
          </w:p>
        </w:tc>
        <w:tc>
          <w:tcPr>
            <w:tcW w:w="927"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98.5</w:t>
            </w:r>
          </w:p>
        </w:tc>
        <w:tc>
          <w:tcPr>
            <w:tcW w:w="1180"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w:t>
            </w:r>
          </w:p>
        </w:tc>
        <w:tc>
          <w:tcPr>
            <w:tcW w:w="876" w:type="dxa"/>
            <w:tcBorders>
              <w:bottom w:val="single" w:sz="4" w:space="0" w:color="auto"/>
            </w:tcBorders>
            <w:shd w:val="clear" w:color="auto" w:fill="auto"/>
            <w:noWrap/>
            <w:vAlign w:val="center"/>
          </w:tcPr>
          <w:p w:rsidR="00D031CD" w:rsidRPr="00997604" w:rsidRDefault="00D031CD" w:rsidP="00D75B0E">
            <w:pPr>
              <w:jc w:val="right"/>
              <w:rPr>
                <w:lang w:val="en-US"/>
              </w:rPr>
            </w:pPr>
            <w:r w:rsidRPr="00997604">
              <w:rPr>
                <w:lang w:val="en-US"/>
              </w:rPr>
              <w:t>87.4</w:t>
            </w:r>
          </w:p>
        </w:tc>
      </w:tr>
    </w:tbl>
    <w:p w:rsidR="00D031CD" w:rsidRPr="00997604" w:rsidRDefault="00D031CD" w:rsidP="00D031CD">
      <w:pPr>
        <w:spacing w:line="360" w:lineRule="auto"/>
        <w:jc w:val="both"/>
        <w:rPr>
          <w:lang w:val="en-US" w:eastAsia="en-GB"/>
        </w:rPr>
      </w:pPr>
      <w:r w:rsidRPr="00997604">
        <w:rPr>
          <w:lang w:val="en-US" w:eastAsia="en-GB"/>
        </w:rPr>
        <w:t>*Piperazine-1,4-bis(2-ethanesulfonic acid) (PIPES) has limited solubility in water (1 g/L = 0.003307 M).</w:t>
      </w:r>
    </w:p>
    <w:p w:rsidR="00D031CD" w:rsidRPr="00997604" w:rsidRDefault="00D031CD" w:rsidP="00D031CD">
      <w:pPr>
        <w:jc w:val="center"/>
        <w:rPr>
          <w:lang w:val="en-US" w:eastAsia="en-GB"/>
        </w:rPr>
      </w:pPr>
      <w:r w:rsidRPr="00997604">
        <w:rPr>
          <w:noProof/>
          <w:lang w:eastAsia="en-IN"/>
        </w:rPr>
        <w:drawing>
          <wp:inline distT="0" distB="0" distL="0" distR="0" wp14:anchorId="118F8507" wp14:editId="49EF23E7">
            <wp:extent cx="4340728" cy="2213040"/>
            <wp:effectExtent l="0" t="0" r="3175"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5.png"/>
                    <pic:cNvPicPr/>
                  </pic:nvPicPr>
                  <pic:blipFill>
                    <a:blip r:embed="rId6">
                      <a:extLst>
                        <a:ext uri="{28A0092B-C50C-407E-A947-70E740481C1C}">
                          <a14:useLocalDpi xmlns:a14="http://schemas.microsoft.com/office/drawing/2010/main" val="0"/>
                        </a:ext>
                      </a:extLst>
                    </a:blip>
                    <a:stretch>
                      <a:fillRect/>
                    </a:stretch>
                  </pic:blipFill>
                  <pic:spPr>
                    <a:xfrm>
                      <a:off x="0" y="0"/>
                      <a:ext cx="4340728" cy="2213040"/>
                    </a:xfrm>
                    <a:prstGeom prst="rect">
                      <a:avLst/>
                    </a:prstGeom>
                  </pic:spPr>
                </pic:pic>
              </a:graphicData>
            </a:graphic>
          </wp:inline>
        </w:drawing>
      </w:r>
    </w:p>
    <w:p w:rsidR="00D031CD" w:rsidRPr="00997604" w:rsidRDefault="00D031CD" w:rsidP="00D031CD">
      <w:pPr>
        <w:spacing w:line="360" w:lineRule="auto"/>
        <w:jc w:val="both"/>
        <w:rPr>
          <w:lang w:val="en-US" w:eastAsia="en-GB"/>
        </w:rPr>
      </w:pPr>
      <w:r w:rsidRPr="00997604">
        <w:rPr>
          <w:b/>
          <w:lang w:val="en-US" w:eastAsia="en-GB"/>
        </w:rPr>
        <w:t>Figure 10.</w:t>
      </w:r>
      <w:r w:rsidRPr="00997604">
        <w:rPr>
          <w:lang w:val="en-US" w:eastAsia="en-GB"/>
        </w:rPr>
        <w:t xml:space="preserve"> Effect of different buffers on radiochemical yields.</w:t>
      </w:r>
    </w:p>
    <w:p w:rsidR="00D031CD" w:rsidRPr="00997604" w:rsidRDefault="00D031CD" w:rsidP="00D031CD">
      <w:pPr>
        <w:spacing w:line="480" w:lineRule="auto"/>
        <w:ind w:firstLine="720"/>
        <w:rPr>
          <w:lang w:val="en-US" w:eastAsia="en-GB"/>
        </w:rPr>
      </w:pPr>
    </w:p>
    <w:p w:rsidR="00D031CD" w:rsidRPr="00997604" w:rsidRDefault="00D031CD" w:rsidP="00D031CD">
      <w:pPr>
        <w:spacing w:line="360" w:lineRule="auto"/>
        <w:ind w:firstLine="567"/>
        <w:jc w:val="both"/>
        <w:rPr>
          <w:lang w:val="en-US" w:eastAsia="en-GB"/>
        </w:rPr>
      </w:pPr>
      <w:r w:rsidRPr="00997604">
        <w:rPr>
          <w:lang w:val="en-US" w:eastAsia="en-GB"/>
        </w:rPr>
        <w:lastRenderedPageBreak/>
        <w:t>The best labeling yields were achieved with 3-(N-morpholino)propanesulfonic acid (MOPS) and 4-(2-hydroxyethyl)piperazine-1-ethanesulfonic acid (HEPES) buffers (Figure 10.). Gallium recovery was poor in the case of HEPES and 4-morpholineethanesulfonic acid (MES) buffers. Labeling yield was higher in non-coordinating buffers, it was the best in HEPES. In our previous work with HEPES buffered [</w:t>
      </w:r>
      <w:r w:rsidRPr="00997604">
        <w:rPr>
          <w:vertAlign w:val="superscript"/>
          <w:lang w:val="en-US" w:eastAsia="en-GB"/>
        </w:rPr>
        <w:t>68</w:t>
      </w:r>
      <w:r w:rsidRPr="00997604">
        <w:rPr>
          <w:lang w:val="en-US" w:eastAsia="en-GB"/>
        </w:rPr>
        <w:t>Ga]Ga</w:t>
      </w:r>
      <w:r w:rsidRPr="00997604">
        <w:rPr>
          <w:vertAlign w:val="superscript"/>
          <w:lang w:val="en-US" w:eastAsia="en-GB"/>
        </w:rPr>
        <w:t>3+</w:t>
      </w:r>
      <w:r w:rsidRPr="00997604">
        <w:rPr>
          <w:lang w:val="en-US" w:eastAsia="en-GB"/>
        </w:rPr>
        <w:t>, we observed pH dependent adsorption of activity on the walls of the PEEK capillary reactor, which complicated the experimental work. We aimed to avoid cross contamination problems, related to the use of HEPES, so we chose to use ammonium acetate buffer for further experiments. The effect with the MOPS buffer is the opposite of that experienced with NOTA and DOTA using the microfluidic system (Figure 11.). We tested the MOPS buffer at pH 4 and pH 6.7, but the radiochemical yield was low in both cases, below 10%. With HEPES (similarly to the manual labeling), even at low chelator concentrations, the degree of complex formation could be easily measured, but due to its high tendency for adsorption its application in this system was not suitable either. The use of ammonium acetate buffer was well proven for both DOTA and NOTA, so we used it throughout the subsequent experiments for pH adjustment.</w:t>
      </w:r>
    </w:p>
    <w:p w:rsidR="00D031CD" w:rsidRPr="00ED162C" w:rsidRDefault="00D031CD" w:rsidP="00D031CD">
      <w:pPr>
        <w:jc w:val="center"/>
        <w:rPr>
          <w:lang w:val="en-US" w:eastAsia="en-GB"/>
        </w:rPr>
      </w:pPr>
      <w:r w:rsidRPr="00997604">
        <w:rPr>
          <w:noProof/>
          <w:lang w:eastAsia="en-IN"/>
        </w:rPr>
        <w:drawing>
          <wp:inline distT="0" distB="0" distL="0" distR="0" wp14:anchorId="76412C43" wp14:editId="3D4C0678">
            <wp:extent cx="4529721" cy="2164268"/>
            <wp:effectExtent l="0" t="0" r="4445" b="762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6.png"/>
                    <pic:cNvPicPr/>
                  </pic:nvPicPr>
                  <pic:blipFill>
                    <a:blip r:embed="rId7">
                      <a:extLst>
                        <a:ext uri="{28A0092B-C50C-407E-A947-70E740481C1C}">
                          <a14:useLocalDpi xmlns:a14="http://schemas.microsoft.com/office/drawing/2010/main" val="0"/>
                        </a:ext>
                      </a:extLst>
                    </a:blip>
                    <a:stretch>
                      <a:fillRect/>
                    </a:stretch>
                  </pic:blipFill>
                  <pic:spPr>
                    <a:xfrm>
                      <a:off x="0" y="0"/>
                      <a:ext cx="4529721" cy="2164268"/>
                    </a:xfrm>
                    <a:prstGeom prst="rect">
                      <a:avLst/>
                    </a:prstGeom>
                  </pic:spPr>
                </pic:pic>
              </a:graphicData>
            </a:graphic>
          </wp:inline>
        </w:drawing>
      </w:r>
    </w:p>
    <w:p w:rsidR="00D031CD" w:rsidRPr="00ED162C" w:rsidRDefault="00D031CD" w:rsidP="00D031CD">
      <w:pPr>
        <w:spacing w:line="360" w:lineRule="auto"/>
        <w:jc w:val="both"/>
        <w:rPr>
          <w:lang w:val="en-US" w:eastAsia="en-GB"/>
        </w:rPr>
      </w:pPr>
      <w:r w:rsidRPr="00ED162C">
        <w:rPr>
          <w:b/>
          <w:lang w:val="en-US" w:eastAsia="en-GB"/>
        </w:rPr>
        <w:t>Figure 11.</w:t>
      </w:r>
      <w:r w:rsidRPr="00ED162C">
        <w:rPr>
          <w:lang w:val="en-US" w:eastAsia="en-GB"/>
        </w:rPr>
        <w:t xml:space="preserve"> Comparison of the effect of buffers in a microfluidic system. (25 μL of AmAc, MOPS or HEPES buffer (2 M; pH 4.0) and 25 μL of DOTA or NOTA, 50 μL of </w:t>
      </w:r>
      <w:r w:rsidRPr="00ED162C">
        <w:rPr>
          <w:vertAlign w:val="superscript"/>
          <w:lang w:val="en-US" w:eastAsia="en-GB"/>
        </w:rPr>
        <w:t>68</w:t>
      </w:r>
      <w:r w:rsidRPr="00ED162C">
        <w:rPr>
          <w:lang w:val="en-US" w:eastAsia="en-GB"/>
        </w:rPr>
        <w:t>Ga, 100°C, 5 min.)</w:t>
      </w:r>
    </w:p>
    <w:p w:rsidR="00D031CD" w:rsidRPr="00ED162C" w:rsidRDefault="00D031CD" w:rsidP="00D031CD">
      <w:pPr>
        <w:rPr>
          <w:szCs w:val="20"/>
        </w:rPr>
      </w:pPr>
      <w:r w:rsidRPr="00ED162C">
        <w:br w:type="page"/>
      </w:r>
    </w:p>
    <w:p w:rsidR="00D031CD" w:rsidRPr="00ED162C" w:rsidRDefault="00D031CD" w:rsidP="00D031CD">
      <w:pPr>
        <w:pStyle w:val="JRNCBody"/>
        <w:jc w:val="center"/>
      </w:pPr>
      <w:r w:rsidRPr="00997604">
        <w:object w:dxaOrig="10263"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102.85pt" o:ole="">
            <v:imagedata r:id="rId8" o:title=""/>
          </v:shape>
          <o:OLEObject Type="Embed" ProgID="Unknown" ShapeID="_x0000_i1025" DrawAspect="Content" ObjectID="_1750156374" r:id="rId9"/>
        </w:object>
      </w:r>
    </w:p>
    <w:p w:rsidR="00D031CD" w:rsidRPr="00ED162C" w:rsidRDefault="00D031CD" w:rsidP="00D031CD">
      <w:pPr>
        <w:pStyle w:val="JRNCBody"/>
        <w:jc w:val="center"/>
      </w:pPr>
      <w:r w:rsidRPr="00997604">
        <w:object w:dxaOrig="9977" w:dyaOrig="2633">
          <v:shape id="_x0000_i1026" type="#_x0000_t75" style="width:431.05pt;height:114.1pt" o:ole="">
            <v:imagedata r:id="rId10" o:title=""/>
          </v:shape>
          <o:OLEObject Type="Embed" ProgID="Unknown" ShapeID="_x0000_i1026" DrawAspect="Content" ObjectID="_1750156375" r:id="rId11"/>
        </w:object>
      </w:r>
    </w:p>
    <w:p w:rsidR="00D031CD" w:rsidRPr="00ED162C" w:rsidRDefault="00D031CD" w:rsidP="00D031CD">
      <w:pPr>
        <w:pStyle w:val="JRNCBody"/>
        <w:jc w:val="center"/>
      </w:pPr>
      <w:r w:rsidRPr="00997604">
        <w:object w:dxaOrig="6672" w:dyaOrig="2508">
          <v:shape id="_x0000_i1027" type="#_x0000_t75" style="width:323.05pt;height:120.6pt" o:ole="">
            <v:imagedata r:id="rId12" o:title=""/>
          </v:shape>
          <o:OLEObject Type="Embed" ProgID="Unknown" ShapeID="_x0000_i1027" DrawAspect="Content" ObjectID="_1750156376" r:id="rId13"/>
        </w:object>
      </w:r>
    </w:p>
    <w:p w:rsidR="00D031CD" w:rsidRPr="00ED162C" w:rsidRDefault="00D031CD" w:rsidP="00D031CD">
      <w:pPr>
        <w:pStyle w:val="JRNCBody"/>
        <w:jc w:val="center"/>
      </w:pPr>
      <w:r w:rsidRPr="00997604">
        <w:object w:dxaOrig="10116" w:dyaOrig="2784">
          <v:shape id="_x0000_i1028" type="#_x0000_t75" style="width:448.85pt;height:123.9pt" o:ole="">
            <v:imagedata r:id="rId14" o:title=""/>
          </v:shape>
          <o:OLEObject Type="Embed" ProgID="Unknown" ShapeID="_x0000_i1028" DrawAspect="Content" ObjectID="_1750156377" r:id="rId15"/>
        </w:object>
      </w:r>
    </w:p>
    <w:p w:rsidR="00D031CD" w:rsidRPr="00ED162C" w:rsidRDefault="00D031CD" w:rsidP="00D031CD">
      <w:pPr>
        <w:pStyle w:val="JRNCBody"/>
      </w:pPr>
      <w:r w:rsidRPr="00997604">
        <w:rPr>
          <w:b/>
        </w:rPr>
        <w:t>Figure 12</w:t>
      </w:r>
      <w:r w:rsidRPr="00997604">
        <w:t>. Structures of the tested</w:t>
      </w:r>
      <w:r w:rsidRPr="00ED162C">
        <w:t xml:space="preserve"> </w:t>
      </w:r>
      <w:r w:rsidRPr="00997604">
        <w:rPr>
          <w:lang w:val="en-US"/>
        </w:rPr>
        <w:t>chelators.</w:t>
      </w:r>
    </w:p>
    <w:p w:rsidR="00D031CD" w:rsidRPr="00ED162C" w:rsidRDefault="00D031CD" w:rsidP="00D031CD">
      <w:pPr>
        <w:pStyle w:val="JRNCBody"/>
      </w:pPr>
    </w:p>
    <w:p w:rsidR="00D031CD" w:rsidRPr="00ED162C" w:rsidRDefault="00D031CD" w:rsidP="00D031CD">
      <w:pPr>
        <w:pStyle w:val="JRNCBody"/>
        <w:jc w:val="center"/>
      </w:pPr>
      <w:r w:rsidRPr="00997604">
        <w:rPr>
          <w:noProof/>
          <w:lang w:val="en-IN" w:eastAsia="en-IN"/>
        </w:rPr>
        <w:lastRenderedPageBreak/>
        <w:drawing>
          <wp:inline distT="0" distB="0" distL="0" distR="0" wp14:anchorId="28A0F473" wp14:editId="41CEA4DD">
            <wp:extent cx="3600000" cy="1857500"/>
            <wp:effectExtent l="0" t="0" r="635" b="952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0000" cy="1857500"/>
                    </a:xfrm>
                    <a:prstGeom prst="rect">
                      <a:avLst/>
                    </a:prstGeom>
                  </pic:spPr>
                </pic:pic>
              </a:graphicData>
            </a:graphic>
          </wp:inline>
        </w:drawing>
      </w:r>
    </w:p>
    <w:p w:rsidR="00D031CD" w:rsidRPr="00997604" w:rsidRDefault="00D031CD" w:rsidP="00D031CD">
      <w:pPr>
        <w:spacing w:line="360" w:lineRule="auto"/>
        <w:jc w:val="both"/>
        <w:rPr>
          <w:lang w:val="en-US" w:eastAsia="en-GB"/>
        </w:rPr>
      </w:pPr>
      <w:r w:rsidRPr="00997604">
        <w:rPr>
          <w:b/>
          <w:lang w:val="en-US" w:eastAsia="en-GB"/>
        </w:rPr>
        <w:t>Figure 13.</w:t>
      </w:r>
      <w:r w:rsidRPr="00997604">
        <w:rPr>
          <w:lang w:val="en-US" w:eastAsia="en-GB"/>
        </w:rPr>
        <w:t xml:space="preserve"> </w:t>
      </w:r>
      <w:r w:rsidRPr="00997604">
        <w:rPr>
          <w:vertAlign w:val="superscript"/>
          <w:lang w:val="en-US" w:eastAsia="en-GB"/>
        </w:rPr>
        <w:t>68</w:t>
      </w:r>
      <w:r w:rsidRPr="00997604">
        <w:rPr>
          <w:lang w:val="en-US" w:eastAsia="en-GB"/>
        </w:rPr>
        <w:t xml:space="preserve">Ga and </w:t>
      </w:r>
      <w:bookmarkStart w:id="1" w:name="_Hlk136130300"/>
      <w:r w:rsidRPr="00997604">
        <w:rPr>
          <w:lang w:val="en-US" w:eastAsia="en-GB"/>
        </w:rPr>
        <w:t>[</w:t>
      </w:r>
      <w:r w:rsidRPr="00997604">
        <w:rPr>
          <w:vertAlign w:val="superscript"/>
          <w:lang w:val="en-US" w:eastAsia="en-GB"/>
        </w:rPr>
        <w:t>68</w:t>
      </w:r>
      <w:r w:rsidRPr="00997604">
        <w:rPr>
          <w:lang w:val="en-US" w:eastAsia="en-GB"/>
        </w:rPr>
        <w:t>Ga]Ga-NO</w:t>
      </w:r>
      <w:r w:rsidRPr="00997604">
        <w:rPr>
          <w:vertAlign w:val="subscript"/>
          <w:lang w:val="en-US" w:eastAsia="en-GB"/>
        </w:rPr>
        <w:t>2</w:t>
      </w:r>
      <w:r w:rsidRPr="00997604">
        <w:rPr>
          <w:lang w:val="en-US" w:eastAsia="en-GB"/>
        </w:rPr>
        <w:t>BzDOTA</w:t>
      </w:r>
      <w:bookmarkEnd w:id="1"/>
      <w:r w:rsidRPr="00997604">
        <w:rPr>
          <w:lang w:val="en-US" w:eastAsia="en-GB"/>
        </w:rPr>
        <w:t xml:space="preserve"> (1.149 min) radiochromatographic separation.</w:t>
      </w:r>
    </w:p>
    <w:p w:rsidR="00D031CD" w:rsidRPr="00ED162C" w:rsidRDefault="00D031CD" w:rsidP="00D031CD">
      <w:pPr>
        <w:pStyle w:val="JRNCBody"/>
        <w:jc w:val="center"/>
      </w:pPr>
      <w:r w:rsidRPr="00997604">
        <w:rPr>
          <w:noProof/>
          <w:lang w:val="en-IN" w:eastAsia="en-IN"/>
        </w:rPr>
        <w:drawing>
          <wp:inline distT="0" distB="0" distL="0" distR="0" wp14:anchorId="2F9777E5" wp14:editId="60DF5C37">
            <wp:extent cx="3600000" cy="1907500"/>
            <wp:effectExtent l="0" t="0" r="635" b="0"/>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00000" cy="1907500"/>
                    </a:xfrm>
                    <a:prstGeom prst="rect">
                      <a:avLst/>
                    </a:prstGeom>
                  </pic:spPr>
                </pic:pic>
              </a:graphicData>
            </a:graphic>
          </wp:inline>
        </w:drawing>
      </w:r>
    </w:p>
    <w:p w:rsidR="00D031CD" w:rsidRPr="00997604" w:rsidRDefault="00D031CD" w:rsidP="00D031CD">
      <w:pPr>
        <w:spacing w:line="360" w:lineRule="auto"/>
        <w:jc w:val="both"/>
        <w:rPr>
          <w:lang w:val="en-US" w:eastAsia="en-GB"/>
        </w:rPr>
      </w:pPr>
      <w:r w:rsidRPr="00997604">
        <w:rPr>
          <w:b/>
          <w:lang w:val="en-US" w:eastAsia="en-GB"/>
        </w:rPr>
        <w:t>Figure 14.</w:t>
      </w:r>
      <w:r w:rsidRPr="00997604">
        <w:rPr>
          <w:lang w:val="en-US" w:eastAsia="en-GB"/>
        </w:rPr>
        <w:t xml:space="preserve"> </w:t>
      </w:r>
      <w:r w:rsidRPr="00997604">
        <w:rPr>
          <w:vertAlign w:val="superscript"/>
          <w:lang w:val="en-US" w:eastAsia="en-GB"/>
        </w:rPr>
        <w:t>68</w:t>
      </w:r>
      <w:r w:rsidRPr="00997604">
        <w:rPr>
          <w:lang w:val="en-US" w:eastAsia="en-GB"/>
        </w:rPr>
        <w:t xml:space="preserve">Ga and </w:t>
      </w:r>
      <w:bookmarkStart w:id="2" w:name="_Hlk136130315"/>
      <w:r w:rsidRPr="00997604">
        <w:rPr>
          <w:lang w:val="en-US" w:eastAsia="en-GB"/>
        </w:rPr>
        <w:t>[</w:t>
      </w:r>
      <w:r w:rsidRPr="00997604">
        <w:rPr>
          <w:vertAlign w:val="superscript"/>
          <w:lang w:val="en-US" w:eastAsia="en-GB"/>
        </w:rPr>
        <w:t>68</w:t>
      </w:r>
      <w:r w:rsidRPr="00997604">
        <w:rPr>
          <w:lang w:val="en-US" w:eastAsia="en-GB"/>
        </w:rPr>
        <w:t xml:space="preserve">Ga]Ga-AAZTA-C4 </w:t>
      </w:r>
      <w:bookmarkEnd w:id="2"/>
      <w:r w:rsidRPr="00997604">
        <w:rPr>
          <w:lang w:val="en-US" w:eastAsia="en-GB"/>
        </w:rPr>
        <w:t>(0.854 min) radiochromatographic separation.</w:t>
      </w:r>
    </w:p>
    <w:p w:rsidR="00D031CD" w:rsidRPr="00ED162C" w:rsidRDefault="00D031CD" w:rsidP="00D031CD">
      <w:pPr>
        <w:pStyle w:val="JRNCBody"/>
        <w:jc w:val="center"/>
      </w:pPr>
      <w:r w:rsidRPr="00997604">
        <w:rPr>
          <w:noProof/>
          <w:lang w:val="en-IN" w:eastAsia="en-IN"/>
        </w:rPr>
        <w:drawing>
          <wp:inline distT="0" distB="0" distL="0" distR="0" wp14:anchorId="73E18384" wp14:editId="2D7F617B">
            <wp:extent cx="3600000" cy="1896250"/>
            <wp:effectExtent l="0" t="0" r="635" b="8890"/>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0000" cy="1896250"/>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15.</w:t>
      </w:r>
      <w:r w:rsidRPr="00997604">
        <w:rPr>
          <w:lang w:val="en-US" w:eastAsia="en-GB"/>
        </w:rPr>
        <w:t xml:space="preserve"> </w:t>
      </w:r>
      <w:r w:rsidRPr="00997604">
        <w:rPr>
          <w:vertAlign w:val="superscript"/>
          <w:lang w:val="en-US" w:eastAsia="en-GB"/>
        </w:rPr>
        <w:t>68</w:t>
      </w:r>
      <w:r w:rsidRPr="00997604">
        <w:rPr>
          <w:lang w:val="en-US" w:eastAsia="en-GB"/>
        </w:rPr>
        <w:t xml:space="preserve">Ga and </w:t>
      </w:r>
      <w:bookmarkStart w:id="3" w:name="_Hlk136130324"/>
      <w:r w:rsidRPr="00997604">
        <w:rPr>
          <w:lang w:val="en-US" w:eastAsia="en-GB"/>
        </w:rPr>
        <w:t>[</w:t>
      </w:r>
      <w:r w:rsidRPr="00997604">
        <w:rPr>
          <w:vertAlign w:val="superscript"/>
          <w:lang w:val="en-US" w:eastAsia="en-GB"/>
        </w:rPr>
        <w:t>68</w:t>
      </w:r>
      <w:r w:rsidRPr="00997604">
        <w:rPr>
          <w:lang w:val="en-US" w:eastAsia="en-GB"/>
        </w:rPr>
        <w:t xml:space="preserve">Ga]Ga-AAZTA </w:t>
      </w:r>
      <w:bookmarkEnd w:id="3"/>
      <w:r w:rsidRPr="00997604">
        <w:rPr>
          <w:lang w:val="en-US" w:eastAsia="en-GB"/>
        </w:rPr>
        <w:t>(0.857 min) radiochromatographic separation.</w:t>
      </w:r>
    </w:p>
    <w:p w:rsidR="00D031CD" w:rsidRPr="00ED162C" w:rsidRDefault="00D031CD" w:rsidP="00D031CD">
      <w:pPr>
        <w:pStyle w:val="JRNCBody"/>
        <w:jc w:val="center"/>
      </w:pPr>
      <w:r w:rsidRPr="00997604">
        <w:rPr>
          <w:noProof/>
          <w:lang w:val="en-IN" w:eastAsia="en-IN"/>
        </w:rPr>
        <w:lastRenderedPageBreak/>
        <w:drawing>
          <wp:inline distT="0" distB="0" distL="0" distR="0" wp14:anchorId="0ACB6F59" wp14:editId="397B5DA2">
            <wp:extent cx="3600000" cy="1898750"/>
            <wp:effectExtent l="0" t="0" r="635" b="635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0000" cy="1898750"/>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16.</w:t>
      </w:r>
      <w:r w:rsidRPr="00997604">
        <w:rPr>
          <w:lang w:val="en-US" w:eastAsia="en-GB"/>
        </w:rPr>
        <w:t xml:space="preserve"> </w:t>
      </w:r>
      <w:r w:rsidRPr="00997604">
        <w:rPr>
          <w:vertAlign w:val="superscript"/>
          <w:lang w:val="en-US" w:eastAsia="en-GB"/>
        </w:rPr>
        <w:t>68</w:t>
      </w:r>
      <w:r w:rsidRPr="00997604">
        <w:rPr>
          <w:lang w:val="en-US" w:eastAsia="en-GB"/>
        </w:rPr>
        <w:t xml:space="preserve">Ga and </w:t>
      </w:r>
      <w:bookmarkStart w:id="4" w:name="_Hlk136130341"/>
      <w:r w:rsidRPr="00997604">
        <w:rPr>
          <w:lang w:val="en-US" w:eastAsia="en-GB"/>
        </w:rPr>
        <w:t>[</w:t>
      </w:r>
      <w:r w:rsidRPr="00997604">
        <w:rPr>
          <w:vertAlign w:val="superscript"/>
          <w:lang w:val="en-US" w:eastAsia="en-GB"/>
        </w:rPr>
        <w:t>68</w:t>
      </w:r>
      <w:r w:rsidRPr="00997604">
        <w:rPr>
          <w:lang w:val="en-US" w:eastAsia="en-GB"/>
        </w:rPr>
        <w:t xml:space="preserve">Ga]Ga-HXTA </w:t>
      </w:r>
      <w:bookmarkEnd w:id="4"/>
      <w:r w:rsidRPr="00997604">
        <w:rPr>
          <w:lang w:val="en-US" w:eastAsia="en-GB"/>
        </w:rPr>
        <w:t>(1.147 min) radiochromatographic separation.</w:t>
      </w:r>
    </w:p>
    <w:p w:rsidR="00D031CD" w:rsidRPr="00ED162C" w:rsidRDefault="00D031CD" w:rsidP="00D031CD">
      <w:pPr>
        <w:pStyle w:val="JRNCBody"/>
        <w:jc w:val="center"/>
      </w:pPr>
      <w:r w:rsidRPr="00997604">
        <w:rPr>
          <w:noProof/>
          <w:lang w:val="en-IN" w:eastAsia="en-IN"/>
        </w:rPr>
        <w:drawing>
          <wp:inline distT="0" distB="0" distL="0" distR="0" wp14:anchorId="4CC3E173" wp14:editId="11ACCB34">
            <wp:extent cx="3600000" cy="1885417"/>
            <wp:effectExtent l="0" t="0" r="635" b="635"/>
            <wp:docPr id="1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00000" cy="1885417"/>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17.</w:t>
      </w:r>
      <w:r w:rsidRPr="00997604">
        <w:rPr>
          <w:lang w:val="en-US" w:eastAsia="en-GB"/>
        </w:rPr>
        <w:t xml:space="preserve"> </w:t>
      </w:r>
      <w:r w:rsidRPr="00997604">
        <w:rPr>
          <w:vertAlign w:val="superscript"/>
          <w:lang w:val="en-US" w:eastAsia="en-GB"/>
        </w:rPr>
        <w:t>68</w:t>
      </w:r>
      <w:r w:rsidRPr="00997604">
        <w:rPr>
          <w:lang w:val="en-US" w:eastAsia="en-GB"/>
        </w:rPr>
        <w:t>Ga and [</w:t>
      </w:r>
      <w:r w:rsidRPr="00997604">
        <w:rPr>
          <w:vertAlign w:val="superscript"/>
          <w:lang w:val="en-US" w:eastAsia="en-GB"/>
        </w:rPr>
        <w:t>68</w:t>
      </w:r>
      <w:r w:rsidRPr="00997604">
        <w:rPr>
          <w:lang w:val="en-US" w:eastAsia="en-GB"/>
        </w:rPr>
        <w:t>Ga]Ga-NOPO (0.850 and 1.121 min) radiochromatographic separation.</w:t>
      </w:r>
    </w:p>
    <w:p w:rsidR="00D031CD" w:rsidRPr="00ED162C" w:rsidRDefault="00D031CD" w:rsidP="00D031CD">
      <w:pPr>
        <w:pStyle w:val="JRNCBody"/>
        <w:jc w:val="center"/>
      </w:pPr>
      <w:r w:rsidRPr="00997604">
        <w:rPr>
          <w:noProof/>
          <w:lang w:val="en-IN" w:eastAsia="en-IN"/>
        </w:rPr>
        <w:drawing>
          <wp:inline distT="0" distB="0" distL="0" distR="0" wp14:anchorId="2CFC35E0" wp14:editId="62AB9DC0">
            <wp:extent cx="3600000" cy="1864167"/>
            <wp:effectExtent l="0" t="0" r="635" b="3175"/>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000" cy="1864167"/>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18.</w:t>
      </w:r>
      <w:r w:rsidRPr="00997604">
        <w:rPr>
          <w:lang w:val="en-US" w:eastAsia="en-GB"/>
        </w:rPr>
        <w:t xml:space="preserve"> </w:t>
      </w:r>
      <w:r w:rsidRPr="00997604">
        <w:rPr>
          <w:vertAlign w:val="superscript"/>
          <w:lang w:val="en-US" w:eastAsia="en-GB"/>
        </w:rPr>
        <w:t>68</w:t>
      </w:r>
      <w:r w:rsidRPr="00997604">
        <w:rPr>
          <w:lang w:val="en-US" w:eastAsia="en-GB"/>
        </w:rPr>
        <w:t>Ga and [</w:t>
      </w:r>
      <w:r w:rsidRPr="00997604">
        <w:rPr>
          <w:vertAlign w:val="superscript"/>
          <w:lang w:val="en-US" w:eastAsia="en-GB"/>
        </w:rPr>
        <w:t>68</w:t>
      </w:r>
      <w:r w:rsidRPr="00997604">
        <w:rPr>
          <w:lang w:val="en-US" w:eastAsia="en-GB"/>
        </w:rPr>
        <w:t>Ga]Ga-TRAP (0.835 and 1.145 min) radiochromatographic separation.</w:t>
      </w:r>
    </w:p>
    <w:p w:rsidR="00D031CD" w:rsidRPr="00ED162C" w:rsidRDefault="00D031CD" w:rsidP="00D031CD">
      <w:pPr>
        <w:pStyle w:val="JRNCBody"/>
        <w:jc w:val="center"/>
      </w:pPr>
      <w:r w:rsidRPr="00997604">
        <w:rPr>
          <w:noProof/>
          <w:lang w:val="en-IN" w:eastAsia="en-IN"/>
        </w:rPr>
        <w:lastRenderedPageBreak/>
        <w:drawing>
          <wp:inline distT="0" distB="0" distL="0" distR="0" wp14:anchorId="6CCFC49C" wp14:editId="79B68A28">
            <wp:extent cx="3600000" cy="1901250"/>
            <wp:effectExtent l="0" t="0" r="635" b="3810"/>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00000" cy="1901250"/>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19.</w:t>
      </w:r>
      <w:r w:rsidRPr="00997604">
        <w:rPr>
          <w:lang w:val="en-US" w:eastAsia="en-GB"/>
        </w:rPr>
        <w:t xml:space="preserve"> </w:t>
      </w:r>
      <w:r w:rsidRPr="00997604">
        <w:rPr>
          <w:vertAlign w:val="superscript"/>
          <w:lang w:val="en-US" w:eastAsia="en-GB"/>
        </w:rPr>
        <w:t>68</w:t>
      </w:r>
      <w:r w:rsidRPr="00997604">
        <w:rPr>
          <w:lang w:val="en-US" w:eastAsia="en-GB"/>
        </w:rPr>
        <w:t xml:space="preserve">Ga (3.167 min) and </w:t>
      </w:r>
      <w:bookmarkStart w:id="5" w:name="_Hlk136130728"/>
      <w:r w:rsidRPr="00997604">
        <w:rPr>
          <w:lang w:val="en-US" w:eastAsia="en-GB"/>
        </w:rPr>
        <w:t>[</w:t>
      </w:r>
      <w:r w:rsidRPr="00997604">
        <w:rPr>
          <w:vertAlign w:val="superscript"/>
          <w:lang w:val="en-US" w:eastAsia="en-GB"/>
        </w:rPr>
        <w:t>68</w:t>
      </w:r>
      <w:r w:rsidRPr="00997604">
        <w:rPr>
          <w:lang w:val="en-US" w:eastAsia="en-GB"/>
        </w:rPr>
        <w:t xml:space="preserve">Ga]Ga-DTPA </w:t>
      </w:r>
      <w:bookmarkEnd w:id="5"/>
      <w:r w:rsidRPr="00997604">
        <w:rPr>
          <w:lang w:val="en-US" w:eastAsia="en-GB"/>
        </w:rPr>
        <w:t>(0.810 min) radiochromatographic separation.</w:t>
      </w:r>
    </w:p>
    <w:p w:rsidR="00D031CD" w:rsidRPr="00ED162C" w:rsidRDefault="00D031CD" w:rsidP="00D031CD">
      <w:pPr>
        <w:pStyle w:val="JRNCBody"/>
        <w:jc w:val="center"/>
      </w:pPr>
      <w:r w:rsidRPr="00997604">
        <w:rPr>
          <w:noProof/>
          <w:lang w:val="en-IN" w:eastAsia="en-IN"/>
        </w:rPr>
        <w:drawing>
          <wp:inline distT="0" distB="0" distL="0" distR="0" wp14:anchorId="6ADF198A" wp14:editId="0BE3AA76">
            <wp:extent cx="3600000" cy="1853750"/>
            <wp:effectExtent l="0" t="0" r="635" b="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0000" cy="1853750"/>
                    </a:xfrm>
                    <a:prstGeom prst="rect">
                      <a:avLst/>
                    </a:prstGeom>
                  </pic:spPr>
                </pic:pic>
              </a:graphicData>
            </a:graphic>
          </wp:inline>
        </w:drawing>
      </w:r>
    </w:p>
    <w:p w:rsidR="00D031CD" w:rsidRPr="00997604" w:rsidRDefault="00D031CD" w:rsidP="00D031CD">
      <w:pPr>
        <w:pStyle w:val="JRNCBody"/>
        <w:rPr>
          <w:lang w:val="en-US" w:eastAsia="en-GB"/>
        </w:rPr>
      </w:pPr>
      <w:r w:rsidRPr="00997604">
        <w:rPr>
          <w:b/>
          <w:lang w:val="en-US" w:eastAsia="en-GB"/>
        </w:rPr>
        <w:t>Figure 20.</w:t>
      </w:r>
      <w:r w:rsidRPr="00997604">
        <w:rPr>
          <w:lang w:val="en-US" w:eastAsia="en-GB"/>
        </w:rPr>
        <w:t xml:space="preserve"> </w:t>
      </w:r>
      <w:r w:rsidRPr="00997604">
        <w:rPr>
          <w:vertAlign w:val="superscript"/>
          <w:lang w:val="en-US" w:eastAsia="en-GB"/>
        </w:rPr>
        <w:t>68</w:t>
      </w:r>
      <w:r w:rsidRPr="00997604">
        <w:rPr>
          <w:lang w:val="en-US" w:eastAsia="en-GB"/>
        </w:rPr>
        <w:t xml:space="preserve">Ga (3.054 min) and </w:t>
      </w:r>
      <w:bookmarkStart w:id="6" w:name="_Hlk136130738"/>
      <w:r w:rsidRPr="00997604">
        <w:rPr>
          <w:lang w:val="en-US" w:eastAsia="en-GB"/>
        </w:rPr>
        <w:t>[</w:t>
      </w:r>
      <w:r w:rsidRPr="00997604">
        <w:rPr>
          <w:vertAlign w:val="superscript"/>
          <w:lang w:val="en-US" w:eastAsia="en-GB"/>
        </w:rPr>
        <w:t>68</w:t>
      </w:r>
      <w:r w:rsidRPr="00997604">
        <w:rPr>
          <w:lang w:val="en-US" w:eastAsia="en-GB"/>
        </w:rPr>
        <w:t xml:space="preserve">Ga]Ga-EDTA </w:t>
      </w:r>
      <w:bookmarkEnd w:id="6"/>
      <w:r w:rsidRPr="00997604">
        <w:rPr>
          <w:lang w:val="en-US" w:eastAsia="en-GB"/>
        </w:rPr>
        <w:t>(0.827 min) radiochromatographic separation.</w:t>
      </w:r>
    </w:p>
    <w:p w:rsidR="00D031CD" w:rsidRPr="00997604" w:rsidRDefault="00D031CD" w:rsidP="00D031CD">
      <w:pPr>
        <w:spacing w:line="360" w:lineRule="auto"/>
        <w:ind w:firstLine="567"/>
        <w:jc w:val="both"/>
      </w:pPr>
      <w:r w:rsidRPr="00997604">
        <w:t xml:space="preserve">The negatively charged complexes ( </w:t>
      </w:r>
      <w:r w:rsidRPr="00997604">
        <w:rPr>
          <w:lang w:val="en-US" w:eastAsia="en-GB"/>
        </w:rPr>
        <w:t>[</w:t>
      </w:r>
      <w:r w:rsidRPr="00997604">
        <w:rPr>
          <w:vertAlign w:val="superscript"/>
          <w:lang w:val="en-US" w:eastAsia="en-GB"/>
        </w:rPr>
        <w:t>68</w:t>
      </w:r>
      <w:r w:rsidRPr="00997604">
        <w:rPr>
          <w:lang w:val="en-US" w:eastAsia="en-GB"/>
        </w:rPr>
        <w:t>Ga]Ga-NO</w:t>
      </w:r>
      <w:r w:rsidRPr="00997604">
        <w:rPr>
          <w:vertAlign w:val="subscript"/>
          <w:lang w:val="en-US" w:eastAsia="en-GB"/>
        </w:rPr>
        <w:t>2</w:t>
      </w:r>
      <w:r w:rsidRPr="00997604">
        <w:rPr>
          <w:lang w:val="en-US" w:eastAsia="en-GB"/>
        </w:rPr>
        <w:t>BzDOTA, [</w:t>
      </w:r>
      <w:r w:rsidRPr="00997604">
        <w:rPr>
          <w:vertAlign w:val="superscript"/>
          <w:lang w:val="en-US" w:eastAsia="en-GB"/>
        </w:rPr>
        <w:t>68</w:t>
      </w:r>
      <w:r w:rsidRPr="00997604">
        <w:rPr>
          <w:lang w:val="en-US" w:eastAsia="en-GB"/>
        </w:rPr>
        <w:t>Ga]Ga-AAZTA-C4, [</w:t>
      </w:r>
      <w:r w:rsidRPr="00997604">
        <w:rPr>
          <w:vertAlign w:val="superscript"/>
          <w:lang w:val="en-US" w:eastAsia="en-GB"/>
        </w:rPr>
        <w:t>68</w:t>
      </w:r>
      <w:r w:rsidRPr="00997604">
        <w:rPr>
          <w:lang w:val="en-US" w:eastAsia="en-GB"/>
        </w:rPr>
        <w:t>Ga]Ga-AAZTA, [</w:t>
      </w:r>
      <w:r w:rsidRPr="00997604">
        <w:rPr>
          <w:vertAlign w:val="superscript"/>
          <w:lang w:val="en-US" w:eastAsia="en-GB"/>
        </w:rPr>
        <w:t>68</w:t>
      </w:r>
      <w:r w:rsidRPr="00997604">
        <w:rPr>
          <w:lang w:val="en-US" w:eastAsia="en-GB"/>
        </w:rPr>
        <w:t>Ga]Ga-DTPA, [</w:t>
      </w:r>
      <w:r w:rsidRPr="00997604">
        <w:rPr>
          <w:vertAlign w:val="superscript"/>
          <w:lang w:val="en-US" w:eastAsia="en-GB"/>
        </w:rPr>
        <w:t>68</w:t>
      </w:r>
      <w:r w:rsidRPr="00997604">
        <w:rPr>
          <w:lang w:val="en-US" w:eastAsia="en-GB"/>
        </w:rPr>
        <w:t>Ga]Ga-EDTA</w:t>
      </w:r>
      <w:r w:rsidRPr="00997604">
        <w:t>) elute at 0.85 min, the neutrals (</w:t>
      </w:r>
      <w:r w:rsidRPr="00997604">
        <w:rPr>
          <w:lang w:val="en-US" w:eastAsia="en-GB"/>
        </w:rPr>
        <w:t>[</w:t>
      </w:r>
      <w:r w:rsidRPr="00997604">
        <w:rPr>
          <w:vertAlign w:val="superscript"/>
          <w:lang w:val="en-US" w:eastAsia="en-GB"/>
        </w:rPr>
        <w:t>68</w:t>
      </w:r>
      <w:r w:rsidRPr="00997604">
        <w:rPr>
          <w:lang w:val="en-US" w:eastAsia="en-GB"/>
        </w:rPr>
        <w:t>Ga]Ga-HXTA</w:t>
      </w:r>
      <w:r w:rsidRPr="00997604">
        <w:t>) at 1.15 min. The low retention of negatively charged forms can be explained by the ion exclusion effect. NOPO and TRAP elute as double peaks, corresponding to their neutral and negatively charged forms at the eluent pH due to protonation equilibrium [28].</w:t>
      </w:r>
    </w:p>
    <w:p w:rsidR="00C079B4" w:rsidRDefault="00C079B4"/>
    <w:sectPr w:rsidR="00C079B4" w:rsidSect="00D031CD">
      <w:headerReference w:type="default" r:id="rId24"/>
      <w:footerReference w:type="even" r:id="rId25"/>
      <w:footerReference w:type="default" r:id="rId26"/>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544" w:rsidRDefault="00D031CD" w:rsidP="00EF62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4544" w:rsidRDefault="00D031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544" w:rsidRDefault="00D031CD" w:rsidP="00EF62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74544" w:rsidRDefault="00D031C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544" w:rsidRPr="00667A78" w:rsidRDefault="00D031CD">
    <w:pPr>
      <w:pStyle w:val="Header"/>
      <w:rPr>
        <w:i/>
      </w:rPr>
    </w:pPr>
    <w:r>
      <w:rPr>
        <w:i/>
      </w:rPr>
      <w:t>JRNC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CD"/>
    <w:rsid w:val="0000394A"/>
    <w:rsid w:val="001B0905"/>
    <w:rsid w:val="006E612B"/>
    <w:rsid w:val="007A582F"/>
    <w:rsid w:val="00B11B5D"/>
    <w:rsid w:val="00C079B4"/>
    <w:rsid w:val="00D031CD"/>
    <w:rsid w:val="00D46D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25A749-6C77-4F0F-8275-E39AFED6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D031CD"/>
    <w:pPr>
      <w:tabs>
        <w:tab w:val="center" w:pos="4320"/>
        <w:tab w:val="right" w:pos="8640"/>
      </w:tabs>
      <w:spacing w:after="0" w:line="240" w:lineRule="auto"/>
    </w:pPr>
    <w:rPr>
      <w:rFonts w:ascii="Times New Roman" w:eastAsia="Times New Roman" w:hAnsi="Times New Roman" w:cs="Times New Roman"/>
      <w:sz w:val="24"/>
      <w:szCs w:val="24"/>
      <w:lang w:val="hu-HU" w:eastAsia="hu-HU"/>
    </w:rPr>
  </w:style>
  <w:style w:type="character" w:customStyle="1" w:styleId="FooterChar">
    <w:name w:val="Footer Char"/>
    <w:basedOn w:val="DefaultParagraphFont"/>
    <w:link w:val="Footer"/>
    <w:semiHidden/>
    <w:rsid w:val="00D031CD"/>
    <w:rPr>
      <w:rFonts w:ascii="Times New Roman" w:eastAsia="Times New Roman" w:hAnsi="Times New Roman" w:cs="Times New Roman"/>
      <w:sz w:val="24"/>
      <w:szCs w:val="24"/>
      <w:lang w:val="hu-HU" w:eastAsia="hu-HU"/>
    </w:rPr>
  </w:style>
  <w:style w:type="character" w:styleId="PageNumber">
    <w:name w:val="page number"/>
    <w:basedOn w:val="DefaultParagraphFont"/>
    <w:rsid w:val="00D031CD"/>
  </w:style>
  <w:style w:type="paragraph" w:customStyle="1" w:styleId="JRNCTitle">
    <w:name w:val="JRNC_Title"/>
    <w:basedOn w:val="Normal"/>
    <w:next w:val="Normal"/>
    <w:rsid w:val="00D031CD"/>
    <w:pPr>
      <w:spacing w:before="480" w:after="300" w:line="360" w:lineRule="auto"/>
      <w:jc w:val="center"/>
      <w:outlineLvl w:val="0"/>
    </w:pPr>
    <w:rPr>
      <w:rFonts w:ascii="Times New Roman" w:eastAsia="Times New Roman" w:hAnsi="Times New Roman" w:cs="Arial"/>
      <w:b/>
      <w:bCs/>
      <w:kern w:val="28"/>
      <w:sz w:val="36"/>
      <w:szCs w:val="32"/>
      <w:lang w:val="en-US" w:eastAsia="hu-HU"/>
    </w:rPr>
  </w:style>
  <w:style w:type="paragraph" w:customStyle="1" w:styleId="JRNCBody">
    <w:name w:val="JRNC_Body"/>
    <w:basedOn w:val="Normal"/>
    <w:rsid w:val="00D031CD"/>
    <w:pPr>
      <w:spacing w:before="240" w:after="240" w:line="360" w:lineRule="auto"/>
      <w:jc w:val="both"/>
    </w:pPr>
    <w:rPr>
      <w:rFonts w:ascii="Times New Roman" w:eastAsia="Times New Roman" w:hAnsi="Times New Roman" w:cs="Times New Roman"/>
      <w:sz w:val="24"/>
      <w:szCs w:val="20"/>
      <w:lang w:val="hu-HU" w:eastAsia="hu-HU"/>
    </w:rPr>
  </w:style>
  <w:style w:type="paragraph" w:styleId="Header">
    <w:name w:val="header"/>
    <w:basedOn w:val="Normal"/>
    <w:link w:val="HeaderChar"/>
    <w:rsid w:val="00D031CD"/>
    <w:pPr>
      <w:tabs>
        <w:tab w:val="center" w:pos="4320"/>
        <w:tab w:val="right" w:pos="8640"/>
      </w:tabs>
      <w:spacing w:after="0" w:line="240" w:lineRule="auto"/>
    </w:pPr>
    <w:rPr>
      <w:rFonts w:ascii="Times New Roman" w:eastAsia="Times New Roman" w:hAnsi="Times New Roman" w:cs="Times New Roman"/>
      <w:sz w:val="24"/>
      <w:szCs w:val="24"/>
      <w:lang w:val="hu-HU" w:eastAsia="hu-HU"/>
    </w:rPr>
  </w:style>
  <w:style w:type="character" w:customStyle="1" w:styleId="HeaderChar">
    <w:name w:val="Header Char"/>
    <w:basedOn w:val="DefaultParagraphFont"/>
    <w:link w:val="Header"/>
    <w:rsid w:val="00D031CD"/>
    <w:rPr>
      <w:rFonts w:ascii="Times New Roman" w:eastAsia="Times New Roman" w:hAnsi="Times New Roman" w:cs="Times New Roman"/>
      <w:sz w:val="24"/>
      <w:szCs w:val="24"/>
      <w:lang w:val="hu-HU" w:eastAsia="hu-HU"/>
    </w:rPr>
  </w:style>
  <w:style w:type="character" w:styleId="LineNumber">
    <w:name w:val="line number"/>
    <w:basedOn w:val="DefaultParagraphFont"/>
    <w:uiPriority w:val="99"/>
    <w:semiHidden/>
    <w:unhideWhenUsed/>
    <w:rsid w:val="00D03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oleObject" Target="embeddings/oleObject3.bin"/><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4.png"/><Relationship Id="rId12" Type="http://schemas.openxmlformats.org/officeDocument/2006/relationships/image" Target="media/image7.emf"/><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image" Target="media/image2.jpeg"/><Relationship Id="rId15" Type="http://schemas.openxmlformats.org/officeDocument/2006/relationships/oleObject" Target="embeddings/oleObject4.bin"/><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oleObject" Target="embeddings/oleObject1.bin"/><Relationship Id="rId14" Type="http://schemas.openxmlformats.org/officeDocument/2006/relationships/image" Target="media/image8.emf"/><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Sagashreshvaran S.</dc:creator>
  <cp:keywords/>
  <dc:description/>
  <cp:lastModifiedBy>Sagashreshvaran S.</cp:lastModifiedBy>
  <cp:revision>1</cp:revision>
  <dcterms:created xsi:type="dcterms:W3CDTF">2023-07-06T08:16:00Z</dcterms:created>
  <dcterms:modified xsi:type="dcterms:W3CDTF">2023-07-06T08:16:00Z</dcterms:modified>
</cp:coreProperties>
</file>