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2BBDF" w14:textId="4B0EF571" w:rsidR="00021291" w:rsidRPr="008808C8" w:rsidRDefault="009809A8" w:rsidP="009809A8">
      <w:pPr>
        <w:pStyle w:val="JRNCTitle"/>
      </w:pPr>
      <w:r w:rsidRPr="008808C8">
        <w:t>Supplementary information</w:t>
      </w:r>
    </w:p>
    <w:p w14:paraId="2D6E1FFF" w14:textId="77777777" w:rsidR="00B03A2E" w:rsidRPr="00B03A2E" w:rsidRDefault="00B03A2E" w:rsidP="00B03A2E">
      <w:pPr>
        <w:spacing w:before="240" w:after="240" w:line="360" w:lineRule="auto"/>
        <w:jc w:val="both"/>
        <w:rPr>
          <w:b/>
          <w:bCs/>
          <w:lang w:val="en-GB"/>
        </w:rPr>
      </w:pPr>
      <w:r w:rsidRPr="00B03A2E">
        <w:rPr>
          <w:b/>
          <w:bCs/>
          <w:lang w:val="en-GB"/>
        </w:rPr>
        <w:t>Deducing sample activity from the radioluminescence signal mapped using the goniometric scanner</w:t>
      </w:r>
    </w:p>
    <w:p w14:paraId="74CE4623" w14:textId="77777777" w:rsidR="00B03A2E" w:rsidRPr="00800957" w:rsidRDefault="00B03A2E" w:rsidP="00B03A2E">
      <w:pPr>
        <w:spacing w:before="240" w:after="240" w:line="360" w:lineRule="auto"/>
        <w:jc w:val="both"/>
        <w:rPr>
          <w:lang w:val="en-GB"/>
        </w:rPr>
      </w:pPr>
      <w:r w:rsidRPr="00800957">
        <w:rPr>
          <w:lang w:val="en-GB"/>
        </w:rPr>
        <w:t>The radioluminescence map pr</w:t>
      </w:r>
      <w:bookmarkStart w:id="0" w:name="_GoBack"/>
      <w:bookmarkEnd w:id="0"/>
      <w:r w:rsidRPr="00800957">
        <w:rPr>
          <w:lang w:val="en-GB"/>
        </w:rPr>
        <w:t xml:space="preserve">oduced with the goniometer-driven optical detector (scanner) is a 3-dimensional structure with X-axis representing the yaw, Y-axis representing the pitch, and Z-axis showing the signal strength (color-coded when depicted as an image). The total effect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net</m:t>
            </m:r>
          </m:sub>
        </m:sSub>
      </m:oMath>
      <w:r w:rsidRPr="00800957">
        <w:rPr>
          <w:rFonts w:eastAsiaTheme="minorEastAsia"/>
          <w:lang w:val="en-GB"/>
        </w:rPr>
        <w:t xml:space="preserve"> </w:t>
      </w:r>
      <w:r w:rsidRPr="00800957">
        <w:rPr>
          <w:lang w:val="en-GB"/>
        </w:rPr>
        <w:t>is therefore quantified as the net volume under the signal surface</w:t>
      </w:r>
      <w:r w:rsidRPr="00800957">
        <w:rPr>
          <w:rStyle w:val="FootnoteReference"/>
          <w:rFonts w:eastAsiaTheme="minorEastAsia"/>
          <w:iCs/>
          <w:lang w:val="en-GB"/>
        </w:rPr>
        <w:footnoteReference w:id="1"/>
      </w:r>
      <w:r w:rsidRPr="00800957">
        <w:rPr>
          <w:lang w:val="en-GB"/>
        </w:rPr>
        <w:t xml:space="preserve"> which is the integral of count rates in each pixel of the source domain </w:t>
      </w:r>
      <m:oMath>
        <m:r>
          <w:rPr>
            <w:rFonts w:ascii="Cambria Math" w:hAnsi="Cambria Math"/>
            <w:lang w:val="en-GB"/>
          </w:rPr>
          <m:t>D</m:t>
        </m:r>
      </m:oMath>
      <w:r w:rsidRPr="00800957">
        <w:rPr>
          <w:lang w:val="en-GB"/>
        </w:rPr>
        <w:t>:</w:t>
      </w:r>
    </w:p>
    <w:p w14:paraId="28659804" w14:textId="77777777" w:rsidR="00B03A2E" w:rsidRPr="00800957" w:rsidRDefault="000F0EAB" w:rsidP="00B03A2E">
      <w:pPr>
        <w:spacing w:before="240" w:after="240" w:line="360" w:lineRule="auto"/>
        <w:jc w:val="both"/>
        <w:rPr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net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=</m:t>
              </m:r>
              <m:nary>
                <m:naryPr>
                  <m:chr m:val="∬"/>
                  <m:limLoc m:val="subSup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/>
                    </w:rPr>
                    <m:t>D</m:t>
                  </m:r>
                </m:sub>
                <m:sup>
                  <m:r>
                    <w:rPr>
                      <w:rFonts w:ascii="Cambria Math" w:hAnsi="Cambria Math"/>
                      <w:lang w:val="en-GB"/>
                    </w:rPr>
                    <m:t xml:space="preserve"> 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/>
                        </w:rPr>
                        <m:t>net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GB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</m:d>
                  <m:box>
                    <m:boxPr>
                      <m:diff m:val="1"/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dx</m:t>
                      </m:r>
                    </m:e>
                  </m:box>
                  <m:box>
                    <m:boxPr>
                      <m:diff m:val="1"/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dy</m:t>
                      </m:r>
                    </m:e>
                  </m:box>
                </m:e>
              </m:nary>
              <m:r>
                <w:rPr>
                  <w:rFonts w:ascii="Cambria Math" w:hAnsi="Cambria Math"/>
                  <w:lang w:val="en-GB"/>
                </w:rPr>
                <m:t>≈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/>
                    </w:rPr>
                    <m:t>D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/>
                        </w:rPr>
                        <m:t>net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GB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</m:d>
                  <m:r>
                    <w:rPr>
                      <w:rFonts w:ascii="Cambria Math" w:hAnsi="Cambria Math"/>
                      <w:lang w:val="en-GB"/>
                    </w:rPr>
                    <m:t>∆</m:t>
                  </m:r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  <m:r>
                    <w:rPr>
                      <w:rFonts w:ascii="Cambria Math" w:hAnsi="Cambria Math"/>
                      <w:lang w:val="en-GB"/>
                    </w:rPr>
                    <m:t>∆</m:t>
                  </m:r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</m:nary>
              <m:r>
                <w:rPr>
                  <w:rFonts w:ascii="Cambria Math" w:hAnsi="Cambria Math"/>
                  <w:lang w:val="en-GB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1</m:t>
                  </m:r>
                </m:e>
              </m:d>
            </m:e>
          </m:eqArr>
        </m:oMath>
      </m:oMathPara>
    </w:p>
    <w:p w14:paraId="5C858920" w14:textId="77777777" w:rsidR="00B03A2E" w:rsidRPr="00800957" w:rsidRDefault="00B03A2E" w:rsidP="00B03A2E">
      <w:pPr>
        <w:spacing w:before="240" w:after="240" w:line="360" w:lineRule="auto"/>
        <w:jc w:val="both"/>
        <w:rPr>
          <w:lang w:val="en-GB"/>
        </w:rPr>
      </w:pPr>
      <w:r w:rsidRPr="00800957">
        <w:rPr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net</m:t>
            </m:r>
          </m:sub>
        </m:sSub>
      </m:oMath>
      <w:r w:rsidRPr="00800957">
        <w:rPr>
          <w:lang w:val="en-GB"/>
        </w:rPr>
        <w:t xml:space="preserve"> is the net count rate in an </w:t>
      </w:r>
      <m:oMath>
        <m:r>
          <w:rPr>
            <w:rFonts w:ascii="Cambria Math" w:hAnsi="Cambria Math"/>
            <w:lang w:val="en-GB"/>
          </w:rPr>
          <m:t>(x, y)</m:t>
        </m:r>
      </m:oMath>
      <w:r w:rsidRPr="00800957">
        <w:rPr>
          <w:lang w:val="en-GB"/>
        </w:rPr>
        <w:t xml:space="preserve"> pixel, and </w:t>
      </w:r>
      <m:oMath>
        <m:r>
          <w:rPr>
            <w:rFonts w:ascii="Cambria Math" w:hAnsi="Cambria Math"/>
            <w:lang w:val="en-GB"/>
          </w:rPr>
          <m:t>∆x</m:t>
        </m:r>
      </m:oMath>
      <w:r>
        <w:rPr>
          <w:lang w:val="en-GB"/>
        </w:rPr>
        <w:t xml:space="preserve">, </w:t>
      </w:r>
      <m:oMath>
        <m:r>
          <w:rPr>
            <w:rFonts w:ascii="Cambria Math" w:hAnsi="Cambria Math"/>
            <w:lang w:val="en-GB"/>
          </w:rPr>
          <m:t>∆y</m:t>
        </m:r>
      </m:oMath>
      <w:r w:rsidRPr="00800957">
        <w:rPr>
          <w:lang w:val="en-GB"/>
        </w:rPr>
        <w:t xml:space="preserve"> are the scan steps in X- and Y-axis, respectively. Normally, </w:t>
      </w:r>
      <w:r>
        <w:rPr>
          <w:lang w:val="en-GB"/>
        </w:rPr>
        <w:t>a U</w:t>
      </w:r>
      <w:r w:rsidRPr="00800957">
        <w:rPr>
          <w:lang w:val="en-GB"/>
        </w:rPr>
        <w:t xml:space="preserve">V image has square pixels, with </w:t>
      </w:r>
      <m:oMath>
        <m:r>
          <w:rPr>
            <w:rFonts w:ascii="Cambria Math" w:hAnsi="Cambria Math"/>
            <w:lang w:val="en-GB"/>
          </w:rPr>
          <m:t>∆x=∆y=R</m:t>
        </m:r>
      </m:oMath>
      <w:r w:rsidRPr="00800957">
        <w:rPr>
          <w:lang w:val="en-GB"/>
        </w:rPr>
        <w:t xml:space="preserve"> called the scan resolution. Equation (1) demonstrates that increasing the resolution of a scan improves the accuracy of the source activity calculation since </w:t>
      </w:r>
      <w:r>
        <w:rPr>
          <w:lang w:val="en-GB"/>
        </w:rPr>
        <w:t xml:space="preserve">the </w:t>
      </w:r>
      <w:r w:rsidRPr="00800957">
        <w:rPr>
          <w:lang w:val="en-GB"/>
        </w:rPr>
        <w:t xml:space="preserve">integral is estimated as a sum. </w:t>
      </w:r>
    </w:p>
    <w:p w14:paraId="09EA68E5" w14:textId="77777777" w:rsidR="00B03A2E" w:rsidRPr="00800957" w:rsidRDefault="00B03A2E" w:rsidP="00B03A2E">
      <w:pPr>
        <w:spacing w:before="240" w:after="240" w:line="360" w:lineRule="auto"/>
        <w:jc w:val="both"/>
        <w:rPr>
          <w:iCs/>
          <w:lang w:val="en-GB"/>
        </w:rPr>
      </w:pPr>
      <w:r w:rsidRPr="00800957">
        <w:rPr>
          <w:iCs/>
          <w:lang w:val="en-GB"/>
        </w:rPr>
        <w:t xml:space="preserve">The algorithm for activity calculation from a radioluminescence map has </w:t>
      </w:r>
      <w:r>
        <w:rPr>
          <w:iCs/>
          <w:lang w:val="en-GB"/>
        </w:rPr>
        <w:t xml:space="preserve">the </w:t>
      </w:r>
      <w:r w:rsidRPr="00800957">
        <w:rPr>
          <w:iCs/>
          <w:lang w:val="en-GB"/>
        </w:rPr>
        <w:t>following steps:</w:t>
      </w:r>
    </w:p>
    <w:p w14:paraId="00C6CB9F" w14:textId="77777777" w:rsidR="00B03A2E" w:rsidRPr="00800957" w:rsidRDefault="00B03A2E" w:rsidP="00B03A2E">
      <w:pPr>
        <w:pStyle w:val="ListParagraph"/>
        <w:numPr>
          <w:ilvl w:val="0"/>
          <w:numId w:val="35"/>
        </w:numPr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 xml:space="preserve">Marking the source domain and getting the total gross count rate. The raw UV image is visually </w:t>
      </w:r>
      <w:r>
        <w:rPr>
          <w:iCs/>
          <w:szCs w:val="24"/>
          <w:lang w:val="en-GB"/>
        </w:rPr>
        <w:t>analyzed</w:t>
      </w:r>
      <w:r w:rsidRPr="00800957">
        <w:rPr>
          <w:iCs/>
          <w:szCs w:val="24"/>
          <w:lang w:val="en-GB"/>
        </w:rPr>
        <w:t xml:space="preserve">, and the bounding shape is drawn around the source. The total gross count rate </w:t>
      </w:r>
      <m:oMath>
        <m:sSub>
          <m:sSubPr>
            <m:ctrlPr>
              <w:rPr>
                <w:rFonts w:ascii="Cambria Math" w:eastAsia="Times New Roman" w:hAnsi="Cambria Math"/>
                <w:i/>
                <w:iCs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gross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</w:t>
      </w:r>
      <w:r w:rsidRPr="00800957">
        <w:rPr>
          <w:iCs/>
          <w:szCs w:val="24"/>
          <w:lang w:val="en-GB"/>
        </w:rPr>
        <w:t xml:space="preserve">is calculated as the count rate sum across all the pixels within the source boundary,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GB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24"/>
                <w:lang w:val="en-GB"/>
              </w:rPr>
              <m:t>src</m:t>
            </m:r>
          </m:sub>
        </m:sSub>
      </m:oMath>
      <w:r w:rsidRPr="00800957">
        <w:rPr>
          <w:iCs/>
          <w:szCs w:val="24"/>
          <w:lang w:val="en-GB"/>
        </w:rPr>
        <w:t>:</w:t>
      </w:r>
    </w:p>
    <w:p w14:paraId="657E4F9A" w14:textId="77777777" w:rsidR="00B03A2E" w:rsidRPr="00800957" w:rsidRDefault="000F0EAB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gross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4"/>
                      <w:lang w:val="en-GB"/>
                    </w:rPr>
                    <m:t>i</m:t>
                  </m:r>
                  <m:r>
                    <w:rPr>
                      <w:rFonts w:ascii="Cambria Math" w:hAnsi="Cambria Math"/>
                      <w:szCs w:val="24"/>
                      <w:lang w:val="en-GB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lang w:val="en-GB"/>
                        </w:rPr>
                        <m:t>src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Cs w:val="24"/>
                  <w:lang w:val="en-GB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GB"/>
                    </w:rPr>
                    <m:t>2</m:t>
                  </m:r>
                </m:e>
              </m:d>
            </m:e>
          </m:eqArr>
        </m:oMath>
      </m:oMathPara>
    </w:p>
    <w:p w14:paraId="39C0B3AB" w14:textId="77777777" w:rsidR="00B03A2E" w:rsidRPr="00800957" w:rsidRDefault="00B03A2E" w:rsidP="00B03A2E">
      <w:pPr>
        <w:pStyle w:val="ListParagraph"/>
        <w:numPr>
          <w:ilvl w:val="0"/>
          <w:numId w:val="35"/>
        </w:numPr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 xml:space="preserve">Marking the background domain and getting the average background count rate. The adjacent source regions are selected, from which the average background count rate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Cs w:val="24"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val="en-GB"/>
                  </w:rPr>
                  <m:t>n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bg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is calculated:</w:t>
      </w:r>
    </w:p>
    <w:p w14:paraId="30B97B91" w14:textId="77777777" w:rsidR="00B03A2E" w:rsidRPr="00800957" w:rsidRDefault="000F0EAB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n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GB"/>
                    </w:rPr>
                    <m:t>bg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en-GB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lang w:val="en-GB"/>
                        </w:rPr>
                        <m:t>bg</m:t>
                      </m:r>
                    </m:sub>
                  </m:sSub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4"/>
                      <w:lang w:val="en-GB"/>
                    </w:rPr>
                    <m:t>j</m:t>
                  </m:r>
                  <m:r>
                    <w:rPr>
                      <w:rFonts w:ascii="Cambria Math" w:hAnsi="Cambria Math"/>
                      <w:szCs w:val="24"/>
                      <w:lang w:val="en-GB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lang w:val="en-GB"/>
                        </w:rPr>
                        <m:t>bg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 xml:space="preserve"> ,</m:t>
              </m:r>
              <m:r>
                <w:rPr>
                  <w:rFonts w:ascii="Cambria Math" w:hAnsi="Cambria Math"/>
                  <w:szCs w:val="24"/>
                  <w:lang w:val="en-GB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i/>
                  <w:iCs/>
                  <w:szCs w:val="24"/>
                  <w:lang w:val="en-GB"/>
                </w:rPr>
              </m:ctrlPr>
            </m:e>
          </m:eqArr>
        </m:oMath>
      </m:oMathPara>
    </w:p>
    <w:p w14:paraId="56C63859" w14:textId="77777777" w:rsidR="00B03A2E" w:rsidRPr="00800957" w:rsidRDefault="00B03A2E" w:rsidP="00B03A2E">
      <w:pPr>
        <w:pStyle w:val="ListParagraph"/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Cs w:val="24"/>
                <w:lang w:val="en-GB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bg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is the number of pixels in the background domain.</w:t>
      </w:r>
    </w:p>
    <w:p w14:paraId="0D6CA3E6" w14:textId="77777777" w:rsidR="00B03A2E" w:rsidRPr="00800957" w:rsidRDefault="00B03A2E" w:rsidP="00B03A2E">
      <w:pPr>
        <w:pStyle w:val="ListParagraph"/>
        <w:numPr>
          <w:ilvl w:val="0"/>
          <w:numId w:val="35"/>
        </w:numPr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 xml:space="preserve">The total noise in the source domain </w:t>
      </w:r>
      <m:oMath>
        <m:sSub>
          <m:sSubPr>
            <m:ctrlPr>
              <w:rPr>
                <w:rFonts w:ascii="Cambria Math" w:eastAsia="Times New Roman" w:hAnsi="Cambria Math"/>
                <w:i/>
                <w:iCs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noise</m:t>
            </m:r>
          </m:sub>
        </m:sSub>
      </m:oMath>
      <w:r w:rsidR="0037281C">
        <w:rPr>
          <w:iCs/>
          <w:szCs w:val="24"/>
          <w:lang w:val="en-GB"/>
        </w:rPr>
        <w:t xml:space="preserve"> </w:t>
      </w:r>
      <w:r w:rsidRPr="00800957">
        <w:rPr>
          <w:iCs/>
          <w:szCs w:val="24"/>
          <w:lang w:val="en-GB"/>
        </w:rPr>
        <w:t>is estimated from the average background domain count rate:</w:t>
      </w:r>
    </w:p>
    <w:p w14:paraId="1BD861CF" w14:textId="5A0B87DE" w:rsidR="00B03A2E" w:rsidRPr="0037281C" w:rsidRDefault="000F0EAB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noise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n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GB"/>
                    </w:rPr>
                    <m:t>bg</m:t>
                  </m:r>
                </m:sub>
              </m:sSub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src</m:t>
                  </m:r>
                </m:sub>
              </m:sSub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 xml:space="preserve"> ,</m:t>
              </m:r>
              <m:r>
                <w:rPr>
                  <w:rFonts w:ascii="Cambria Math" w:hAnsi="Cambria Math"/>
                  <w:szCs w:val="24"/>
                  <w:lang w:val="en-GB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4</m:t>
                  </m:r>
                </m:e>
              </m:d>
              <m:ctrlPr>
                <w:rPr>
                  <w:rFonts w:ascii="Cambria Math" w:hAnsi="Cambria Math"/>
                  <w:i/>
                  <w:iCs/>
                  <w:szCs w:val="24"/>
                  <w:lang w:val="en-GB"/>
                </w:rPr>
              </m:ctrlPr>
            </m:e>
          </m:eqArr>
        </m:oMath>
      </m:oMathPara>
    </w:p>
    <w:p w14:paraId="572CFEF7" w14:textId="77777777" w:rsidR="0037281C" w:rsidRPr="0037281C" w:rsidRDefault="0037281C" w:rsidP="0037281C">
      <w:pPr>
        <w:pStyle w:val="ListParagraph"/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Cs w:val="24"/>
                <w:lang w:val="en-GB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src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is the number of pixels in the </w:t>
      </w:r>
      <w:r>
        <w:rPr>
          <w:rFonts w:eastAsiaTheme="minorEastAsia"/>
          <w:iCs/>
          <w:szCs w:val="24"/>
          <w:lang w:val="en-GB"/>
        </w:rPr>
        <w:t>source</w:t>
      </w:r>
      <w:r w:rsidRPr="00800957">
        <w:rPr>
          <w:rFonts w:eastAsiaTheme="minorEastAsia"/>
          <w:iCs/>
          <w:szCs w:val="24"/>
          <w:lang w:val="en-GB"/>
        </w:rPr>
        <w:t xml:space="preserve"> domain.</w:t>
      </w:r>
    </w:p>
    <w:p w14:paraId="743E2F7B" w14:textId="77777777" w:rsidR="00B03A2E" w:rsidRPr="00800957" w:rsidRDefault="00B03A2E" w:rsidP="00B03A2E">
      <w:pPr>
        <w:pStyle w:val="ListParagraph"/>
        <w:numPr>
          <w:ilvl w:val="0"/>
          <w:numId w:val="35"/>
        </w:numPr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>The total net count rate in the source domain</w:t>
      </w:r>
      <w:r w:rsidR="0037281C">
        <w:rPr>
          <w:iCs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iCs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Cs w:val="24"/>
                <w:lang w:val="en-GB"/>
              </w:rPr>
              <m:t>net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</w:t>
      </w:r>
      <w:r w:rsidRPr="00800957">
        <w:rPr>
          <w:iCs/>
          <w:szCs w:val="24"/>
          <w:lang w:val="en-GB"/>
        </w:rPr>
        <w:t>is determined as</w:t>
      </w:r>
    </w:p>
    <w:p w14:paraId="10B07527" w14:textId="77777777" w:rsidR="00A16082" w:rsidRPr="00A16082" w:rsidRDefault="000F0EAB" w:rsidP="00A16082">
      <w:pPr>
        <w:pStyle w:val="ListParagraph"/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net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gross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noise</m:t>
                  </m:r>
                </m:sub>
              </m:sSub>
              <m:r>
                <w:rPr>
                  <w:rFonts w:ascii="Cambria Math" w:eastAsia="Times New Roman" w:hAnsi="Cambria Math"/>
                  <w:szCs w:val="24"/>
                  <w:lang w:val="en-GB"/>
                </w:rPr>
                <m:t xml:space="preserve"> .#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5</m:t>
                  </m:r>
                </m:e>
              </m:d>
            </m:e>
          </m:eqArr>
        </m:oMath>
      </m:oMathPara>
    </w:p>
    <w:p w14:paraId="5C8B0932" w14:textId="77777777" w:rsidR="00B03A2E" w:rsidRPr="00800957" w:rsidRDefault="00B03A2E" w:rsidP="00B03A2E">
      <w:pPr>
        <w:pStyle w:val="ListParagraph"/>
        <w:numPr>
          <w:ilvl w:val="0"/>
          <w:numId w:val="35"/>
        </w:numPr>
        <w:spacing w:before="240" w:after="240" w:line="360" w:lineRule="auto"/>
        <w:ind w:left="360"/>
        <w:contextualSpacing w:val="0"/>
        <w:rPr>
          <w:iCs/>
          <w:szCs w:val="24"/>
          <w:lang w:val="en-GB"/>
        </w:rPr>
      </w:pPr>
      <w:r w:rsidRPr="00800957">
        <w:rPr>
          <w:iCs/>
          <w:szCs w:val="24"/>
          <w:lang w:val="en-GB"/>
        </w:rPr>
        <w:t>The total surface activity of the source</w:t>
      </w:r>
      <w:r w:rsidR="0037281C">
        <w:rPr>
          <w:iCs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Cs w:val="24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szCs w:val="24"/>
                <w:lang w:val="en-GB"/>
              </w:rPr>
              <m:t>s</m:t>
            </m:r>
          </m:sub>
        </m:sSub>
      </m:oMath>
      <w:r w:rsidRPr="00800957">
        <w:rPr>
          <w:iCs/>
          <w:szCs w:val="24"/>
          <w:lang w:val="en-GB"/>
        </w:rPr>
        <w:t xml:space="preserve"> is defined with the following formula:</w:t>
      </w:r>
    </w:p>
    <w:p w14:paraId="5CECAD90" w14:textId="77777777" w:rsidR="00B03A2E" w:rsidRPr="00800957" w:rsidRDefault="000F0EAB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GB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GB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Cs w:val="24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lang w:val="en-GB"/>
                        </w:rPr>
                        <m:t>net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  <w:lang w:val="en-GB"/>
                    </w:rPr>
                    <m:t>Ts</m:t>
                  </m:r>
                </m:den>
              </m:f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 xml:space="preserve"> ,</m:t>
              </m:r>
              <m:r>
                <w:rPr>
                  <w:rFonts w:ascii="Cambria Math" w:hAnsi="Cambria Math"/>
                  <w:szCs w:val="24"/>
                  <w:lang w:val="en-GB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6</m:t>
                  </m:r>
                </m:e>
              </m:d>
              <m:ctrlPr>
                <w:rPr>
                  <w:rFonts w:ascii="Cambria Math" w:hAnsi="Cambria Math"/>
                  <w:i/>
                  <w:iCs/>
                  <w:szCs w:val="24"/>
                  <w:lang w:val="en-GB"/>
                </w:rPr>
              </m:ctrlPr>
            </m:e>
          </m:eqArr>
        </m:oMath>
      </m:oMathPara>
    </w:p>
    <w:p w14:paraId="7ECB4473" w14:textId="77777777" w:rsidR="00B03A2E" w:rsidRPr="00800957" w:rsidRDefault="00B03A2E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w:r w:rsidRPr="00800957">
        <w:rPr>
          <w:rFonts w:eastAsiaTheme="minorEastAsia"/>
          <w:iCs/>
          <w:szCs w:val="24"/>
          <w:lang w:val="en-GB"/>
        </w:rPr>
        <w:t xml:space="preserve">where </w:t>
      </w:r>
      <m:oMath>
        <m:r>
          <w:rPr>
            <w:rFonts w:ascii="Cambria Math" w:eastAsiaTheme="minorEastAsia" w:hAnsi="Cambria Math"/>
            <w:szCs w:val="24"/>
            <w:lang w:val="en-GB"/>
          </w:rPr>
          <m:t>T</m:t>
        </m:r>
      </m:oMath>
      <w:r w:rsidRPr="00800957">
        <w:rPr>
          <w:rFonts w:eastAsiaTheme="minorEastAsia"/>
          <w:iCs/>
          <w:szCs w:val="24"/>
          <w:lang w:val="en-GB"/>
        </w:rPr>
        <w:t xml:space="preserve"> is the combined transmission of the light propagation medium between the source and the scanner</w:t>
      </w:r>
      <w:r w:rsidRPr="00800957">
        <w:rPr>
          <w:rStyle w:val="FootnoteReference"/>
          <w:rFonts w:eastAsiaTheme="minorEastAsia"/>
          <w:iCs/>
          <w:szCs w:val="24"/>
          <w:lang w:val="en-GB"/>
        </w:rPr>
        <w:footnoteReference w:id="2"/>
      </w:r>
      <w:r w:rsidRPr="00800957">
        <w:rPr>
          <w:rFonts w:eastAsiaTheme="minorEastAsia"/>
          <w:iCs/>
          <w:szCs w:val="24"/>
          <w:lang w:val="en-GB"/>
        </w:rPr>
        <w:t xml:space="preserve">, and </w:t>
      </w:r>
      <m:oMath>
        <m:r>
          <w:rPr>
            <w:rFonts w:ascii="Cambria Math" w:eastAsiaTheme="minorEastAsia" w:hAnsi="Cambria Math"/>
            <w:szCs w:val="24"/>
            <w:lang w:val="en-GB"/>
          </w:rPr>
          <m:t>s</m:t>
        </m:r>
      </m:oMath>
      <w:r w:rsidRPr="00800957">
        <w:rPr>
          <w:rFonts w:eastAsiaTheme="minorEastAsia"/>
          <w:iCs/>
          <w:szCs w:val="24"/>
          <w:lang w:val="en-GB"/>
        </w:rPr>
        <w:t xml:space="preserve"> is the scanner sensitivity at the same measurement conditions determined using the reference alpha source. With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GB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24"/>
                <w:lang w:val="en-GB"/>
              </w:rPr>
              <m:t>net</m:t>
            </m:r>
          </m:sub>
        </m:sSub>
      </m:oMath>
      <w:r w:rsidRPr="00800957">
        <w:rPr>
          <w:rFonts w:eastAsiaTheme="minorEastAsia"/>
          <w:iCs/>
          <w:szCs w:val="24"/>
          <w:lang w:val="en-GB"/>
        </w:rPr>
        <w:t xml:space="preserve"> approximation given by Eq. (1), the activity is estimated as</w:t>
      </w:r>
    </w:p>
    <w:p w14:paraId="570DF97F" w14:textId="77777777" w:rsidR="00B03A2E" w:rsidRPr="00800957" w:rsidRDefault="000F0EAB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s</m:t>
                  </m:r>
                </m:sub>
              </m:sSub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>≈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en-GB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  <w:lang w:val="en-GB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4"/>
                          <w:lang w:val="en-GB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4"/>
                          <w:lang w:val="en-GB"/>
                        </w:rPr>
                        <m:t>net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  <w:lang w:val="en-GB"/>
                    </w:rPr>
                    <m:t>Ts</m:t>
                  </m:r>
                </m:den>
              </m:f>
              <m:r>
                <w:rPr>
                  <w:rFonts w:ascii="Cambria Math" w:hAnsi="Cambria Math"/>
                  <w:szCs w:val="24"/>
                  <w:lang w:val="en-GB"/>
                </w:rPr>
                <m:t xml:space="preserve"> ,</m:t>
              </m:r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GB"/>
                    </w:rPr>
                    <m:t>7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szCs w:val="24"/>
                  <w:lang w:val="en-GB"/>
                </w:rPr>
              </m:ctrlPr>
            </m:e>
          </m:eqArr>
        </m:oMath>
      </m:oMathPara>
    </w:p>
    <w:p w14:paraId="4E295195" w14:textId="77777777" w:rsidR="00B03A2E" w:rsidRPr="00800957" w:rsidRDefault="00B03A2E" w:rsidP="00B03A2E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w:r w:rsidRPr="00800957">
        <w:rPr>
          <w:rFonts w:eastAsiaTheme="minorEastAsia"/>
          <w:iCs/>
          <w:szCs w:val="24"/>
          <w:lang w:val="en-GB"/>
        </w:rPr>
        <w:t xml:space="preserve">where </w:t>
      </w:r>
      <m:oMath>
        <m:r>
          <w:rPr>
            <w:rFonts w:ascii="Cambria Math" w:eastAsiaTheme="minorEastAsia" w:hAnsi="Cambria Math"/>
            <w:szCs w:val="24"/>
            <w:lang w:val="en-GB"/>
          </w:rPr>
          <m:t>R</m:t>
        </m:r>
      </m:oMath>
      <w:r w:rsidRPr="00800957">
        <w:rPr>
          <w:rFonts w:eastAsiaTheme="minorEastAsia"/>
          <w:iCs/>
          <w:szCs w:val="24"/>
          <w:lang w:val="en-GB"/>
        </w:rPr>
        <w:t xml:space="preserve"> is the scan resolution in degrees. Since </w:t>
      </w:r>
      <m:oMath>
        <m:r>
          <w:rPr>
            <w:rFonts w:ascii="Cambria Math" w:eastAsiaTheme="minorEastAsia" w:hAnsi="Cambria Math"/>
            <w:szCs w:val="24"/>
            <w:lang w:val="en-GB"/>
          </w:rPr>
          <m:t>R</m:t>
        </m:r>
      </m:oMath>
      <w:r w:rsidRPr="00800957">
        <w:rPr>
          <w:rFonts w:eastAsiaTheme="minorEastAsia"/>
          <w:iCs/>
          <w:szCs w:val="24"/>
          <w:lang w:val="en-GB"/>
        </w:rPr>
        <w:t xml:space="preserve"> and </w:t>
      </w:r>
      <m:oMath>
        <m:r>
          <w:rPr>
            <w:rFonts w:ascii="Cambria Math" w:eastAsiaTheme="minorEastAsia" w:hAnsi="Cambria Math"/>
            <w:szCs w:val="24"/>
            <w:lang w:val="en-GB"/>
          </w:rPr>
          <m:t>T</m:t>
        </m:r>
      </m:oMath>
      <w:r w:rsidRPr="00800957">
        <w:rPr>
          <w:rFonts w:eastAsiaTheme="minorEastAsia"/>
          <w:iCs/>
          <w:szCs w:val="24"/>
          <w:lang w:val="en-GB"/>
        </w:rPr>
        <w:t xml:space="preserve"> are dimensionless coefficients in the formula, they can be condensed to a single factor </w:t>
      </w:r>
      <m:oMath>
        <m:r>
          <w:rPr>
            <w:rFonts w:ascii="Cambria Math" w:eastAsiaTheme="minorEastAsia" w:hAnsi="Cambria Math"/>
            <w:szCs w:val="24"/>
            <w:lang w:val="en-GB"/>
          </w:rPr>
          <m:t>k</m:t>
        </m:r>
      </m:oMath>
      <w:r w:rsidRPr="00800957">
        <w:rPr>
          <w:rFonts w:eastAsiaTheme="minorEastAsia"/>
          <w:iCs/>
          <w:szCs w:val="24"/>
          <w:lang w:val="en-GB"/>
        </w:rPr>
        <w:t>, shaping the final formula for the total surface activity calculation:</w:t>
      </w:r>
    </w:p>
    <w:p w14:paraId="222B8FCE" w14:textId="77777777" w:rsidR="009809A8" w:rsidRPr="00A16082" w:rsidRDefault="000F0EAB" w:rsidP="00A16082">
      <w:pPr>
        <w:pStyle w:val="ListParagraph"/>
        <w:spacing w:before="240" w:after="240" w:line="360" w:lineRule="auto"/>
        <w:ind w:left="360"/>
        <w:contextualSpacing w:val="0"/>
        <w:rPr>
          <w:rFonts w:eastAsiaTheme="minorEastAsia"/>
          <w:iCs/>
          <w:szCs w:val="24"/>
          <w:lang w:val="en-GB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  <w:szCs w:val="24"/>
                  <w:lang w:val="en-GB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4"/>
                      <w:lang w:val="en-GB"/>
                    </w:rPr>
                    <m:t>s</m:t>
                  </m:r>
                </m:sub>
              </m:sSub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>≈</m:t>
              </m:r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>k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iCs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4"/>
                          <w:lang w:val="en-GB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Cs w:val="24"/>
                          <w:lang w:val="en-GB"/>
                        </w:rPr>
                        <m:t>net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  <w:lang w:val="en-GB"/>
                    </w:rPr>
                    <m:t>s</m:t>
                  </m:r>
                </m:den>
              </m:f>
              <m:r>
                <w:rPr>
                  <w:rFonts w:ascii="Cambria Math" w:hAnsi="Cambria Math"/>
                  <w:szCs w:val="24"/>
                  <w:lang w:val="en-GB"/>
                </w:rPr>
                <m:t xml:space="preserve"> .</m:t>
              </m:r>
              <m:r>
                <w:rPr>
                  <w:rFonts w:ascii="Cambria Math" w:eastAsiaTheme="minorEastAsia" w:hAnsi="Cambria Math"/>
                  <w:szCs w:val="24"/>
                  <w:lang w:val="en-GB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GB"/>
                    </w:rPr>
                    <m:t>8</m:t>
                  </m:r>
                </m:e>
              </m:d>
            </m:e>
          </m:eqArr>
        </m:oMath>
      </m:oMathPara>
    </w:p>
    <w:sectPr w:rsidR="009809A8" w:rsidRPr="00A16082" w:rsidSect="000F0EAB">
      <w:headerReference w:type="default" r:id="rId8"/>
      <w:footerReference w:type="even" r:id="rId9"/>
      <w:footerReference w:type="default" r:id="rId10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8A03F" w14:textId="77777777" w:rsidR="00B74961" w:rsidRDefault="00B74961">
      <w:r>
        <w:separator/>
      </w:r>
    </w:p>
  </w:endnote>
  <w:endnote w:type="continuationSeparator" w:id="0">
    <w:p w14:paraId="186CF720" w14:textId="77777777" w:rsidR="00B74961" w:rsidRDefault="00B7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EE9A3" w14:textId="77777777" w:rsidR="00AB5DC1" w:rsidRDefault="00AB5DC1" w:rsidP="00EF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5DDAA" w14:textId="77777777" w:rsidR="00AB5DC1" w:rsidRDefault="00AB5D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3CEDC" w14:textId="77777777" w:rsidR="00AB5DC1" w:rsidRDefault="00AB5DC1" w:rsidP="00EF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0EAB">
      <w:rPr>
        <w:rStyle w:val="PageNumber"/>
        <w:noProof/>
      </w:rPr>
      <w:t>3</w:t>
    </w:r>
    <w:r>
      <w:rPr>
        <w:rStyle w:val="PageNumber"/>
      </w:rPr>
      <w:fldChar w:fldCharType="end"/>
    </w:r>
  </w:p>
  <w:p w14:paraId="2E03A0F2" w14:textId="77777777" w:rsidR="00AB5DC1" w:rsidRDefault="00AB5D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C4DF3" w14:textId="77777777" w:rsidR="00B74961" w:rsidRDefault="00B74961">
      <w:r>
        <w:separator/>
      </w:r>
    </w:p>
  </w:footnote>
  <w:footnote w:type="continuationSeparator" w:id="0">
    <w:p w14:paraId="5E5ACEA2" w14:textId="77777777" w:rsidR="00B74961" w:rsidRDefault="00B74961">
      <w:r>
        <w:continuationSeparator/>
      </w:r>
    </w:p>
  </w:footnote>
  <w:footnote w:id="1">
    <w:p w14:paraId="323BF5AE" w14:textId="77777777" w:rsidR="00B03A2E" w:rsidRDefault="00B03A2E" w:rsidP="00B03A2E">
      <w:pPr>
        <w:pStyle w:val="FootnoteText"/>
      </w:pPr>
      <w:r>
        <w:rPr>
          <w:rStyle w:val="FootnoteReference"/>
        </w:rPr>
        <w:footnoteRef/>
      </w:r>
      <w:r>
        <w:t xml:space="preserve"> Much like the area under the curve, but in two dimensions.</w:t>
      </w:r>
    </w:p>
  </w:footnote>
  <w:footnote w:id="2">
    <w:p w14:paraId="414CD5B3" w14:textId="77777777" w:rsidR="00B03A2E" w:rsidRDefault="00B03A2E" w:rsidP="00B03A2E">
      <w:pPr>
        <w:pStyle w:val="FootnoteText"/>
      </w:pPr>
      <w:r>
        <w:rPr>
          <w:rStyle w:val="FootnoteReference"/>
        </w:rPr>
        <w:footnoteRef/>
      </w:r>
      <w:r>
        <w:t xml:space="preserve"> Does not include the transmission factors of the scanner optics as they are already included in the sensitivity coefficient.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42A14" w14:textId="77777777" w:rsidR="00AB5DC1" w:rsidRPr="00667A78" w:rsidRDefault="007E5538">
    <w:pPr>
      <w:pStyle w:val="Header"/>
      <w:rPr>
        <w:i/>
      </w:rPr>
    </w:pPr>
    <w:r>
      <w:rPr>
        <w:i/>
      </w:rPr>
      <w:t>JRNC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A57"/>
    <w:multiLevelType w:val="hybridMultilevel"/>
    <w:tmpl w:val="C3A63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706D2"/>
    <w:multiLevelType w:val="hybridMultilevel"/>
    <w:tmpl w:val="6BBC796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874"/>
    <w:multiLevelType w:val="hybridMultilevel"/>
    <w:tmpl w:val="9F0E71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5B5C"/>
    <w:multiLevelType w:val="hybridMultilevel"/>
    <w:tmpl w:val="4676B0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4A5"/>
    <w:multiLevelType w:val="hybridMultilevel"/>
    <w:tmpl w:val="E3C0DD8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E10C5"/>
    <w:multiLevelType w:val="hybridMultilevel"/>
    <w:tmpl w:val="0D1AE0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A3DBC"/>
    <w:multiLevelType w:val="hybridMultilevel"/>
    <w:tmpl w:val="0BDC64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2FCD"/>
    <w:multiLevelType w:val="hybridMultilevel"/>
    <w:tmpl w:val="90C8C64A"/>
    <w:lvl w:ilvl="0" w:tplc="7FB2341A">
      <w:start w:val="1"/>
      <w:numFmt w:val="bullet"/>
      <w:pStyle w:val="JRNC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D377D"/>
    <w:multiLevelType w:val="hybridMultilevel"/>
    <w:tmpl w:val="E0BAC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B72E10"/>
    <w:multiLevelType w:val="hybridMultilevel"/>
    <w:tmpl w:val="C0A06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62574"/>
    <w:multiLevelType w:val="hybridMultilevel"/>
    <w:tmpl w:val="1056F5A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D6D62"/>
    <w:multiLevelType w:val="hybridMultilevel"/>
    <w:tmpl w:val="2E9C67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C3F4B"/>
    <w:multiLevelType w:val="hybridMultilevel"/>
    <w:tmpl w:val="E4CC0AB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66322"/>
    <w:multiLevelType w:val="hybridMultilevel"/>
    <w:tmpl w:val="D4600FBE"/>
    <w:lvl w:ilvl="0" w:tplc="3C782E2E">
      <w:start w:val="1"/>
      <w:numFmt w:val="bullet"/>
      <w:lvlText w:val="−"/>
      <w:lvlJc w:val="left"/>
      <w:pPr>
        <w:ind w:left="2520" w:hanging="360"/>
      </w:pPr>
      <w:rPr>
        <w:rFonts w:ascii="Segoe UI" w:hAnsi="Segoe UI" w:hint="default"/>
      </w:rPr>
    </w:lvl>
    <w:lvl w:ilvl="1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2A83B74"/>
    <w:multiLevelType w:val="multilevel"/>
    <w:tmpl w:val="0006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AF7847"/>
    <w:multiLevelType w:val="hybridMultilevel"/>
    <w:tmpl w:val="213426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90D17"/>
    <w:multiLevelType w:val="hybridMultilevel"/>
    <w:tmpl w:val="F4DC62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33499"/>
    <w:multiLevelType w:val="hybridMultilevel"/>
    <w:tmpl w:val="06FAD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211AA"/>
    <w:multiLevelType w:val="hybridMultilevel"/>
    <w:tmpl w:val="C0341CA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12DB2"/>
    <w:multiLevelType w:val="hybridMultilevel"/>
    <w:tmpl w:val="91BA2A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63BAB"/>
    <w:multiLevelType w:val="hybridMultilevel"/>
    <w:tmpl w:val="10887C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17893"/>
    <w:multiLevelType w:val="multilevel"/>
    <w:tmpl w:val="0136D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F9E4EE9"/>
    <w:multiLevelType w:val="hybridMultilevel"/>
    <w:tmpl w:val="0A6876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33F82"/>
    <w:multiLevelType w:val="hybridMultilevel"/>
    <w:tmpl w:val="52E21E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16061"/>
    <w:multiLevelType w:val="hybridMultilevel"/>
    <w:tmpl w:val="8E32A4D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3"/>
  </w:num>
  <w:num w:numId="4">
    <w:abstractNumId w:val="16"/>
  </w:num>
  <w:num w:numId="5">
    <w:abstractNumId w:val="17"/>
  </w:num>
  <w:num w:numId="6">
    <w:abstractNumId w:val="8"/>
  </w:num>
  <w:num w:numId="7">
    <w:abstractNumId w:val="23"/>
  </w:num>
  <w:num w:numId="8">
    <w:abstractNumId w:val="7"/>
  </w:num>
  <w:num w:numId="9">
    <w:abstractNumId w:val="19"/>
  </w:num>
  <w:num w:numId="10">
    <w:abstractNumId w:val="0"/>
  </w:num>
  <w:num w:numId="11">
    <w:abstractNumId w:val="21"/>
  </w:num>
  <w:num w:numId="12">
    <w:abstractNumId w:val="14"/>
  </w:num>
  <w:num w:numId="13">
    <w:abstractNumId w:val="7"/>
  </w:num>
  <w:num w:numId="14">
    <w:abstractNumId w:val="7"/>
  </w:num>
  <w:num w:numId="15">
    <w:abstractNumId w:val="7"/>
  </w:num>
  <w:num w:numId="16">
    <w:abstractNumId w:val="10"/>
  </w:num>
  <w:num w:numId="17">
    <w:abstractNumId w:val="6"/>
  </w:num>
  <w:num w:numId="18">
    <w:abstractNumId w:val="4"/>
  </w:num>
  <w:num w:numId="19">
    <w:abstractNumId w:val="5"/>
  </w:num>
  <w:num w:numId="20">
    <w:abstractNumId w:val="12"/>
  </w:num>
  <w:num w:numId="21">
    <w:abstractNumId w:val="24"/>
  </w:num>
  <w:num w:numId="22">
    <w:abstractNumId w:val="18"/>
  </w:num>
  <w:num w:numId="23">
    <w:abstractNumId w:val="22"/>
  </w:num>
  <w:num w:numId="24">
    <w:abstractNumId w:val="11"/>
  </w:num>
  <w:num w:numId="25">
    <w:abstractNumId w:val="15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13"/>
  </w:num>
  <w:num w:numId="34">
    <w:abstractNumId w:val="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5B1"/>
    <w:rsid w:val="00001D71"/>
    <w:rsid w:val="00002BE1"/>
    <w:rsid w:val="00021291"/>
    <w:rsid w:val="00035406"/>
    <w:rsid w:val="0003580E"/>
    <w:rsid w:val="000605B1"/>
    <w:rsid w:val="0007508B"/>
    <w:rsid w:val="000911BE"/>
    <w:rsid w:val="000952E4"/>
    <w:rsid w:val="000B0304"/>
    <w:rsid w:val="000D528C"/>
    <w:rsid w:val="000F0EAB"/>
    <w:rsid w:val="00111BAF"/>
    <w:rsid w:val="0011481F"/>
    <w:rsid w:val="0011514B"/>
    <w:rsid w:val="00123C1F"/>
    <w:rsid w:val="0015155F"/>
    <w:rsid w:val="00156C1E"/>
    <w:rsid w:val="0016113B"/>
    <w:rsid w:val="00171EB1"/>
    <w:rsid w:val="00196643"/>
    <w:rsid w:val="001B0C09"/>
    <w:rsid w:val="001C61CA"/>
    <w:rsid w:val="001D690C"/>
    <w:rsid w:val="00206181"/>
    <w:rsid w:val="002157EA"/>
    <w:rsid w:val="0021783D"/>
    <w:rsid w:val="00225E66"/>
    <w:rsid w:val="00235A9E"/>
    <w:rsid w:val="0027128A"/>
    <w:rsid w:val="00281803"/>
    <w:rsid w:val="002C0EEB"/>
    <w:rsid w:val="002C44EB"/>
    <w:rsid w:val="002E15F0"/>
    <w:rsid w:val="002E5280"/>
    <w:rsid w:val="002E564E"/>
    <w:rsid w:val="0031142E"/>
    <w:rsid w:val="003121DA"/>
    <w:rsid w:val="00320D23"/>
    <w:rsid w:val="00322C86"/>
    <w:rsid w:val="00341ABD"/>
    <w:rsid w:val="003547A4"/>
    <w:rsid w:val="0036239B"/>
    <w:rsid w:val="0036267B"/>
    <w:rsid w:val="00362AA6"/>
    <w:rsid w:val="0037281C"/>
    <w:rsid w:val="003842A4"/>
    <w:rsid w:val="00385255"/>
    <w:rsid w:val="003929DB"/>
    <w:rsid w:val="003B4553"/>
    <w:rsid w:val="003F0E31"/>
    <w:rsid w:val="003F4327"/>
    <w:rsid w:val="003F6A6C"/>
    <w:rsid w:val="004065CE"/>
    <w:rsid w:val="00417402"/>
    <w:rsid w:val="00421C5C"/>
    <w:rsid w:val="0042450D"/>
    <w:rsid w:val="00431349"/>
    <w:rsid w:val="004467AE"/>
    <w:rsid w:val="004640BF"/>
    <w:rsid w:val="00473030"/>
    <w:rsid w:val="00480816"/>
    <w:rsid w:val="00480B43"/>
    <w:rsid w:val="0048176E"/>
    <w:rsid w:val="004840CF"/>
    <w:rsid w:val="004851E8"/>
    <w:rsid w:val="004924A2"/>
    <w:rsid w:val="004941AF"/>
    <w:rsid w:val="004A696D"/>
    <w:rsid w:val="004B7BB9"/>
    <w:rsid w:val="004C7117"/>
    <w:rsid w:val="004D4F09"/>
    <w:rsid w:val="004D6305"/>
    <w:rsid w:val="004F2BC1"/>
    <w:rsid w:val="005009B2"/>
    <w:rsid w:val="00514523"/>
    <w:rsid w:val="005218E2"/>
    <w:rsid w:val="00523D85"/>
    <w:rsid w:val="005243FC"/>
    <w:rsid w:val="00533FF2"/>
    <w:rsid w:val="00555861"/>
    <w:rsid w:val="0055729A"/>
    <w:rsid w:val="0056698D"/>
    <w:rsid w:val="00570AC6"/>
    <w:rsid w:val="00574F0E"/>
    <w:rsid w:val="00577535"/>
    <w:rsid w:val="0058131D"/>
    <w:rsid w:val="005839F3"/>
    <w:rsid w:val="00587443"/>
    <w:rsid w:val="00587712"/>
    <w:rsid w:val="005923D9"/>
    <w:rsid w:val="00594818"/>
    <w:rsid w:val="005B0E1A"/>
    <w:rsid w:val="005B61B5"/>
    <w:rsid w:val="005C0CE8"/>
    <w:rsid w:val="005D6729"/>
    <w:rsid w:val="005E55D6"/>
    <w:rsid w:val="005F0DE2"/>
    <w:rsid w:val="00610D33"/>
    <w:rsid w:val="00612382"/>
    <w:rsid w:val="00617DD7"/>
    <w:rsid w:val="006410A7"/>
    <w:rsid w:val="00647670"/>
    <w:rsid w:val="00667A78"/>
    <w:rsid w:val="006709FC"/>
    <w:rsid w:val="0068005E"/>
    <w:rsid w:val="00683A55"/>
    <w:rsid w:val="006A2E88"/>
    <w:rsid w:val="006B75D7"/>
    <w:rsid w:val="006C2D75"/>
    <w:rsid w:val="006C509B"/>
    <w:rsid w:val="006C551F"/>
    <w:rsid w:val="006D0651"/>
    <w:rsid w:val="006E7F95"/>
    <w:rsid w:val="006F2845"/>
    <w:rsid w:val="00707E5C"/>
    <w:rsid w:val="007123B0"/>
    <w:rsid w:val="007427DE"/>
    <w:rsid w:val="00755D40"/>
    <w:rsid w:val="00757645"/>
    <w:rsid w:val="0076064C"/>
    <w:rsid w:val="0076178B"/>
    <w:rsid w:val="00763E80"/>
    <w:rsid w:val="007722BF"/>
    <w:rsid w:val="00781E95"/>
    <w:rsid w:val="007824B7"/>
    <w:rsid w:val="00787C4D"/>
    <w:rsid w:val="0079074B"/>
    <w:rsid w:val="0079711F"/>
    <w:rsid w:val="007A0F8F"/>
    <w:rsid w:val="007C099C"/>
    <w:rsid w:val="007C1544"/>
    <w:rsid w:val="007C2AA3"/>
    <w:rsid w:val="007C423A"/>
    <w:rsid w:val="007C5EAA"/>
    <w:rsid w:val="007E5538"/>
    <w:rsid w:val="007F7680"/>
    <w:rsid w:val="007F7E9F"/>
    <w:rsid w:val="008057B0"/>
    <w:rsid w:val="0080613D"/>
    <w:rsid w:val="008206F6"/>
    <w:rsid w:val="00830FD6"/>
    <w:rsid w:val="008310C1"/>
    <w:rsid w:val="008540BB"/>
    <w:rsid w:val="00862DA1"/>
    <w:rsid w:val="00864A69"/>
    <w:rsid w:val="008808C8"/>
    <w:rsid w:val="00880A94"/>
    <w:rsid w:val="008832E1"/>
    <w:rsid w:val="00887234"/>
    <w:rsid w:val="0089429F"/>
    <w:rsid w:val="008B6493"/>
    <w:rsid w:val="008C5763"/>
    <w:rsid w:val="008C5FEE"/>
    <w:rsid w:val="008E61AF"/>
    <w:rsid w:val="008F1FB8"/>
    <w:rsid w:val="009008C0"/>
    <w:rsid w:val="00906D90"/>
    <w:rsid w:val="00922681"/>
    <w:rsid w:val="00936AFA"/>
    <w:rsid w:val="009454D7"/>
    <w:rsid w:val="009542B1"/>
    <w:rsid w:val="009641B4"/>
    <w:rsid w:val="009809A8"/>
    <w:rsid w:val="00987FDA"/>
    <w:rsid w:val="00995604"/>
    <w:rsid w:val="009F2BA7"/>
    <w:rsid w:val="00A026AE"/>
    <w:rsid w:val="00A16082"/>
    <w:rsid w:val="00A25D23"/>
    <w:rsid w:val="00A26A05"/>
    <w:rsid w:val="00A41366"/>
    <w:rsid w:val="00A475C0"/>
    <w:rsid w:val="00A51549"/>
    <w:rsid w:val="00A64400"/>
    <w:rsid w:val="00A71118"/>
    <w:rsid w:val="00A76CEB"/>
    <w:rsid w:val="00A84288"/>
    <w:rsid w:val="00AA3131"/>
    <w:rsid w:val="00AA42C7"/>
    <w:rsid w:val="00AA6E49"/>
    <w:rsid w:val="00AB5DC1"/>
    <w:rsid w:val="00AC2FC8"/>
    <w:rsid w:val="00AC6B62"/>
    <w:rsid w:val="00AC7D29"/>
    <w:rsid w:val="00AE24ED"/>
    <w:rsid w:val="00AE2DB5"/>
    <w:rsid w:val="00B03A2E"/>
    <w:rsid w:val="00B46B92"/>
    <w:rsid w:val="00B55562"/>
    <w:rsid w:val="00B56532"/>
    <w:rsid w:val="00B56E96"/>
    <w:rsid w:val="00B74928"/>
    <w:rsid w:val="00B74961"/>
    <w:rsid w:val="00BA4410"/>
    <w:rsid w:val="00BD74CF"/>
    <w:rsid w:val="00BE2085"/>
    <w:rsid w:val="00BE27D6"/>
    <w:rsid w:val="00BE5A58"/>
    <w:rsid w:val="00C10C51"/>
    <w:rsid w:val="00C12EBD"/>
    <w:rsid w:val="00C50B7D"/>
    <w:rsid w:val="00C55560"/>
    <w:rsid w:val="00C94D8A"/>
    <w:rsid w:val="00C956FD"/>
    <w:rsid w:val="00C97ACF"/>
    <w:rsid w:val="00CA27B4"/>
    <w:rsid w:val="00CA414D"/>
    <w:rsid w:val="00CB618B"/>
    <w:rsid w:val="00CC3BA8"/>
    <w:rsid w:val="00CE37DA"/>
    <w:rsid w:val="00D0144D"/>
    <w:rsid w:val="00D06508"/>
    <w:rsid w:val="00D17294"/>
    <w:rsid w:val="00D227D4"/>
    <w:rsid w:val="00D41369"/>
    <w:rsid w:val="00D447DE"/>
    <w:rsid w:val="00D45AD9"/>
    <w:rsid w:val="00D47852"/>
    <w:rsid w:val="00D56D38"/>
    <w:rsid w:val="00D571F6"/>
    <w:rsid w:val="00D61551"/>
    <w:rsid w:val="00D841CC"/>
    <w:rsid w:val="00DA799B"/>
    <w:rsid w:val="00DB119C"/>
    <w:rsid w:val="00DB3CC4"/>
    <w:rsid w:val="00DC2FD8"/>
    <w:rsid w:val="00DE1DA1"/>
    <w:rsid w:val="00DE3935"/>
    <w:rsid w:val="00E04C80"/>
    <w:rsid w:val="00E14543"/>
    <w:rsid w:val="00E21E01"/>
    <w:rsid w:val="00E41B91"/>
    <w:rsid w:val="00E50134"/>
    <w:rsid w:val="00E512CB"/>
    <w:rsid w:val="00E51584"/>
    <w:rsid w:val="00E61EC1"/>
    <w:rsid w:val="00E70588"/>
    <w:rsid w:val="00E81916"/>
    <w:rsid w:val="00E81ED0"/>
    <w:rsid w:val="00E833BD"/>
    <w:rsid w:val="00E90700"/>
    <w:rsid w:val="00E93BA6"/>
    <w:rsid w:val="00E943B5"/>
    <w:rsid w:val="00E975A9"/>
    <w:rsid w:val="00EB5138"/>
    <w:rsid w:val="00EC399E"/>
    <w:rsid w:val="00EC533B"/>
    <w:rsid w:val="00EE6B74"/>
    <w:rsid w:val="00EF063C"/>
    <w:rsid w:val="00EF62C6"/>
    <w:rsid w:val="00F136A8"/>
    <w:rsid w:val="00F21F88"/>
    <w:rsid w:val="00F2716A"/>
    <w:rsid w:val="00F41B4F"/>
    <w:rsid w:val="00F451D2"/>
    <w:rsid w:val="00F63920"/>
    <w:rsid w:val="00F85167"/>
    <w:rsid w:val="00F871AC"/>
    <w:rsid w:val="00F95D33"/>
    <w:rsid w:val="00FB2396"/>
    <w:rsid w:val="00FB446B"/>
    <w:rsid w:val="00FB4524"/>
    <w:rsid w:val="00FD1709"/>
    <w:rsid w:val="00FD22E2"/>
    <w:rsid w:val="00FD648A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D37F4"/>
  <w15:docId w15:val="{130B6A56-2BC3-4D4E-8910-D1E90B54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JRNCBody"/>
    <w:qFormat/>
    <w:rsid w:val="00EE6B74"/>
    <w:rPr>
      <w:sz w:val="24"/>
      <w:szCs w:val="24"/>
      <w:lang w:val="hu-HU" w:eastAsia="hu-HU"/>
    </w:rPr>
  </w:style>
  <w:style w:type="paragraph" w:styleId="Heading1">
    <w:name w:val="heading 1"/>
    <w:basedOn w:val="Normal"/>
    <w:next w:val="Normal"/>
    <w:link w:val="Heading1Char"/>
    <w:qFormat/>
    <w:rsid w:val="00B03A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80A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27128A"/>
  </w:style>
  <w:style w:type="paragraph" w:styleId="Footer">
    <w:name w:val="footer"/>
    <w:basedOn w:val="Normal"/>
    <w:semiHidden/>
    <w:rsid w:val="002712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128A"/>
  </w:style>
  <w:style w:type="character" w:styleId="Hyperlink">
    <w:name w:val="Hyperlink"/>
    <w:rsid w:val="0002129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594818"/>
    <w:rPr>
      <w:sz w:val="20"/>
      <w:szCs w:val="20"/>
    </w:rPr>
  </w:style>
  <w:style w:type="character" w:styleId="FootnoteReference">
    <w:name w:val="footnote reference"/>
    <w:uiPriority w:val="99"/>
    <w:semiHidden/>
    <w:rsid w:val="00594818"/>
    <w:rPr>
      <w:vertAlign w:val="superscript"/>
    </w:rPr>
  </w:style>
  <w:style w:type="paragraph" w:customStyle="1" w:styleId="JRNCTitle">
    <w:name w:val="JRNC_Title"/>
    <w:basedOn w:val="Normal"/>
    <w:next w:val="JRNCAuthors"/>
    <w:rsid w:val="00225E66"/>
    <w:pPr>
      <w:spacing w:before="480" w:after="300" w:line="360" w:lineRule="auto"/>
      <w:jc w:val="center"/>
      <w:outlineLvl w:val="0"/>
    </w:pPr>
    <w:rPr>
      <w:rFonts w:cs="Arial"/>
      <w:b/>
      <w:bCs/>
      <w:kern w:val="28"/>
      <w:sz w:val="36"/>
      <w:szCs w:val="32"/>
      <w:lang w:val="en-US"/>
    </w:rPr>
  </w:style>
  <w:style w:type="paragraph" w:customStyle="1" w:styleId="JRNCBullet">
    <w:name w:val="JRNC_Bullet"/>
    <w:basedOn w:val="Normal"/>
    <w:rsid w:val="00B46B92"/>
    <w:pPr>
      <w:numPr>
        <w:numId w:val="8"/>
      </w:numPr>
      <w:spacing w:before="120" w:after="120" w:line="360" w:lineRule="auto"/>
      <w:jc w:val="both"/>
    </w:pPr>
    <w:rPr>
      <w:lang w:val="en-US"/>
    </w:rPr>
  </w:style>
  <w:style w:type="paragraph" w:customStyle="1" w:styleId="JRNCTertiarySectionTitle">
    <w:name w:val="JRNC_Tertiary_Section_Title"/>
    <w:basedOn w:val="JRNCSecondarySectionTitle"/>
    <w:next w:val="JRNCBody"/>
    <w:rsid w:val="00225E66"/>
    <w:pPr>
      <w:jc w:val="left"/>
    </w:pPr>
    <w:rPr>
      <w:i/>
    </w:rPr>
  </w:style>
  <w:style w:type="paragraph" w:customStyle="1" w:styleId="JRNCAbstractBody">
    <w:name w:val="JRNC_Abstract_Body"/>
    <w:basedOn w:val="Normal"/>
    <w:rsid w:val="00EB5138"/>
    <w:pPr>
      <w:spacing w:before="240" w:after="240" w:line="360" w:lineRule="auto"/>
      <w:jc w:val="both"/>
    </w:pPr>
    <w:rPr>
      <w:lang w:val="en-US"/>
    </w:rPr>
  </w:style>
  <w:style w:type="paragraph" w:customStyle="1" w:styleId="JRNCBody">
    <w:name w:val="JRNC_Body"/>
    <w:basedOn w:val="Normal"/>
    <w:rsid w:val="00B46B92"/>
    <w:pPr>
      <w:spacing w:before="240" w:after="240" w:line="360" w:lineRule="auto"/>
      <w:jc w:val="both"/>
    </w:pPr>
    <w:rPr>
      <w:szCs w:val="20"/>
    </w:rPr>
  </w:style>
  <w:style w:type="paragraph" w:customStyle="1" w:styleId="JRNCFootnote">
    <w:name w:val="JRNC_Footnote"/>
    <w:basedOn w:val="Normal"/>
    <w:next w:val="JRNCBody"/>
    <w:rsid w:val="00225E66"/>
    <w:pPr>
      <w:spacing w:line="360" w:lineRule="auto"/>
      <w:ind w:firstLine="360"/>
      <w:jc w:val="both"/>
    </w:pPr>
    <w:rPr>
      <w:sz w:val="22"/>
      <w:lang w:val="en-US"/>
    </w:rPr>
  </w:style>
  <w:style w:type="paragraph" w:customStyle="1" w:styleId="JRNCKeywordsBody">
    <w:name w:val="JRNC_Keywords_Body"/>
    <w:basedOn w:val="JRNCAbstractBody"/>
    <w:next w:val="JRNCBody"/>
    <w:rsid w:val="006410A7"/>
    <w:pPr>
      <w:spacing w:before="480" w:after="480"/>
    </w:pPr>
  </w:style>
  <w:style w:type="paragraph" w:customStyle="1" w:styleId="JRNCPrimarySectionTitle">
    <w:name w:val="JRNC_Primary_Section_Title"/>
    <w:basedOn w:val="Normal"/>
    <w:rsid w:val="0068005E"/>
    <w:pPr>
      <w:spacing w:before="480" w:after="480"/>
      <w:ind w:firstLine="360"/>
    </w:pPr>
    <w:rPr>
      <w:b/>
      <w:sz w:val="28"/>
      <w:lang w:val="en-US"/>
    </w:rPr>
  </w:style>
  <w:style w:type="paragraph" w:customStyle="1" w:styleId="JRNCSecondarySectionTitle">
    <w:name w:val="JRNC_Secondary_Section_Title"/>
    <w:basedOn w:val="JRNCPrimarySectionTitle"/>
    <w:next w:val="JRNCBody"/>
    <w:rsid w:val="00225E66"/>
    <w:pPr>
      <w:jc w:val="both"/>
    </w:pPr>
    <w:rPr>
      <w:b w:val="0"/>
    </w:rPr>
  </w:style>
  <w:style w:type="paragraph" w:customStyle="1" w:styleId="JRNCReferenceList">
    <w:name w:val="JRNC_Reference_List"/>
    <w:basedOn w:val="JRNCBody"/>
    <w:rsid w:val="00F451D2"/>
    <w:pPr>
      <w:spacing w:before="0" w:after="0"/>
      <w:ind w:left="360" w:hanging="360"/>
    </w:pPr>
  </w:style>
  <w:style w:type="character" w:customStyle="1" w:styleId="Heading3Char">
    <w:name w:val="Heading 3 Char"/>
    <w:link w:val="Heading3"/>
    <w:rsid w:val="00880A94"/>
    <w:rPr>
      <w:rFonts w:ascii="Arial" w:hAnsi="Arial" w:cs="Arial"/>
      <w:b/>
      <w:bCs/>
      <w:sz w:val="26"/>
      <w:szCs w:val="26"/>
      <w:lang w:val="hu-HU" w:eastAsia="hu-HU" w:bidi="ar-SA"/>
    </w:rPr>
  </w:style>
  <w:style w:type="paragraph" w:customStyle="1" w:styleId="JRNCFigureCaption">
    <w:name w:val="JRNC_Figure_Caption"/>
    <w:basedOn w:val="Normal"/>
    <w:next w:val="JRNCBody"/>
    <w:link w:val="JRNCFigureCaptionChar"/>
    <w:rsid w:val="004840CF"/>
    <w:pPr>
      <w:spacing w:before="240" w:after="240"/>
      <w:jc w:val="center"/>
    </w:pPr>
    <w:rPr>
      <w:lang w:val="en-US"/>
    </w:rPr>
  </w:style>
  <w:style w:type="paragraph" w:customStyle="1" w:styleId="JRNCTableCaption">
    <w:name w:val="JRNC_Table_Caption"/>
    <w:basedOn w:val="JRNCBody"/>
    <w:next w:val="JRNCBody"/>
    <w:rsid w:val="00F21F88"/>
    <w:pPr>
      <w:spacing w:before="480" w:after="120"/>
      <w:jc w:val="left"/>
    </w:pPr>
    <w:rPr>
      <w:lang w:val="en-US"/>
    </w:rPr>
  </w:style>
  <w:style w:type="table" w:styleId="TableGrid">
    <w:name w:val="Table Grid"/>
    <w:basedOn w:val="TableNormal"/>
    <w:uiPriority w:val="59"/>
    <w:rsid w:val="00D4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67A78"/>
    <w:pPr>
      <w:tabs>
        <w:tab w:val="center" w:pos="4320"/>
        <w:tab w:val="right" w:pos="8640"/>
      </w:tabs>
    </w:pPr>
  </w:style>
  <w:style w:type="paragraph" w:customStyle="1" w:styleId="JRNCAuthors">
    <w:name w:val="JRNC_Authors"/>
    <w:basedOn w:val="JRNCBody"/>
    <w:next w:val="JRNCAffiliations"/>
    <w:rsid w:val="00341ABD"/>
    <w:pPr>
      <w:jc w:val="center"/>
    </w:pPr>
  </w:style>
  <w:style w:type="paragraph" w:customStyle="1" w:styleId="JRNCAffiliations">
    <w:name w:val="JRNC_Affiliations"/>
    <w:basedOn w:val="JRNCAuthors"/>
    <w:rsid w:val="00341ABD"/>
    <w:rPr>
      <w:i/>
      <w:iCs/>
    </w:rPr>
  </w:style>
  <w:style w:type="paragraph" w:customStyle="1" w:styleId="JRNCFigurePosition">
    <w:name w:val="JRNC_Figure_Position"/>
    <w:basedOn w:val="Normal"/>
    <w:next w:val="JRNCFigureCaption"/>
    <w:rsid w:val="005B61B5"/>
    <w:pPr>
      <w:jc w:val="center"/>
    </w:pPr>
    <w:rPr>
      <w:szCs w:val="20"/>
    </w:rPr>
  </w:style>
  <w:style w:type="character" w:customStyle="1" w:styleId="JRNCFigureCaptionChar">
    <w:name w:val="JRNC_Figure_Caption Char"/>
    <w:link w:val="JRNCFigureCaption"/>
    <w:rsid w:val="007C2AA3"/>
    <w:rPr>
      <w:sz w:val="24"/>
      <w:szCs w:val="24"/>
      <w:lang w:val="en-US" w:eastAsia="hu-HU" w:bidi="ar-SA"/>
    </w:rPr>
  </w:style>
  <w:style w:type="paragraph" w:customStyle="1" w:styleId="JRNCEquation">
    <w:name w:val="JRNC_Equation"/>
    <w:basedOn w:val="JRNCBody"/>
    <w:next w:val="JRNCBody"/>
    <w:rsid w:val="00281803"/>
    <w:pPr>
      <w:tabs>
        <w:tab w:val="center" w:pos="4320"/>
        <w:tab w:val="right" w:pos="8640"/>
      </w:tabs>
    </w:pPr>
    <w:rPr>
      <w:i/>
      <w:lang w:val="en-US"/>
    </w:rPr>
  </w:style>
  <w:style w:type="paragraph" w:styleId="ListParagraph">
    <w:name w:val="List Paragraph"/>
    <w:basedOn w:val="Normal"/>
    <w:uiPriority w:val="34"/>
    <w:qFormat/>
    <w:rsid w:val="00D45AD9"/>
    <w:pPr>
      <w:spacing w:after="200" w:line="276" w:lineRule="auto"/>
      <w:ind w:left="720"/>
      <w:contextualSpacing/>
      <w:jc w:val="both"/>
    </w:pPr>
    <w:rPr>
      <w:rFonts w:eastAsia="Calibri"/>
      <w:szCs w:val="22"/>
      <w:lang w:val="en-US" w:eastAsia="en-US"/>
    </w:rPr>
  </w:style>
  <w:style w:type="character" w:customStyle="1" w:styleId="FootnoteTextChar">
    <w:name w:val="Footnote Text Char"/>
    <w:link w:val="FootnoteText"/>
    <w:uiPriority w:val="99"/>
    <w:semiHidden/>
    <w:rsid w:val="00D45AD9"/>
    <w:rPr>
      <w:lang w:val="hu-HU" w:eastAsia="hu-HU"/>
    </w:rPr>
  </w:style>
  <w:style w:type="character" w:styleId="PlaceholderText">
    <w:name w:val="Placeholder Text"/>
    <w:basedOn w:val="DefaultParagraphFont"/>
    <w:uiPriority w:val="99"/>
    <w:semiHidden/>
    <w:rsid w:val="00C94D8A"/>
    <w:rPr>
      <w:color w:val="808080"/>
    </w:rPr>
  </w:style>
  <w:style w:type="paragraph" w:customStyle="1" w:styleId="Figure">
    <w:name w:val="Figure"/>
    <w:basedOn w:val="Normal"/>
    <w:next w:val="Normal"/>
    <w:link w:val="FigureChar"/>
    <w:qFormat/>
    <w:rsid w:val="00D447DE"/>
    <w:pPr>
      <w:spacing w:after="240" w:line="276" w:lineRule="auto"/>
      <w:jc w:val="both"/>
    </w:pPr>
    <w:rPr>
      <w:rFonts w:eastAsiaTheme="minorHAnsi"/>
      <w:i/>
      <w:lang w:val="en-US" w:eastAsia="en-US"/>
    </w:rPr>
  </w:style>
  <w:style w:type="character" w:customStyle="1" w:styleId="FigureChar">
    <w:name w:val="Figure Char"/>
    <w:basedOn w:val="DefaultParagraphFont"/>
    <w:link w:val="Figure"/>
    <w:rsid w:val="00D447DE"/>
    <w:rPr>
      <w:rFonts w:eastAsiaTheme="minorHAnsi"/>
      <w:i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431349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2A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03A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 w:eastAsia="hu-HU"/>
    </w:rPr>
  </w:style>
  <w:style w:type="table" w:customStyle="1" w:styleId="Tabellenraster1">
    <w:name w:val="Tabellenraster1"/>
    <w:basedOn w:val="TableNormal"/>
    <w:next w:val="TableGrid"/>
    <w:uiPriority w:val="59"/>
    <w:rsid w:val="00D61551"/>
    <w:rPr>
      <w:rFonts w:ascii="Calibri" w:eastAsia="Calibri" w:hAnsi="Calibr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A936A-F0EF-426D-BF35-BAA886B2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Title page</vt:lpstr>
      <vt:lpstr>Title page</vt:lpstr>
      <vt:lpstr>Title page</vt:lpstr>
    </vt:vector>
  </TitlesOfParts>
  <Company>MTA</Company>
  <LinksUpToDate>false</LinksUpToDate>
  <CharactersWithSpaces>2752</CharactersWithSpaces>
  <SharedDoc>false</SharedDoc>
  <HLinks>
    <vt:vector size="24" baseType="variant">
      <vt:variant>
        <vt:i4>7864422</vt:i4>
      </vt:variant>
      <vt:variant>
        <vt:i4>18</vt:i4>
      </vt:variant>
      <vt:variant>
        <vt:i4>0</vt:i4>
      </vt:variant>
      <vt:variant>
        <vt:i4>5</vt:i4>
      </vt:variant>
      <vt:variant>
        <vt:lpwstr>http://www.issn.org/2-22661-LTWA-online.php</vt:lpwstr>
      </vt:variant>
      <vt:variant>
        <vt:lpwstr/>
      </vt:variant>
      <vt:variant>
        <vt:i4>7602241</vt:i4>
      </vt:variant>
      <vt:variant>
        <vt:i4>23040</vt:i4>
      </vt:variant>
      <vt:variant>
        <vt:i4>1026</vt:i4>
      </vt:variant>
      <vt:variant>
        <vt:i4>1</vt:i4>
      </vt:variant>
      <vt:variant>
        <vt:lpwstr>http://images.springer.com/cda/content/image/cda_displayimage.gif?SGWID=0-0-16-332564-0</vt:lpwstr>
      </vt:variant>
      <vt:variant>
        <vt:lpwstr/>
      </vt:variant>
      <vt:variant>
        <vt:i4>7143498</vt:i4>
      </vt:variant>
      <vt:variant>
        <vt:i4>23395</vt:i4>
      </vt:variant>
      <vt:variant>
        <vt:i4>1027</vt:i4>
      </vt:variant>
      <vt:variant>
        <vt:i4>1</vt:i4>
      </vt:variant>
      <vt:variant>
        <vt:lpwstr>http://images.springer.com/cda/content/image/cda_displayimage.jpg?SGWID=0-0-16-332563-0</vt:lpwstr>
      </vt:variant>
      <vt:variant>
        <vt:lpwstr/>
      </vt:variant>
      <vt:variant>
        <vt:i4>7143499</vt:i4>
      </vt:variant>
      <vt:variant>
        <vt:i4>23715</vt:i4>
      </vt:variant>
      <vt:variant>
        <vt:i4>1028</vt:i4>
      </vt:variant>
      <vt:variant>
        <vt:i4>1</vt:i4>
      </vt:variant>
      <vt:variant>
        <vt:lpwstr>http://images.springer.com/cda/content/image/cda_displayimage.jpg?SGWID=0-0-16-332562-0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subject/>
  <dc:creator>Zsolt</dc:creator>
  <cp:keywords/>
  <dc:description/>
  <cp:lastModifiedBy>Gopinath S.</cp:lastModifiedBy>
  <cp:revision>21</cp:revision>
  <dcterms:created xsi:type="dcterms:W3CDTF">2023-07-24T19:00:00Z</dcterms:created>
  <dcterms:modified xsi:type="dcterms:W3CDTF">2023-11-02T16:53:00Z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ca41803ac79348bb93390fb81cd48798f0cbf9c605f15944304f7fd4038d91b3</vt:lpwstr>
  </property>
</Properties>
</file>