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FB2B" w14:textId="77777777" w:rsidR="007E5B5B" w:rsidRPr="00D5139F" w:rsidRDefault="007E5B5B"/>
    <w:p w14:paraId="5821B54C" w14:textId="77777777" w:rsidR="00103B31" w:rsidRPr="00D5139F" w:rsidRDefault="00103B31" w:rsidP="00103B31">
      <w:pPr>
        <w:pStyle w:val="ListParagraph"/>
        <w:spacing w:after="48" w:line="360" w:lineRule="auto"/>
        <w:ind w:left="450"/>
        <w:jc w:val="center"/>
        <w:rPr>
          <w:rFonts w:ascii="Times New Roman" w:eastAsiaTheme="minorEastAsia" w:hAnsi="Times New Roman" w:cs="Times New Roman"/>
          <w:b/>
        </w:rPr>
      </w:pPr>
      <w:r w:rsidRPr="00D5139F">
        <w:rPr>
          <w:rFonts w:ascii="Times New Roman" w:eastAsiaTheme="minorEastAsia" w:hAnsi="Times New Roman" w:cs="Times New Roman"/>
          <w:b/>
        </w:rPr>
        <w:t xml:space="preserve">Plant mediated synthesis of zirconium oxide nanoparticles using </w:t>
      </w:r>
      <w:r w:rsidRPr="00D5139F">
        <w:rPr>
          <w:rFonts w:ascii="Times New Roman" w:eastAsiaTheme="minorEastAsia" w:hAnsi="Times New Roman" w:cs="Times New Roman"/>
          <w:b/>
          <w:i/>
        </w:rPr>
        <w:t>J</w:t>
      </w:r>
      <w:r w:rsidRPr="00D5139F">
        <w:rPr>
          <w:rFonts w:ascii="Times New Roman" w:eastAsiaTheme="minorEastAsia" w:hAnsi="Times New Roman" w:cs="Times New Roman"/>
          <w:b/>
          <w:i/>
          <w:iCs/>
        </w:rPr>
        <w:t>asminum officinale</w:t>
      </w:r>
      <w:r w:rsidRPr="00D5139F">
        <w:rPr>
          <w:rFonts w:ascii="Times New Roman" w:eastAsiaTheme="minorEastAsia" w:hAnsi="Times New Roman" w:cs="Times New Roman"/>
          <w:b/>
        </w:rPr>
        <w:t xml:space="preserve"> and screening its antimicrobial activity - An efficient Photocatalyst for decomposition of various dyes</w:t>
      </w:r>
    </w:p>
    <w:p w14:paraId="20351108" w14:textId="77777777" w:rsidR="00103B31" w:rsidRPr="00D5139F" w:rsidRDefault="00103B31" w:rsidP="00103B31">
      <w:pPr>
        <w:jc w:val="center"/>
        <w:rPr>
          <w:rFonts w:ascii="Times New Roman" w:eastAsia="Calibri" w:hAnsi="Times New Roman" w:cs="Times New Roman"/>
          <w:bCs/>
          <w:i/>
          <w:sz w:val="24"/>
          <w:vertAlign w:val="superscript"/>
        </w:rPr>
      </w:pPr>
      <w:r w:rsidRPr="00D5139F">
        <w:rPr>
          <w:rFonts w:ascii="Times New Roman" w:eastAsia="Calibri" w:hAnsi="Times New Roman" w:cs="Times New Roman"/>
          <w:bCs/>
          <w:i/>
          <w:sz w:val="24"/>
        </w:rPr>
        <w:t>Nazeer Abbas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(a)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Tanzeela Batool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 xml:space="preserve"> (a)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Daoud Ali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(b)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Tehmina Anjum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 xml:space="preserve"> (c)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Shamaila Shahzadi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(d)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Anjum N Sabri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(e)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 xml:space="preserve">, M Akram Raza 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(a)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 xml:space="preserve"> 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Shahzad Naseem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 xml:space="preserve"> (a)</w:t>
      </w:r>
      <w:r w:rsidRPr="00D5139F">
        <w:rPr>
          <w:rFonts w:ascii="Times New Roman" w:eastAsia="Calibri" w:hAnsi="Times New Roman" w:cs="Times New Roman"/>
          <w:bCs/>
          <w:i/>
          <w:sz w:val="24"/>
        </w:rPr>
        <w:t>, Saira Riaz</w:t>
      </w:r>
      <w:r w:rsidRPr="00D5139F">
        <w:rPr>
          <w:rFonts w:ascii="Times New Roman" w:eastAsia="Calibri" w:hAnsi="Times New Roman" w:cs="Times New Roman"/>
          <w:bCs/>
          <w:i/>
          <w:sz w:val="24"/>
          <w:vertAlign w:val="superscript"/>
        </w:rPr>
        <w:t>(a)*</w:t>
      </w:r>
    </w:p>
    <w:p w14:paraId="2EDB3361" w14:textId="77777777" w:rsidR="00103B31" w:rsidRPr="00D5139F" w:rsidRDefault="00103B31" w:rsidP="00103B31">
      <w:pPr>
        <w:pStyle w:val="BodyText3"/>
        <w:tabs>
          <w:tab w:val="center" w:pos="4680"/>
        </w:tabs>
        <w:adjustRightInd w:val="0"/>
        <w:snapToGrid w:val="0"/>
        <w:spacing w:line="240" w:lineRule="auto"/>
        <w:rPr>
          <w:rFonts w:asciiTheme="majorBidi" w:hAnsiTheme="majorBidi" w:cstheme="majorBidi"/>
          <w:i/>
          <w:iCs/>
          <w:sz w:val="20"/>
          <w:szCs w:val="20"/>
          <w:lang w:eastAsia="ko-KR"/>
        </w:rPr>
      </w:pPr>
      <w:r w:rsidRPr="00D5139F">
        <w:rPr>
          <w:rFonts w:asciiTheme="majorBidi" w:hAnsiTheme="majorBidi" w:cstheme="majorBidi"/>
          <w:i/>
          <w:iCs/>
          <w:sz w:val="20"/>
          <w:szCs w:val="20"/>
          <w:vertAlign w:val="superscript"/>
          <w:lang w:eastAsia="ko-KR"/>
        </w:rPr>
        <w:tab/>
        <w:t xml:space="preserve">a) </w:t>
      </w:r>
      <w:r w:rsidRPr="00D5139F">
        <w:rPr>
          <w:rFonts w:asciiTheme="majorBidi" w:hAnsiTheme="majorBidi" w:cstheme="majorBidi"/>
          <w:i/>
          <w:iCs/>
          <w:sz w:val="20"/>
          <w:szCs w:val="20"/>
          <w:lang w:eastAsia="ko-KR"/>
        </w:rPr>
        <w:t xml:space="preserve">Centre of Excellence in Solid State Physics, University of the Punjab, QAC, Lahore-54590, Pakistan </w:t>
      </w:r>
    </w:p>
    <w:p w14:paraId="2A4ED10E" w14:textId="77777777" w:rsidR="00103B31" w:rsidRPr="00D5139F" w:rsidRDefault="00103B31" w:rsidP="00103B31">
      <w:pPr>
        <w:pStyle w:val="BodyText3"/>
        <w:adjustRightInd w:val="0"/>
        <w:snapToGrid w:val="0"/>
        <w:spacing w:after="0" w:line="240" w:lineRule="auto"/>
        <w:jc w:val="center"/>
        <w:rPr>
          <w:rFonts w:asciiTheme="majorBidi" w:hAnsiTheme="majorBidi" w:cstheme="majorBidi"/>
          <w:i/>
          <w:iCs/>
          <w:sz w:val="20"/>
          <w:szCs w:val="20"/>
          <w:lang w:eastAsia="ko-KR"/>
        </w:rPr>
      </w:pPr>
      <w:r w:rsidRPr="00D5139F">
        <w:rPr>
          <w:rFonts w:asciiTheme="majorBidi" w:hAnsiTheme="majorBidi" w:cstheme="majorBidi"/>
          <w:i/>
          <w:iCs/>
          <w:sz w:val="20"/>
          <w:szCs w:val="20"/>
          <w:vertAlign w:val="superscript"/>
          <w:lang w:eastAsia="ko-KR"/>
        </w:rPr>
        <w:t xml:space="preserve">b) </w:t>
      </w:r>
      <w:r w:rsidRPr="00D5139F">
        <w:rPr>
          <w:rFonts w:asciiTheme="majorBidi" w:hAnsiTheme="majorBidi" w:cstheme="majorBidi"/>
          <w:i/>
          <w:iCs/>
          <w:sz w:val="20"/>
          <w:szCs w:val="20"/>
          <w:lang w:eastAsia="ko-KR"/>
        </w:rPr>
        <w:t>Department of Zoology, College of Science, King Saud university, PO Box 2455, Riyadh-11451, Saudia Arabia</w:t>
      </w:r>
    </w:p>
    <w:p w14:paraId="2CB6BE22" w14:textId="77777777" w:rsidR="00103B31" w:rsidRPr="00D5139F" w:rsidRDefault="00103B31" w:rsidP="00103B31">
      <w:pPr>
        <w:widowControl w:val="0"/>
        <w:kinsoku w:val="0"/>
        <w:overflowPunct w:val="0"/>
        <w:autoSpaceDE w:val="0"/>
        <w:autoSpaceDN w:val="0"/>
        <w:adjustRightInd w:val="0"/>
        <w:spacing w:after="0" w:line="355" w:lineRule="auto"/>
        <w:ind w:left="-450" w:right="616"/>
        <w:jc w:val="center"/>
        <w:rPr>
          <w:rFonts w:asciiTheme="majorBidi" w:eastAsia="Times New Roman" w:hAnsiTheme="majorBidi" w:cstheme="majorBidi"/>
          <w:i/>
          <w:iCs/>
          <w:sz w:val="20"/>
          <w:szCs w:val="20"/>
          <w:lang w:val="en-GB" w:eastAsia="en-GB"/>
        </w:rPr>
      </w:pPr>
      <w:r w:rsidRPr="00D5139F">
        <w:rPr>
          <w:rFonts w:asciiTheme="majorBidi" w:eastAsia="Times New Roman" w:hAnsiTheme="majorBidi" w:cstheme="majorBidi"/>
          <w:i/>
          <w:iCs/>
          <w:sz w:val="20"/>
          <w:szCs w:val="20"/>
          <w:vertAlign w:val="superscript"/>
          <w:lang w:val="en-GB" w:eastAsia="en-GB"/>
        </w:rPr>
        <w:t>(c)</w:t>
      </w:r>
      <w:r w:rsidRPr="00D5139F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D5139F">
        <w:rPr>
          <w:rFonts w:asciiTheme="majorBidi" w:eastAsia="Times New Roman" w:hAnsiTheme="majorBidi" w:cstheme="majorBidi"/>
          <w:i/>
          <w:iCs/>
          <w:sz w:val="20"/>
          <w:szCs w:val="20"/>
          <w:lang w:val="en-GB" w:eastAsia="en-GB"/>
        </w:rPr>
        <w:t>Department of Plant Pathology, University of the Punjab, Lahore, Pakistan</w:t>
      </w:r>
    </w:p>
    <w:p w14:paraId="79A8F318" w14:textId="77777777" w:rsidR="00103B31" w:rsidRPr="00D5139F" w:rsidRDefault="00103B31" w:rsidP="00103B31">
      <w:pPr>
        <w:pStyle w:val="BodyText3"/>
        <w:adjustRightInd w:val="0"/>
        <w:snapToGrid w:val="0"/>
        <w:spacing w:after="0" w:line="240" w:lineRule="auto"/>
        <w:jc w:val="center"/>
        <w:rPr>
          <w:rFonts w:asciiTheme="majorBidi" w:hAnsiTheme="majorBidi" w:cstheme="majorBidi"/>
          <w:i/>
          <w:iCs/>
          <w:sz w:val="20"/>
          <w:szCs w:val="20"/>
          <w:lang w:eastAsia="ko-KR"/>
        </w:rPr>
      </w:pPr>
      <w:r w:rsidRPr="00D5139F">
        <w:rPr>
          <w:rFonts w:asciiTheme="majorBidi" w:hAnsiTheme="majorBidi" w:cstheme="majorBidi"/>
          <w:i/>
          <w:iCs/>
          <w:sz w:val="20"/>
          <w:szCs w:val="20"/>
          <w:vertAlign w:val="superscript"/>
          <w:lang w:eastAsia="ko-KR"/>
        </w:rPr>
        <w:t xml:space="preserve">d) </w:t>
      </w:r>
      <w:r w:rsidRPr="00D5139F">
        <w:rPr>
          <w:rFonts w:asciiTheme="majorBidi" w:hAnsiTheme="majorBidi" w:cstheme="majorBidi"/>
          <w:i/>
          <w:iCs/>
          <w:sz w:val="20"/>
          <w:szCs w:val="20"/>
          <w:lang w:eastAsia="ko-KR"/>
        </w:rPr>
        <w:t>Waterloo institute for nanotechnology, university of waterloo, Ontario, Canada.</w:t>
      </w:r>
    </w:p>
    <w:p w14:paraId="6182CA44" w14:textId="77777777" w:rsidR="00103B31" w:rsidRPr="00D5139F" w:rsidRDefault="00103B31" w:rsidP="00103B31">
      <w:pPr>
        <w:pStyle w:val="BodyText3"/>
        <w:adjustRightInd w:val="0"/>
        <w:snapToGrid w:val="0"/>
        <w:spacing w:after="0" w:line="240" w:lineRule="auto"/>
        <w:jc w:val="center"/>
        <w:rPr>
          <w:rFonts w:asciiTheme="majorBidi" w:hAnsiTheme="majorBidi" w:cstheme="majorBidi"/>
          <w:i/>
          <w:iCs/>
          <w:sz w:val="22"/>
          <w:szCs w:val="22"/>
          <w:lang w:eastAsia="ko-KR"/>
        </w:rPr>
      </w:pPr>
      <w:r w:rsidRPr="00D5139F">
        <w:rPr>
          <w:rFonts w:asciiTheme="majorBidi" w:hAnsiTheme="majorBidi" w:cstheme="majorBidi"/>
          <w:i/>
          <w:iCs/>
          <w:sz w:val="20"/>
          <w:szCs w:val="20"/>
          <w:vertAlign w:val="superscript"/>
          <w:lang w:eastAsia="ko-KR"/>
        </w:rPr>
        <w:t xml:space="preserve">e) </w:t>
      </w:r>
      <w:r w:rsidRPr="00D5139F">
        <w:rPr>
          <w:rFonts w:asciiTheme="majorBidi" w:hAnsiTheme="majorBidi" w:cstheme="majorBidi"/>
          <w:i/>
          <w:iCs/>
          <w:sz w:val="20"/>
          <w:szCs w:val="20"/>
          <w:lang w:eastAsia="ko-KR"/>
        </w:rPr>
        <w:t xml:space="preserve">Department of Microbiology and Molecular Genetics, University of the Punjab, QAC, Lahore-54590, Pakistan  </w:t>
      </w:r>
    </w:p>
    <w:p w14:paraId="719677EE" w14:textId="77777777" w:rsidR="00103B31" w:rsidRPr="00D5139F" w:rsidRDefault="00103B31" w:rsidP="00103B31">
      <w:pPr>
        <w:widowControl w:val="0"/>
        <w:kinsoku w:val="0"/>
        <w:overflowPunct w:val="0"/>
        <w:autoSpaceDE w:val="0"/>
        <w:autoSpaceDN w:val="0"/>
        <w:adjustRightInd w:val="0"/>
        <w:spacing w:after="0" w:line="355" w:lineRule="auto"/>
        <w:ind w:right="616"/>
        <w:rPr>
          <w:rFonts w:ascii="Times New Roman" w:eastAsia="Calibri" w:hAnsi="Times New Roman" w:cs="Times New Roman"/>
          <w:bCs/>
          <w:i/>
          <w:sz w:val="24"/>
          <w:vertAlign w:val="superscript"/>
        </w:rPr>
      </w:pPr>
    </w:p>
    <w:p w14:paraId="0CBB8D0D" w14:textId="451007DE" w:rsidR="00103B31" w:rsidRPr="00D5139F" w:rsidRDefault="00103B31">
      <w:r w:rsidRPr="00D5139F">
        <w:t>Supplementary data:</w:t>
      </w:r>
    </w:p>
    <w:p w14:paraId="398BC466" w14:textId="77777777" w:rsidR="00E6198E" w:rsidRPr="00D5139F" w:rsidRDefault="00E6198E"/>
    <w:p w14:paraId="78E5FF95" w14:textId="77777777" w:rsidR="003A6998" w:rsidRPr="00D5139F" w:rsidRDefault="003A6998" w:rsidP="003A699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139F">
        <w:rPr>
          <w:rFonts w:ascii="Times New Roman" w:hAnsi="Times New Roman" w:cs="Times New Roman"/>
          <w:b/>
          <w:i/>
          <w:sz w:val="24"/>
          <w:szCs w:val="24"/>
        </w:rPr>
        <w:t>Dielectric Properties:</w:t>
      </w:r>
    </w:p>
    <w:p w14:paraId="2A8B027F" w14:textId="167EC166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139F">
        <w:rPr>
          <w:rFonts w:ascii="Times New Roman" w:hAnsi="Times New Roman" w:cs="Times New Roman"/>
          <w:sz w:val="24"/>
          <w:szCs w:val="24"/>
          <w:lang w:val="en-GB"/>
        </w:rPr>
        <w:t>Dielectric properties of ceramics play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 xml:space="preserve"> a significant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role 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ED3A9E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many electronic and biological applications [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1-3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]. 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The d</w:t>
      </w:r>
      <w:r w:rsidR="00ED3A9E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ielectric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constant of zirconia samples, synthesized via 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green approach, was calculated using frequency dependent response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of resistance and capacitance. Equations (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) were used to estimate dielectric constant (ε) 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ED3A9E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loss tangent (</w:t>
      </w:r>
      <w:proofErr w:type="spellStart"/>
      <w:r w:rsidRPr="00D5139F">
        <w:rPr>
          <w:rFonts w:ascii="Times New Roman" w:hAnsi="Times New Roman" w:cs="Times New Roman"/>
          <w:sz w:val="24"/>
          <w:szCs w:val="24"/>
          <w:lang w:val="en-GB"/>
        </w:rPr>
        <w:t>tan</w:t>
      </w:r>
      <w:r w:rsidRPr="00D5139F">
        <w:rPr>
          <w:rFonts w:ascii="Times New Roman" w:hAnsi="Times New Roman" w:cs="Times New Roman"/>
          <w:i/>
          <w:sz w:val="24"/>
          <w:szCs w:val="24"/>
          <w:lang w:val="en-GB"/>
        </w:rPr>
        <w:t>δ</w:t>
      </w:r>
      <w:proofErr w:type="spellEnd"/>
      <w:r w:rsidRPr="00D5139F">
        <w:rPr>
          <w:rFonts w:ascii="Times New Roman" w:hAnsi="Times New Roman" w:cs="Times New Roman"/>
          <w:sz w:val="24"/>
          <w:szCs w:val="24"/>
          <w:lang w:val="en-GB"/>
        </w:rPr>
        <w:t>) [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]:</w:t>
      </w:r>
    </w:p>
    <w:p w14:paraId="31EB9648" w14:textId="23B98D76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ɛ=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ɛ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  <w:t>(</w:t>
      </w:r>
      <w:r w:rsidR="00FE5383" w:rsidRPr="00D5139F">
        <w:rPr>
          <w:rFonts w:ascii="Times New Roman" w:hAnsi="Times New Roman" w:cs="Times New Roman"/>
          <w:sz w:val="24"/>
          <w:szCs w:val="24"/>
        </w:rPr>
        <w:t>1</w:t>
      </w:r>
      <w:r w:rsidRPr="00D5139F">
        <w:rPr>
          <w:rFonts w:ascii="Times New Roman" w:hAnsi="Times New Roman" w:cs="Times New Roman"/>
          <w:sz w:val="24"/>
          <w:szCs w:val="24"/>
        </w:rPr>
        <w:t>)</w:t>
      </w:r>
    </w:p>
    <w:p w14:paraId="35F12152" w14:textId="38832216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tanδ=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2πɛ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ɛ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of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den>
        </m:f>
      </m:oMath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</w:r>
      <w:r w:rsidRPr="00D5139F">
        <w:rPr>
          <w:rFonts w:ascii="Times New Roman" w:hAnsi="Times New Roman" w:cs="Times New Roman"/>
          <w:sz w:val="24"/>
          <w:szCs w:val="24"/>
        </w:rPr>
        <w:tab/>
        <w:t>(</w:t>
      </w:r>
      <w:r w:rsidR="00FE5383" w:rsidRPr="00D5139F">
        <w:rPr>
          <w:rFonts w:ascii="Times New Roman" w:hAnsi="Times New Roman" w:cs="Times New Roman"/>
          <w:sz w:val="24"/>
          <w:szCs w:val="24"/>
        </w:rPr>
        <w:t>2</w:t>
      </w:r>
      <w:r w:rsidRPr="00D5139F">
        <w:rPr>
          <w:rFonts w:ascii="Times New Roman" w:hAnsi="Times New Roman" w:cs="Times New Roman"/>
          <w:sz w:val="24"/>
          <w:szCs w:val="24"/>
        </w:rPr>
        <w:t>)</w:t>
      </w:r>
    </w:p>
    <w:p w14:paraId="7E982678" w14:textId="4813C539" w:rsidR="003A6998" w:rsidRPr="00D5139F" w:rsidRDefault="00ED3A9E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here</w:t>
      </w:r>
      <w:r w:rsidR="003A699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, C, d,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ɛ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="003A699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, A and </w:t>
      </w:r>
      <w:r w:rsidR="003A6998" w:rsidRPr="00D5139F">
        <w:rPr>
          <w:rFonts w:ascii="Times New Roman" w:hAnsi="Times New Roman" w:cs="Times New Roman"/>
          <w:i/>
          <w:sz w:val="24"/>
          <w:szCs w:val="24"/>
          <w:lang w:val="en-GB"/>
        </w:rPr>
        <w:t>ρ</w:t>
      </w:r>
      <w:r w:rsidR="003A699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are capacitance, thickness of specimen, free space permittivity, area </w:t>
      </w:r>
      <w:r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699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resistivity, respectively. </w:t>
      </w:r>
    </w:p>
    <w:p w14:paraId="2E08C813" w14:textId="7E062205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139F">
        <w:rPr>
          <w:rFonts w:ascii="Times New Roman" w:hAnsi="Times New Roman" w:cs="Times New Roman"/>
          <w:sz w:val="24"/>
          <w:szCs w:val="24"/>
          <w:lang w:val="en-GB"/>
        </w:rPr>
        <w:t>Difference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m:oMath>
        <m:r>
          <w:rPr>
            <w:rFonts w:ascii="Cambria Math" w:hAnsi="Cambria Math" w:cs="Times New Roman"/>
            <w:sz w:val="24"/>
            <w:szCs w:val="24"/>
          </w:rPr>
          <m:t>ɛ</m:t>
        </m:r>
      </m:oMath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and tan</w:t>
      </w:r>
      <w:r w:rsidRPr="00D5139F">
        <w:rPr>
          <w:rFonts w:ascii="Times New Roman" w:hAnsi="Times New Roman" w:cs="Times New Roman"/>
          <w:i/>
          <w:sz w:val="24"/>
          <w:szCs w:val="24"/>
          <w:lang w:val="en-GB"/>
        </w:rPr>
        <w:t>δ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as a function of frequency </w:t>
      </w:r>
      <w:r w:rsidR="00ED3A9E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ED3A9E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shown in Fig. 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The u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sual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dispersion behaviour was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evident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for all samples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in the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low frequency region. Space charges required sufficient time, at low frequency values, for their alignment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with the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applied frequency producing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normal dispersion trend. However, these space charges don’t have adequate time to be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come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aligned in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direction of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applied field when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frequency is increased, thus producing small values of dielectric constant. </w:t>
      </w:r>
    </w:p>
    <w:p w14:paraId="1A971690" w14:textId="19D1F49A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When dipoles align themselves to create 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>maxim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um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polarisation in the direction of the applied field, this is known as the relaxation time for dielectric substance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ipoles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quickly flip between low frequency values in response to an applied field that causes the dielectric constant to be high at low frequencies. Conversely, dipole flipping typically does not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follow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the direction of high frequency applied field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, resulting in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lower dielectric constant at high frequencies [</w:t>
      </w:r>
      <w:r w:rsidR="00E473EA" w:rsidRPr="00D5139F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].</w:t>
      </w:r>
    </w:p>
    <w:p w14:paraId="314957EC" w14:textId="77777777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BEC8C1" w14:textId="77777777" w:rsidR="003A6998" w:rsidRPr="00D5139F" w:rsidRDefault="003A6998" w:rsidP="003A699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289404" w14:textId="64828973" w:rsidR="003A6998" w:rsidRPr="00D5139F" w:rsidRDefault="003A6998" w:rsidP="003A6998">
      <w:pPr>
        <w:jc w:val="both"/>
        <w:rPr>
          <w:rFonts w:ascii="Times New Roman" w:hAnsi="Times New Roman" w:cs="Times New Roman"/>
          <w:szCs w:val="24"/>
          <w:lang w:val="en-GB"/>
        </w:rPr>
      </w:pPr>
      <w:r w:rsidRPr="00D5139F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Change in dielectric constant agrees with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Debye model; if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applied frequency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is less than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1/τ of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Debye relaxation time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then charge carriers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contribute to the observed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polarization.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However, if the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applied frequency is beyond 1/τ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then charge carriers cannot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participate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in polarization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thus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leading to</w:t>
      </w:r>
      <w:r w:rsidR="00896088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smaller values of dielectric constant [</w:t>
      </w:r>
      <w:r w:rsidR="00E473EA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5, </w:t>
      </w:r>
      <w:r w:rsidR="00FE5383" w:rsidRPr="00D5139F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]. Variation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in dielectric and loss tangent (at log </w:t>
      </w:r>
      <w:r w:rsidRPr="00D5139F">
        <w:rPr>
          <w:rFonts w:ascii="Times New Roman" w:hAnsi="Times New Roman" w:cs="Times New Roman"/>
          <w:i/>
          <w:sz w:val="24"/>
          <w:szCs w:val="24"/>
          <w:lang w:val="en-GB"/>
        </w:rPr>
        <w:t>f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 = 4.5)</w:t>
      </w:r>
      <w:r w:rsidRPr="00D5139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896088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896088" w:rsidRPr="00D5139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shown in the inset of Fig. </w:t>
      </w:r>
      <w:r w:rsidR="003A7046" w:rsidRPr="00D5139F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. Relatively higher dielectric constant values were observed for zirconia synthesized using extract of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>JO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. Relatively smaller dielectric constant values were observed for zirconia samples prepared using extract of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>VV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>AB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5139F">
        <w:rPr>
          <w:rFonts w:ascii="Times New Roman" w:hAnsi="Times New Roman" w:cs="Times New Roman"/>
          <w:szCs w:val="24"/>
          <w:lang w:val="en-GB"/>
        </w:rPr>
        <w:t xml:space="preserve"> </w:t>
      </w:r>
    </w:p>
    <w:p w14:paraId="26C3399E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5139F">
        <w:rPr>
          <w:noProof/>
        </w:rPr>
        <w:drawing>
          <wp:anchor distT="0" distB="0" distL="114300" distR="114300" simplePos="0" relativeHeight="251693056" behindDoc="0" locked="0" layoutInCell="1" allowOverlap="1" wp14:anchorId="030B74EA" wp14:editId="6990F4FF">
            <wp:simplePos x="0" y="0"/>
            <wp:positionH relativeFrom="margin">
              <wp:posOffset>-523982</wp:posOffset>
            </wp:positionH>
            <wp:positionV relativeFrom="paragraph">
              <wp:posOffset>237754</wp:posOffset>
            </wp:positionV>
            <wp:extent cx="3472665" cy="2656779"/>
            <wp:effectExtent l="0" t="0" r="0" b="0"/>
            <wp:wrapNone/>
            <wp:docPr id="9791498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93" cy="265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625E9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5139F">
        <w:rPr>
          <w:noProof/>
        </w:rPr>
        <w:drawing>
          <wp:anchor distT="0" distB="0" distL="114300" distR="114300" simplePos="0" relativeHeight="251692032" behindDoc="0" locked="0" layoutInCell="1" allowOverlap="1" wp14:anchorId="7913B91F" wp14:editId="04B1CCFB">
            <wp:simplePos x="0" y="0"/>
            <wp:positionH relativeFrom="margin">
              <wp:posOffset>2618105</wp:posOffset>
            </wp:positionH>
            <wp:positionV relativeFrom="paragraph">
              <wp:posOffset>9525</wp:posOffset>
            </wp:positionV>
            <wp:extent cx="3328670" cy="2546985"/>
            <wp:effectExtent l="0" t="0" r="5080" b="5715"/>
            <wp:wrapNone/>
            <wp:docPr id="152091995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9285E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83E9E5A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54DB471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110336A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5910D3F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8B61C62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D6B8928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179AE28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41AFA37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9FDE6F9" w14:textId="77777777" w:rsidR="003A6998" w:rsidRPr="00D5139F" w:rsidRDefault="003A6998" w:rsidP="003A699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C92B3E0" w14:textId="38CD0E58" w:rsidR="003A6998" w:rsidRPr="00D5139F" w:rsidRDefault="003A6998" w:rsidP="003A6998">
      <w:pPr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3A7046" w:rsidRPr="00D5139F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>: (</w:t>
      </w:r>
      <w:proofErr w:type="spellStart"/>
      <w:r w:rsidRPr="00D5139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D5139F">
        <w:rPr>
          <w:rFonts w:ascii="Times New Roman" w:hAnsi="Times New Roman" w:cs="Times New Roman"/>
          <w:sz w:val="24"/>
          <w:szCs w:val="24"/>
          <w:lang w:val="en-GB"/>
        </w:rPr>
        <w:t>) Dielectric constant</w:t>
      </w:r>
      <w:r w:rsidRPr="00D5139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and (ii) </w:t>
      </w:r>
      <w:r w:rsidR="00ED3A9E"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loss </w:t>
      </w:r>
      <w:r w:rsidRPr="00D5139F">
        <w:rPr>
          <w:rFonts w:ascii="Times New Roman" w:hAnsi="Times New Roman" w:cs="Times New Roman"/>
          <w:sz w:val="24"/>
          <w:szCs w:val="24"/>
          <w:lang w:val="en-GB"/>
        </w:rPr>
        <w:t xml:space="preserve">tangent of zirconia NPs prepared using extract of 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 xml:space="preserve">(a-c)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>VV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 xml:space="preserve">, (d-f)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 xml:space="preserve">AB 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>and (g-</w:t>
      </w:r>
      <w:proofErr w:type="spellStart"/>
      <w:r w:rsidRPr="00D5139F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D5139F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D5139F">
        <w:t xml:space="preserve"> </w:t>
      </w:r>
      <w:r w:rsidRPr="00D5139F">
        <w:rPr>
          <w:rFonts w:ascii="Times New Roman" w:eastAsiaTheme="minorEastAsia" w:hAnsi="Times New Roman" w:cs="Times New Roman"/>
          <w:i/>
          <w:sz w:val="24"/>
          <w:szCs w:val="24"/>
        </w:rPr>
        <w:t xml:space="preserve">JO for 0.1-0.3 M </w:t>
      </w:r>
    </w:p>
    <w:p w14:paraId="77400B6A" w14:textId="77777777" w:rsidR="003A6998" w:rsidRDefault="003A6998" w:rsidP="007E5B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21A727" w14:textId="77777777" w:rsidR="00833F60" w:rsidRDefault="00833F60" w:rsidP="007E5B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8AF7F3" w14:textId="77777777" w:rsidR="00833F60" w:rsidRDefault="00833F60" w:rsidP="007E5B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C482B0" w14:textId="77777777" w:rsidR="00833F60" w:rsidRPr="00D5139F" w:rsidRDefault="00833F60" w:rsidP="007E5B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115EA7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106E717A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4FA9B692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422DE894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1E5166EE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29D32758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2202181A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0FAB2DD2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4B64CBC9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6C76BAC3" w14:textId="77777777" w:rsidR="00FE5383" w:rsidRPr="00D5139F" w:rsidRDefault="00FE5383" w:rsidP="0015019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14:paraId="399744C9" w14:textId="61F1356A" w:rsidR="007E5B5B" w:rsidRPr="00D5139F" w:rsidRDefault="007E5B5B" w:rsidP="007E5B5B">
      <w:pPr>
        <w:tabs>
          <w:tab w:val="left" w:pos="2820"/>
        </w:tabs>
        <w:spacing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5139F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Table </w:t>
      </w:r>
      <w:r w:rsidR="00103B31" w:rsidRPr="00D5139F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 xml:space="preserve">1: Comparison of the photocatalytic performance of green synthesized </w:t>
      </w:r>
      <w:r w:rsidR="00912E59" w:rsidRPr="00D5139F">
        <w:rPr>
          <w:rFonts w:ascii="Times New Roman" w:eastAsiaTheme="minorEastAsia" w:hAnsi="Times New Roman" w:cs="Times New Roman"/>
          <w:sz w:val="24"/>
          <w:szCs w:val="24"/>
        </w:rPr>
        <w:t>ZrO</w:t>
      </w:r>
      <w:r w:rsidR="00912E59" w:rsidRPr="00D5139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D5139F">
        <w:rPr>
          <w:rFonts w:ascii="Times New Roman" w:eastAsiaTheme="minorEastAsia" w:hAnsi="Times New Roman" w:cs="Times New Roman"/>
          <w:sz w:val="24"/>
          <w:szCs w:val="24"/>
        </w:rPr>
        <w:t xml:space="preserve"> NPs with previously published literature</w:t>
      </w:r>
    </w:p>
    <w:tbl>
      <w:tblPr>
        <w:tblStyle w:val="TableGrid"/>
        <w:tblW w:w="0" w:type="auto"/>
        <w:shd w:val="clear" w:color="auto" w:fill="B3E5A1" w:themeFill="accent6" w:themeFillTint="66"/>
        <w:tblLook w:val="04A0" w:firstRow="1" w:lastRow="0" w:firstColumn="1" w:lastColumn="0" w:noHBand="0" w:noVBand="1"/>
      </w:tblPr>
      <w:tblGrid>
        <w:gridCol w:w="576"/>
        <w:gridCol w:w="1502"/>
        <w:gridCol w:w="1630"/>
        <w:gridCol w:w="1329"/>
        <w:gridCol w:w="1016"/>
        <w:gridCol w:w="1496"/>
        <w:gridCol w:w="1467"/>
      </w:tblGrid>
      <w:tr w:rsidR="00D5139F" w:rsidRPr="00D5139F" w14:paraId="1DC9C892" w14:textId="77777777" w:rsidTr="002B3CCD">
        <w:tc>
          <w:tcPr>
            <w:tcW w:w="576" w:type="dxa"/>
            <w:shd w:val="clear" w:color="auto" w:fill="B3E5A1" w:themeFill="accent6" w:themeFillTint="66"/>
          </w:tcPr>
          <w:p w14:paraId="7B369ACC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Sr#</w:t>
            </w:r>
          </w:p>
        </w:tc>
        <w:tc>
          <w:tcPr>
            <w:tcW w:w="1680" w:type="dxa"/>
            <w:shd w:val="clear" w:color="auto" w:fill="B3E5A1" w:themeFill="accent6" w:themeFillTint="66"/>
          </w:tcPr>
          <w:p w14:paraId="78DD84C2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630" w:type="dxa"/>
            <w:shd w:val="clear" w:color="auto" w:fill="B3E5A1" w:themeFill="accent6" w:themeFillTint="66"/>
          </w:tcPr>
          <w:p w14:paraId="653B0208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Method</w:t>
            </w:r>
          </w:p>
        </w:tc>
        <w:tc>
          <w:tcPr>
            <w:tcW w:w="1358" w:type="dxa"/>
            <w:shd w:val="clear" w:color="auto" w:fill="B3E5A1" w:themeFill="accent6" w:themeFillTint="66"/>
          </w:tcPr>
          <w:p w14:paraId="23C9DAFA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Dye</w:t>
            </w:r>
          </w:p>
        </w:tc>
        <w:tc>
          <w:tcPr>
            <w:tcW w:w="1098" w:type="dxa"/>
            <w:shd w:val="clear" w:color="auto" w:fill="B3E5A1" w:themeFill="accent6" w:themeFillTint="66"/>
          </w:tcPr>
          <w:p w14:paraId="11E27C25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Time</w:t>
            </w:r>
          </w:p>
          <w:p w14:paraId="38C14A52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(min)</w:t>
            </w:r>
          </w:p>
        </w:tc>
        <w:tc>
          <w:tcPr>
            <w:tcW w:w="1496" w:type="dxa"/>
            <w:shd w:val="clear" w:color="auto" w:fill="B3E5A1" w:themeFill="accent6" w:themeFillTint="66"/>
          </w:tcPr>
          <w:p w14:paraId="6A4CEC13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Degradation (%)</w:t>
            </w:r>
          </w:p>
        </w:tc>
        <w:tc>
          <w:tcPr>
            <w:tcW w:w="1512" w:type="dxa"/>
            <w:shd w:val="clear" w:color="auto" w:fill="B3E5A1" w:themeFill="accent6" w:themeFillTint="66"/>
          </w:tcPr>
          <w:p w14:paraId="24098F43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References</w:t>
            </w:r>
          </w:p>
        </w:tc>
      </w:tr>
      <w:tr w:rsidR="00D5139F" w:rsidRPr="00D5139F" w14:paraId="49CA9D85" w14:textId="77777777" w:rsidTr="002B3CCD">
        <w:tc>
          <w:tcPr>
            <w:tcW w:w="576" w:type="dxa"/>
            <w:shd w:val="clear" w:color="auto" w:fill="B3E5A1" w:themeFill="accent6" w:themeFillTint="66"/>
          </w:tcPr>
          <w:p w14:paraId="61204A9A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shd w:val="clear" w:color="auto" w:fill="FFFFFF" w:themeFill="background1"/>
          </w:tcPr>
          <w:p w14:paraId="2EDACD50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ZrO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14:paraId="1B0347F6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Green synthesis</w:t>
            </w:r>
          </w:p>
        </w:tc>
        <w:tc>
          <w:tcPr>
            <w:tcW w:w="1358" w:type="dxa"/>
            <w:shd w:val="clear" w:color="auto" w:fill="FFFFFF" w:themeFill="background1"/>
          </w:tcPr>
          <w:p w14:paraId="67EC704C" w14:textId="1A37383E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Methylene blue</w:t>
            </w:r>
          </w:p>
        </w:tc>
        <w:tc>
          <w:tcPr>
            <w:tcW w:w="1098" w:type="dxa"/>
            <w:shd w:val="clear" w:color="auto" w:fill="FFFFFF" w:themeFill="background1"/>
          </w:tcPr>
          <w:p w14:paraId="749CFBD5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96" w:type="dxa"/>
            <w:shd w:val="clear" w:color="auto" w:fill="FFFFFF" w:themeFill="background1"/>
          </w:tcPr>
          <w:p w14:paraId="45760D9E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512" w:type="dxa"/>
            <w:shd w:val="clear" w:color="auto" w:fill="FFFFFF" w:themeFill="background1"/>
          </w:tcPr>
          <w:p w14:paraId="5CF54E53" w14:textId="353DA9AC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[</w:t>
            </w:r>
            <w:r w:rsidR="003A7046"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]</w:t>
            </w:r>
          </w:p>
        </w:tc>
      </w:tr>
      <w:tr w:rsidR="00D5139F" w:rsidRPr="00D5139F" w14:paraId="14B93B6A" w14:textId="77777777" w:rsidTr="002B3CCD">
        <w:tc>
          <w:tcPr>
            <w:tcW w:w="576" w:type="dxa"/>
            <w:shd w:val="clear" w:color="auto" w:fill="B3E5A1" w:themeFill="accent6" w:themeFillTint="66"/>
          </w:tcPr>
          <w:p w14:paraId="7D09C936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FFFFFF" w:themeFill="background1"/>
          </w:tcPr>
          <w:p w14:paraId="7B790AE9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N-ZrO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14:paraId="6DA474DE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Thermal decomposition</w:t>
            </w:r>
          </w:p>
        </w:tc>
        <w:tc>
          <w:tcPr>
            <w:tcW w:w="1358" w:type="dxa"/>
            <w:shd w:val="clear" w:color="auto" w:fill="FFFFFF" w:themeFill="background1"/>
          </w:tcPr>
          <w:p w14:paraId="59245BF6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Methylene blue</w:t>
            </w:r>
          </w:p>
        </w:tc>
        <w:tc>
          <w:tcPr>
            <w:tcW w:w="1098" w:type="dxa"/>
            <w:shd w:val="clear" w:color="auto" w:fill="FFFFFF" w:themeFill="background1"/>
          </w:tcPr>
          <w:p w14:paraId="62E8DB2F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96" w:type="dxa"/>
            <w:shd w:val="clear" w:color="auto" w:fill="FFFFFF" w:themeFill="background1"/>
          </w:tcPr>
          <w:p w14:paraId="1A2D8CB8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512" w:type="dxa"/>
            <w:shd w:val="clear" w:color="auto" w:fill="FFFFFF" w:themeFill="background1"/>
          </w:tcPr>
          <w:p w14:paraId="607C1EDF" w14:textId="30F2B1CD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[</w:t>
            </w:r>
            <w:r w:rsidR="003A7046"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]</w:t>
            </w:r>
          </w:p>
        </w:tc>
      </w:tr>
      <w:tr w:rsidR="00D5139F" w:rsidRPr="00D5139F" w14:paraId="74E989BD" w14:textId="77777777" w:rsidTr="002B3CCD">
        <w:tc>
          <w:tcPr>
            <w:tcW w:w="576" w:type="dxa"/>
            <w:shd w:val="clear" w:color="auto" w:fill="B3E5A1" w:themeFill="accent6" w:themeFillTint="66"/>
          </w:tcPr>
          <w:p w14:paraId="2129024A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FFFFFF" w:themeFill="background1"/>
          </w:tcPr>
          <w:p w14:paraId="3D498DE0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ZrO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14:paraId="49D49EAB" w14:textId="2824FC42" w:rsidR="007E5B5B" w:rsidRPr="00D5139F" w:rsidRDefault="00D35FE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Precipitation</w:t>
            </w:r>
          </w:p>
        </w:tc>
        <w:tc>
          <w:tcPr>
            <w:tcW w:w="1358" w:type="dxa"/>
            <w:shd w:val="clear" w:color="auto" w:fill="FFFFFF" w:themeFill="background1"/>
          </w:tcPr>
          <w:p w14:paraId="7CD7ED38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Methylene blue</w:t>
            </w:r>
          </w:p>
        </w:tc>
        <w:tc>
          <w:tcPr>
            <w:tcW w:w="1098" w:type="dxa"/>
            <w:shd w:val="clear" w:color="auto" w:fill="FFFFFF" w:themeFill="background1"/>
          </w:tcPr>
          <w:p w14:paraId="1F5B2269" w14:textId="3DB6D3D9" w:rsidR="007E5B5B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B47B27" w14:textId="2A4879B9" w:rsidR="002B75BC" w:rsidRPr="00D5139F" w:rsidRDefault="002B75BC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96" w:type="dxa"/>
            <w:shd w:val="clear" w:color="auto" w:fill="FFFFFF" w:themeFill="background1"/>
          </w:tcPr>
          <w:p w14:paraId="60E539BE" w14:textId="29EA1329" w:rsidR="007E5B5B" w:rsidRPr="00D5139F" w:rsidRDefault="00D35FE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89</w:t>
            </w:r>
            <w:r w:rsidR="007E5B5B"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2" w:type="dxa"/>
            <w:shd w:val="clear" w:color="auto" w:fill="FFFFFF" w:themeFill="background1"/>
          </w:tcPr>
          <w:p w14:paraId="54E51F2B" w14:textId="181AC68F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[</w:t>
            </w:r>
            <w:r w:rsidR="003A7046"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]</w:t>
            </w:r>
          </w:p>
        </w:tc>
      </w:tr>
      <w:tr w:rsidR="00D5139F" w:rsidRPr="00D5139F" w14:paraId="525F1F87" w14:textId="77777777" w:rsidTr="002B3CCD">
        <w:tc>
          <w:tcPr>
            <w:tcW w:w="576" w:type="dxa"/>
            <w:shd w:val="clear" w:color="auto" w:fill="B3E5A1" w:themeFill="accent6" w:themeFillTint="66"/>
          </w:tcPr>
          <w:p w14:paraId="3E55FEB0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FFFFFF" w:themeFill="background1"/>
          </w:tcPr>
          <w:p w14:paraId="0418767D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ZrO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14:paraId="39865700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Microwave assisted </w:t>
            </w:r>
          </w:p>
        </w:tc>
        <w:tc>
          <w:tcPr>
            <w:tcW w:w="1358" w:type="dxa"/>
            <w:shd w:val="clear" w:color="auto" w:fill="FFFFFF" w:themeFill="background1"/>
          </w:tcPr>
          <w:p w14:paraId="71C480AD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Methyl red, methyl orange, methylene blue</w:t>
            </w:r>
          </w:p>
        </w:tc>
        <w:tc>
          <w:tcPr>
            <w:tcW w:w="1098" w:type="dxa"/>
            <w:shd w:val="clear" w:color="auto" w:fill="FFFFFF" w:themeFill="background1"/>
          </w:tcPr>
          <w:p w14:paraId="1A895959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6" w:type="dxa"/>
            <w:shd w:val="clear" w:color="auto" w:fill="FFFFFF" w:themeFill="background1"/>
          </w:tcPr>
          <w:p w14:paraId="22355F69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74%, 62%, 57%</w:t>
            </w:r>
          </w:p>
        </w:tc>
        <w:tc>
          <w:tcPr>
            <w:tcW w:w="1512" w:type="dxa"/>
            <w:shd w:val="clear" w:color="auto" w:fill="FFFFFF" w:themeFill="background1"/>
          </w:tcPr>
          <w:p w14:paraId="7499FBD5" w14:textId="6A8C81CB" w:rsidR="002B75BC" w:rsidRPr="00D5139F" w:rsidRDefault="007E5B5B" w:rsidP="00D35FEB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[</w:t>
            </w:r>
            <w:r w:rsidR="00BB2069"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]</w:t>
            </w:r>
          </w:p>
        </w:tc>
      </w:tr>
      <w:tr w:rsidR="00D5139F" w:rsidRPr="00D5139F" w14:paraId="4AF72A02" w14:textId="77777777" w:rsidTr="002B3CCD">
        <w:tc>
          <w:tcPr>
            <w:tcW w:w="576" w:type="dxa"/>
            <w:shd w:val="clear" w:color="auto" w:fill="B3E5A1" w:themeFill="accent6" w:themeFillTint="66"/>
          </w:tcPr>
          <w:p w14:paraId="26494F58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FFFFFF" w:themeFill="background1"/>
          </w:tcPr>
          <w:p w14:paraId="65759984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ZrO</w:t>
            </w: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14:paraId="6B8F3FC8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Green synthesis</w:t>
            </w:r>
          </w:p>
        </w:tc>
        <w:tc>
          <w:tcPr>
            <w:tcW w:w="1358" w:type="dxa"/>
            <w:shd w:val="clear" w:color="auto" w:fill="FFFFFF" w:themeFill="background1"/>
          </w:tcPr>
          <w:p w14:paraId="718ECBE5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Methylene blue</w:t>
            </w:r>
          </w:p>
        </w:tc>
        <w:tc>
          <w:tcPr>
            <w:tcW w:w="1098" w:type="dxa"/>
            <w:shd w:val="clear" w:color="auto" w:fill="FFFFFF" w:themeFill="background1"/>
          </w:tcPr>
          <w:p w14:paraId="0E31144B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6" w:type="dxa"/>
            <w:shd w:val="clear" w:color="auto" w:fill="FFFFFF" w:themeFill="background1"/>
          </w:tcPr>
          <w:p w14:paraId="0BE43DB7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512" w:type="dxa"/>
            <w:shd w:val="clear" w:color="auto" w:fill="FFFFFF" w:themeFill="background1"/>
          </w:tcPr>
          <w:p w14:paraId="4E205F5C" w14:textId="77777777" w:rsidR="007E5B5B" w:rsidRPr="00D5139F" w:rsidRDefault="007E5B5B" w:rsidP="002B3CCD">
            <w:pPr>
              <w:tabs>
                <w:tab w:val="left" w:pos="2820"/>
              </w:tabs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5139F">
              <w:rPr>
                <w:rFonts w:ascii="Times New Roman" w:eastAsiaTheme="minorEastAsia" w:hAnsi="Times New Roman" w:cs="Times New Roman"/>
                <w:sz w:val="24"/>
                <w:szCs w:val="24"/>
              </w:rPr>
              <w:t>Present Work</w:t>
            </w:r>
          </w:p>
        </w:tc>
      </w:tr>
    </w:tbl>
    <w:p w14:paraId="4647992D" w14:textId="77777777" w:rsidR="007E5B5B" w:rsidRPr="00D5139F" w:rsidRDefault="007E5B5B" w:rsidP="007E5B5B"/>
    <w:p w14:paraId="2B587A7D" w14:textId="77777777" w:rsidR="007E5B5B" w:rsidRPr="00D5139F" w:rsidRDefault="007E5B5B" w:rsidP="007E5B5B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14:paraId="5EB5A07A" w14:textId="77777777" w:rsidR="007E5B5B" w:rsidRPr="00D5139F" w:rsidRDefault="007E5B5B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DA5231" w14:textId="77777777" w:rsidR="007E5B5B" w:rsidRPr="00D5139F" w:rsidRDefault="007E5B5B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51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7E48AB" wp14:editId="796D316B">
            <wp:extent cx="2995012" cy="2501900"/>
            <wp:effectExtent l="0" t="0" r="0" b="0"/>
            <wp:docPr id="48" name="Picture 48" descr="A graph of growth of tomatoe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graph of growth of tomatoes  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396" cy="250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014E3" w14:textId="37FC66AE" w:rsidR="007E5B5B" w:rsidRPr="00D5139F" w:rsidRDefault="007E5B5B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Figure </w:t>
      </w:r>
      <w:r w:rsidR="00103B31" w:rsidRPr="00D5139F">
        <w:rPr>
          <w:rFonts w:ascii="Times New Roman" w:hAnsi="Times New Roman" w:cs="Times New Roman"/>
          <w:sz w:val="24"/>
          <w:szCs w:val="24"/>
        </w:rPr>
        <w:t>S</w:t>
      </w:r>
      <w:r w:rsidR="00131EC4">
        <w:rPr>
          <w:rFonts w:ascii="Times New Roman" w:hAnsi="Times New Roman" w:cs="Times New Roman"/>
          <w:sz w:val="24"/>
          <w:szCs w:val="24"/>
        </w:rPr>
        <w:t>2</w:t>
      </w:r>
      <w:r w:rsidRPr="00D5139F">
        <w:rPr>
          <w:rFonts w:ascii="Times New Roman" w:hAnsi="Times New Roman" w:cs="Times New Roman"/>
          <w:sz w:val="24"/>
          <w:szCs w:val="24"/>
        </w:rPr>
        <w:t>: Physiological weight loss of tomatoes with time</w:t>
      </w:r>
    </w:p>
    <w:p w14:paraId="25ACD2C3" w14:textId="77777777" w:rsidR="00103B31" w:rsidRPr="00D5139F" w:rsidRDefault="00103B31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1E963EA" w14:textId="77777777" w:rsidR="00BB2069" w:rsidRPr="00D5139F" w:rsidRDefault="00BB2069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439ACE8" w14:textId="77777777" w:rsidR="00BB2069" w:rsidRDefault="00BB2069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F6B2042" w14:textId="77777777" w:rsidR="005072FD" w:rsidRDefault="005072FD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FDABEE7" w14:textId="77777777" w:rsidR="005072FD" w:rsidRPr="00D5139F" w:rsidRDefault="005072FD" w:rsidP="007E5B5B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819F581" w14:textId="6EF99D88" w:rsidR="00103B31" w:rsidRPr="00D5139F" w:rsidRDefault="00103B31" w:rsidP="00103B3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</w:rPr>
        <w:lastRenderedPageBreak/>
        <w:t>References:</w:t>
      </w:r>
    </w:p>
    <w:p w14:paraId="5FF1FD7A" w14:textId="73105A76" w:rsidR="005F204E" w:rsidRPr="00D5139F" w:rsidRDefault="005F204E" w:rsidP="005F204E">
      <w:pPr>
        <w:spacing w:after="48" w:line="240" w:lineRule="auto"/>
        <w:ind w:left="367" w:hanging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[1] 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Youness, R. A., Al-Ashkar, E., &amp; Taha, M. A. (2023). Role of </w:t>
      </w:r>
      <w:proofErr w:type="gramStart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porosity</w:t>
      </w:r>
      <w:proofErr w:type="gramEnd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the strength, dielectric properties, and bioactivity of </w:t>
      </w:r>
      <w:proofErr w:type="spellStart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hardystonite</w:t>
      </w:r>
      <w:proofErr w:type="spellEnd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ceramic material for use in bone tissue engineering applications.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Ceramics International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49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(24), 40520-40531.</w:t>
      </w:r>
    </w:p>
    <w:p w14:paraId="619612F3" w14:textId="556B4425" w:rsidR="005F204E" w:rsidRPr="00D5139F" w:rsidRDefault="005F204E" w:rsidP="005F204E">
      <w:pPr>
        <w:spacing w:after="48" w:line="240" w:lineRule="auto"/>
        <w:ind w:left="367" w:hanging="367"/>
        <w:jc w:val="both"/>
        <w:rPr>
          <w:rFonts w:ascii="Times New Roman" w:hAnsi="Times New Roman" w:cs="Times New Roman"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[2] 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SanaUllah, I., Khan, S., Ali, D., Sajjad, A., Shamaila, S., Kanwal, Z., ... &amp; Riaz, S. (2024). Investigation and optimization of In-Vitro </w:t>
      </w:r>
      <w:proofErr w:type="spellStart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behaviour</w:t>
      </w:r>
      <w:proofErr w:type="spellEnd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Perovskite barium titanate as a scaffold and protective </w:t>
      </w:r>
      <w:proofErr w:type="gramStart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coatings</w:t>
      </w:r>
      <w:proofErr w:type="gramEnd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the Mechanical Behavior of Biomedical Materials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149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 106215.</w:t>
      </w:r>
      <w:r w:rsidRPr="00D51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1E81E" w14:textId="0F223335" w:rsidR="005F204E" w:rsidRPr="00D5139F" w:rsidRDefault="005F204E" w:rsidP="005F204E">
      <w:pPr>
        <w:spacing w:after="48" w:line="240" w:lineRule="auto"/>
        <w:ind w:left="367" w:hanging="3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[3] </w:t>
      </w:r>
      <w:proofErr w:type="spellStart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Tavangar</w:t>
      </w:r>
      <w:proofErr w:type="spellEnd"/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 M., Heidari, F., Hayati, R., Tabatabaei, F., Vashaee, D., &amp; Tayebi, L. (2020). Manufacturing and characterization of mechanical, biological and dielectric properties of hydroxyapatite-barium titanate nanocomposite scaffolds.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Ceramics International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46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(7), 9086-9095.</w:t>
      </w:r>
    </w:p>
    <w:p w14:paraId="281299B2" w14:textId="71146029" w:rsidR="005F204E" w:rsidRPr="00D5139F" w:rsidRDefault="005F204E" w:rsidP="005F204E">
      <w:pPr>
        <w:spacing w:after="48" w:line="240" w:lineRule="auto"/>
        <w:ind w:left="367" w:hanging="3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[4] 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Macdonald, J. R., &amp; Johnson, W. B. (2018). Fundamentals of impedance spectroscopy. </w:t>
      </w:r>
      <w:r w:rsidRPr="00D513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Impedance spectroscopy: theory, experiment, and applications</w:t>
      </w:r>
      <w:r w:rsidRPr="00D5139F">
        <w:rPr>
          <w:rFonts w:ascii="Times New Roman" w:hAnsi="Times New Roman" w:cs="Times New Roman"/>
          <w:sz w:val="24"/>
          <w:szCs w:val="24"/>
          <w:shd w:val="clear" w:color="auto" w:fill="FFFFFF"/>
        </w:rPr>
        <w:t>, 1-20.</w:t>
      </w:r>
    </w:p>
    <w:p w14:paraId="6C9F107C" w14:textId="3BA4AA5D" w:rsidR="005F204E" w:rsidRPr="00D5139F" w:rsidRDefault="005F204E" w:rsidP="005F204E">
      <w:pPr>
        <w:spacing w:line="240" w:lineRule="auto"/>
        <w:ind w:left="367" w:hanging="367"/>
        <w:jc w:val="both"/>
        <w:rPr>
          <w:rFonts w:ascii="Times New Roman" w:hAnsi="Times New Roman" w:cs="Times New Roman"/>
          <w:sz w:val="24"/>
          <w:szCs w:val="24"/>
        </w:rPr>
      </w:pPr>
      <w:r w:rsidRPr="00D5139F">
        <w:rPr>
          <w:rFonts w:ascii="Times New Roman" w:hAnsi="Times New Roman" w:cs="Times New Roman"/>
          <w:sz w:val="24"/>
          <w:szCs w:val="24"/>
        </w:rPr>
        <w:t xml:space="preserve">[5] R. Hill, L. </w:t>
      </w:r>
      <w:proofErr w:type="spellStart"/>
      <w:r w:rsidRPr="00D5139F">
        <w:rPr>
          <w:rFonts w:ascii="Times New Roman" w:hAnsi="Times New Roman" w:cs="Times New Roman"/>
          <w:sz w:val="24"/>
          <w:szCs w:val="24"/>
        </w:rPr>
        <w:t>Dissado</w:t>
      </w:r>
      <w:proofErr w:type="spellEnd"/>
      <w:r w:rsidRPr="00D5139F">
        <w:rPr>
          <w:rFonts w:ascii="Times New Roman" w:hAnsi="Times New Roman" w:cs="Times New Roman"/>
          <w:sz w:val="24"/>
          <w:szCs w:val="24"/>
        </w:rPr>
        <w:t xml:space="preserve">, Debye and non-Debye relaxation, J. </w:t>
      </w:r>
      <w:proofErr w:type="spellStart"/>
      <w:r w:rsidRPr="00D5139F">
        <w:rPr>
          <w:rFonts w:ascii="Times New Roman" w:hAnsi="Times New Roman" w:cs="Times New Roman"/>
          <w:sz w:val="24"/>
          <w:szCs w:val="24"/>
        </w:rPr>
        <w:t>Phy</w:t>
      </w:r>
      <w:proofErr w:type="spellEnd"/>
      <w:r w:rsidRPr="00D5139F">
        <w:rPr>
          <w:rFonts w:ascii="Times New Roman" w:hAnsi="Times New Roman" w:cs="Times New Roman"/>
          <w:sz w:val="24"/>
          <w:szCs w:val="24"/>
        </w:rPr>
        <w:t xml:space="preserve">. C: Solid. State. </w:t>
      </w:r>
      <w:proofErr w:type="spellStart"/>
      <w:r w:rsidRPr="00D5139F">
        <w:rPr>
          <w:rFonts w:ascii="Times New Roman" w:hAnsi="Times New Roman" w:cs="Times New Roman"/>
          <w:sz w:val="24"/>
          <w:szCs w:val="24"/>
        </w:rPr>
        <w:t>Phy</w:t>
      </w:r>
      <w:proofErr w:type="spellEnd"/>
      <w:r w:rsidRPr="00D5139F">
        <w:rPr>
          <w:rFonts w:ascii="Times New Roman" w:hAnsi="Times New Roman" w:cs="Times New Roman"/>
          <w:sz w:val="24"/>
          <w:szCs w:val="24"/>
        </w:rPr>
        <w:t>., 18 (1985), 3829-3836.</w:t>
      </w:r>
    </w:p>
    <w:p w14:paraId="0EF42DFB" w14:textId="457C65EB" w:rsidR="00E473EA" w:rsidRPr="00811AE8" w:rsidRDefault="005F204E" w:rsidP="00811AE8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AE8">
        <w:rPr>
          <w:rFonts w:ascii="Times New Roman" w:hAnsi="Times New Roman" w:cs="Times New Roman"/>
          <w:sz w:val="24"/>
          <w:szCs w:val="24"/>
        </w:rPr>
        <w:t xml:space="preserve">[6] </w:t>
      </w:r>
      <w:r w:rsidR="00E473EA" w:rsidRPr="00811AE8">
        <w:rPr>
          <w:rFonts w:ascii="Times New Roman" w:hAnsi="Times New Roman" w:cs="Times New Roman"/>
          <w:sz w:val="24"/>
          <w:szCs w:val="24"/>
        </w:rPr>
        <w:t>Waqas, M., Niaz, S., Batoo, K. M., Xu, Y. B., Noor, H., Ahmad, N., Riaz, S. (2024). Exploring the microwave assisted sol-gel synthesized multivalent doped thin films of iron oxide for detailed impedance and magnetodielectric response. </w:t>
      </w:r>
      <w:r w:rsidR="00E473EA" w:rsidRPr="00811AE8">
        <w:rPr>
          <w:rFonts w:ascii="Times New Roman" w:hAnsi="Times New Roman" w:cs="Times New Roman"/>
          <w:i/>
          <w:iCs/>
          <w:sz w:val="24"/>
          <w:szCs w:val="24"/>
        </w:rPr>
        <w:t>Solid State Sciences</w:t>
      </w:r>
      <w:r w:rsidR="00E473EA" w:rsidRPr="00811AE8">
        <w:rPr>
          <w:rFonts w:ascii="Times New Roman" w:hAnsi="Times New Roman" w:cs="Times New Roman"/>
          <w:sz w:val="24"/>
          <w:szCs w:val="24"/>
        </w:rPr>
        <w:t>, </w:t>
      </w:r>
      <w:r w:rsidR="00E473EA" w:rsidRPr="00811AE8">
        <w:rPr>
          <w:rFonts w:ascii="Times New Roman" w:hAnsi="Times New Roman" w:cs="Times New Roman"/>
          <w:i/>
          <w:iCs/>
          <w:sz w:val="24"/>
          <w:szCs w:val="24"/>
        </w:rPr>
        <w:t>149</w:t>
      </w:r>
      <w:r w:rsidR="00E473EA" w:rsidRPr="00811AE8">
        <w:rPr>
          <w:rFonts w:ascii="Times New Roman" w:hAnsi="Times New Roman" w:cs="Times New Roman"/>
          <w:sz w:val="24"/>
          <w:szCs w:val="24"/>
        </w:rPr>
        <w:t xml:space="preserve">, 107441. </w:t>
      </w:r>
    </w:p>
    <w:p w14:paraId="70A09890" w14:textId="77777777" w:rsidR="00D3005D" w:rsidRPr="008B04D2" w:rsidRDefault="00D3005D" w:rsidP="009C5E13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D3005D">
        <w:t>[</w:t>
      </w:r>
      <w:r w:rsidRPr="008B04D2">
        <w:rPr>
          <w:rFonts w:ascii="Times New Roman" w:hAnsi="Times New Roman" w:cs="Times New Roman"/>
          <w:sz w:val="24"/>
          <w:szCs w:val="24"/>
        </w:rPr>
        <w:t xml:space="preserve">7] Shinde, H. M., Bhosale, T. T.,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Gavade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 xml:space="preserve">, N. L., Babar, S. B., Kamble, R. J., Shirke, B. S., &amp;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Garadkar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>, K. M. (2018). Biosynthesis of ZrO2 nanoparticles from Ficus benghalensis leaf extract for photocatalytic activity.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Journal of Materials Science: Materials in Electronics</w:t>
      </w:r>
      <w:r w:rsidRPr="008B04D2">
        <w:rPr>
          <w:rFonts w:ascii="Times New Roman" w:hAnsi="Times New Roman" w:cs="Times New Roman"/>
          <w:sz w:val="24"/>
          <w:szCs w:val="24"/>
        </w:rPr>
        <w:t>,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Pr="008B04D2">
        <w:rPr>
          <w:rFonts w:ascii="Times New Roman" w:hAnsi="Times New Roman" w:cs="Times New Roman"/>
          <w:sz w:val="24"/>
          <w:szCs w:val="24"/>
        </w:rPr>
        <w:t>(16), 14055-14064.</w:t>
      </w:r>
    </w:p>
    <w:p w14:paraId="5C09AD45" w14:textId="77777777" w:rsidR="00D3005D" w:rsidRPr="008B04D2" w:rsidRDefault="00D3005D" w:rsidP="009C5E13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B04D2">
        <w:rPr>
          <w:rFonts w:ascii="Times New Roman" w:hAnsi="Times New Roman" w:cs="Times New Roman"/>
          <w:sz w:val="24"/>
          <w:szCs w:val="24"/>
        </w:rPr>
        <w:t xml:space="preserve">[8] H.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Sudrajat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>, S. Babel, H. Sakai, S. Takizawa, Rapid enhanced photocatalytic degradation of dyes using novel N-doped ZrO2, J. Environ. Manage 165 (2016) 224–234.</w:t>
      </w:r>
    </w:p>
    <w:p w14:paraId="7A490BB3" w14:textId="77777777" w:rsidR="00D3005D" w:rsidRPr="008B04D2" w:rsidRDefault="00D3005D" w:rsidP="009C5E13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B04D2">
        <w:rPr>
          <w:rFonts w:ascii="Times New Roman" w:hAnsi="Times New Roman" w:cs="Times New Roman"/>
          <w:sz w:val="24"/>
          <w:szCs w:val="24"/>
        </w:rPr>
        <w:t xml:space="preserve">[9] Rajesh, G.,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Akilandeswari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>, S., Govindarajan, D., &amp; Thirumalai, K. (2020). Enhancement of photocatalytic activity of ZrO2 nanoparticles by doping with Mg for UV light photocatalytic degradation of methyl violet and methyl blue dyes.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Journal of Materials Science: Materials in Electronics</w:t>
      </w:r>
      <w:r w:rsidRPr="008B04D2">
        <w:rPr>
          <w:rFonts w:ascii="Times New Roman" w:hAnsi="Times New Roman" w:cs="Times New Roman"/>
          <w:sz w:val="24"/>
          <w:szCs w:val="24"/>
        </w:rPr>
        <w:t>,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31</w:t>
      </w:r>
      <w:r w:rsidRPr="008B04D2">
        <w:rPr>
          <w:rFonts w:ascii="Times New Roman" w:hAnsi="Times New Roman" w:cs="Times New Roman"/>
          <w:sz w:val="24"/>
          <w:szCs w:val="24"/>
        </w:rPr>
        <w:t>(5), 4058-4072.</w:t>
      </w:r>
    </w:p>
    <w:p w14:paraId="5F52D7D9" w14:textId="77777777" w:rsidR="00D3005D" w:rsidRPr="008B04D2" w:rsidRDefault="00D3005D" w:rsidP="009C5E13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B04D2">
        <w:rPr>
          <w:rFonts w:ascii="Times New Roman" w:hAnsi="Times New Roman" w:cs="Times New Roman"/>
          <w:sz w:val="24"/>
          <w:szCs w:val="24"/>
        </w:rPr>
        <w:t xml:space="preserve">[10] Yuan, Y., Wu, Y., Suganthy, N., Shanmugam, S.,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Brindhadevi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 xml:space="preserve">, K., Sabour, A.,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Alshiekheid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>, M., Chi, N.T.L., Pugazhendhi, A., &amp; Shanmuganathan, R. (2022). Biosynthesis of zirconium nanoparticles (ZrO</w:t>
      </w:r>
      <w:r w:rsidRPr="008B04D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04D2">
        <w:rPr>
          <w:rFonts w:ascii="Times New Roman" w:hAnsi="Times New Roman" w:cs="Times New Roman"/>
          <w:sz w:val="24"/>
          <w:szCs w:val="24"/>
        </w:rPr>
        <w:t xml:space="preserve"> NPs) by Phyllanthus </w:t>
      </w:r>
      <w:proofErr w:type="spellStart"/>
      <w:r w:rsidRPr="008B04D2">
        <w:rPr>
          <w:rFonts w:ascii="Times New Roman" w:hAnsi="Times New Roman" w:cs="Times New Roman"/>
          <w:sz w:val="24"/>
          <w:szCs w:val="24"/>
        </w:rPr>
        <w:t>niruri</w:t>
      </w:r>
      <w:proofErr w:type="spellEnd"/>
      <w:r w:rsidRPr="008B04D2">
        <w:rPr>
          <w:rFonts w:ascii="Times New Roman" w:hAnsi="Times New Roman" w:cs="Times New Roman"/>
          <w:sz w:val="24"/>
          <w:szCs w:val="24"/>
        </w:rPr>
        <w:t xml:space="preserve"> extract: Characterization and its photocatalytic dye degradation activity.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Food and Chemical Toxicology</w:t>
      </w:r>
      <w:r w:rsidRPr="008B04D2">
        <w:rPr>
          <w:rFonts w:ascii="Times New Roman" w:hAnsi="Times New Roman" w:cs="Times New Roman"/>
          <w:sz w:val="24"/>
          <w:szCs w:val="24"/>
        </w:rPr>
        <w:t>, </w:t>
      </w:r>
      <w:r w:rsidRPr="008B04D2">
        <w:rPr>
          <w:rFonts w:ascii="Times New Roman" w:hAnsi="Times New Roman" w:cs="Times New Roman"/>
          <w:i/>
          <w:iCs/>
          <w:sz w:val="24"/>
          <w:szCs w:val="24"/>
        </w:rPr>
        <w:t>168</w:t>
      </w:r>
      <w:r w:rsidRPr="008B04D2">
        <w:rPr>
          <w:rFonts w:ascii="Times New Roman" w:hAnsi="Times New Roman" w:cs="Times New Roman"/>
          <w:sz w:val="24"/>
          <w:szCs w:val="24"/>
        </w:rPr>
        <w:t>, 113340.</w:t>
      </w:r>
    </w:p>
    <w:p w14:paraId="1D857D9D" w14:textId="77777777" w:rsidR="00D3005D" w:rsidRPr="008B04D2" w:rsidRDefault="00D3005D" w:rsidP="009C5E13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C43DB45" w14:textId="77777777" w:rsidR="007B41D1" w:rsidRPr="008B04D2" w:rsidRDefault="007B41D1" w:rsidP="007B41D1">
      <w:pPr>
        <w:rPr>
          <w:rFonts w:ascii="Times New Roman" w:hAnsi="Times New Roman" w:cs="Times New Roman"/>
          <w:sz w:val="24"/>
          <w:szCs w:val="24"/>
        </w:rPr>
      </w:pPr>
    </w:p>
    <w:p w14:paraId="409E30E1" w14:textId="77777777" w:rsidR="007B41D1" w:rsidRPr="00D5139F" w:rsidRDefault="007B41D1" w:rsidP="007B41D1"/>
    <w:sectPr w:rsidR="007B41D1" w:rsidRPr="00D51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5B"/>
    <w:rsid w:val="000518CA"/>
    <w:rsid w:val="000C60BA"/>
    <w:rsid w:val="00103B31"/>
    <w:rsid w:val="00131EC4"/>
    <w:rsid w:val="00150192"/>
    <w:rsid w:val="00242438"/>
    <w:rsid w:val="002B75BC"/>
    <w:rsid w:val="002D7812"/>
    <w:rsid w:val="00342640"/>
    <w:rsid w:val="003A6998"/>
    <w:rsid w:val="003A7046"/>
    <w:rsid w:val="003D7618"/>
    <w:rsid w:val="004C0278"/>
    <w:rsid w:val="005072FD"/>
    <w:rsid w:val="0053790B"/>
    <w:rsid w:val="0055309B"/>
    <w:rsid w:val="00555BCF"/>
    <w:rsid w:val="0057117D"/>
    <w:rsid w:val="005B4D66"/>
    <w:rsid w:val="005F204E"/>
    <w:rsid w:val="00695CA0"/>
    <w:rsid w:val="006F003B"/>
    <w:rsid w:val="00710796"/>
    <w:rsid w:val="0072153F"/>
    <w:rsid w:val="00743603"/>
    <w:rsid w:val="007B41D1"/>
    <w:rsid w:val="007E5B5B"/>
    <w:rsid w:val="00811AE8"/>
    <w:rsid w:val="00812E79"/>
    <w:rsid w:val="00833F60"/>
    <w:rsid w:val="00894CA1"/>
    <w:rsid w:val="00896088"/>
    <w:rsid w:val="008A2DBD"/>
    <w:rsid w:val="008B04D2"/>
    <w:rsid w:val="008B312C"/>
    <w:rsid w:val="00912E59"/>
    <w:rsid w:val="009C3E86"/>
    <w:rsid w:val="009C5E13"/>
    <w:rsid w:val="009E684A"/>
    <w:rsid w:val="00B178E6"/>
    <w:rsid w:val="00B24978"/>
    <w:rsid w:val="00BB0B7D"/>
    <w:rsid w:val="00BB2069"/>
    <w:rsid w:val="00BB2D24"/>
    <w:rsid w:val="00BE30F7"/>
    <w:rsid w:val="00C22C55"/>
    <w:rsid w:val="00C54473"/>
    <w:rsid w:val="00CE1058"/>
    <w:rsid w:val="00CE22EB"/>
    <w:rsid w:val="00D3005D"/>
    <w:rsid w:val="00D35FEB"/>
    <w:rsid w:val="00D5139F"/>
    <w:rsid w:val="00D7631D"/>
    <w:rsid w:val="00DD2C56"/>
    <w:rsid w:val="00E22084"/>
    <w:rsid w:val="00E473EA"/>
    <w:rsid w:val="00E6198E"/>
    <w:rsid w:val="00E64E49"/>
    <w:rsid w:val="00E942E3"/>
    <w:rsid w:val="00ED3A9E"/>
    <w:rsid w:val="00F028EA"/>
    <w:rsid w:val="00F83BA3"/>
    <w:rsid w:val="00F9037F"/>
    <w:rsid w:val="00FC7F6C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E85CC"/>
  <w15:chartTrackingRefBased/>
  <w15:docId w15:val="{E25460A3-EA7C-49A2-A6A2-012D2191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B5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B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B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B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B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B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B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B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B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B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B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B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5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B5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5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B5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5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B5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5B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B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B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5B5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7E5B5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103B3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03B31"/>
    <w:rPr>
      <w:kern w:val="0"/>
      <w:sz w:val="16"/>
      <w:szCs w:val="16"/>
      <w:lang w:val="en-US"/>
      <w14:ligatures w14:val="none"/>
    </w:rPr>
  </w:style>
  <w:style w:type="paragraph" w:styleId="Revision">
    <w:name w:val="Revision"/>
    <w:hidden/>
    <w:uiPriority w:val="99"/>
    <w:semiHidden/>
    <w:rsid w:val="008A2DBD"/>
    <w:pPr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932</Words>
  <Characters>5434</Characters>
  <Application>Microsoft Office Word</Application>
  <DocSecurity>0</DocSecurity>
  <Lines>187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SAIRA RIAZ</dc:creator>
  <cp:lastModifiedBy>SAIRA RIAZ</cp:lastModifiedBy>
  <cp:revision>7</cp:revision>
  <dcterms:created xsi:type="dcterms:W3CDTF">2026-04-03T09:09:00Z</dcterms:created>
  <dcterms:modified xsi:type="dcterms:W3CDTF">2026-04-03T09:18:00Z</dcterms:modified>
</cp:coreProperties>
</file>