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055D2" w14:textId="77777777" w:rsidR="00A84BA4" w:rsidRPr="00597D40" w:rsidRDefault="00A84BA4" w:rsidP="0004247A">
      <w:pPr>
        <w:rPr>
          <w:rFonts w:ascii="Times New Roman" w:hAnsi="Times New Roman" w:cs="Times New Roman"/>
          <w:sz w:val="36"/>
        </w:rPr>
      </w:pPr>
      <w:r w:rsidRPr="00597D40">
        <w:rPr>
          <w:rFonts w:ascii="Times New Roman" w:hAnsi="Times New Roman" w:cs="Times New Roman"/>
          <w:sz w:val="36"/>
        </w:rPr>
        <w:t>Supplementary material</w:t>
      </w:r>
      <w:r>
        <w:rPr>
          <w:rFonts w:ascii="Times New Roman" w:hAnsi="Times New Roman" w:cs="Times New Roman"/>
          <w:sz w:val="36"/>
        </w:rPr>
        <w:t xml:space="preserve"> to “</w:t>
      </w:r>
      <w:r w:rsidRPr="0004247A">
        <w:rPr>
          <w:rFonts w:ascii="Times New Roman" w:hAnsi="Times New Roman" w:cs="Times New Roman"/>
          <w:sz w:val="36"/>
        </w:rPr>
        <w:t>Accurate Heat Capacity Determination of Solids and Liquids Using a Heat Conduction Calorimeter</w:t>
      </w:r>
      <w:r>
        <w:rPr>
          <w:rFonts w:ascii="Times New Roman" w:hAnsi="Times New Roman" w:cs="Times New Roman"/>
          <w:sz w:val="36"/>
        </w:rPr>
        <w:t>” by Marcus Hothar and Lars Wadsö</w:t>
      </w:r>
    </w:p>
    <w:p w14:paraId="14A9494F" w14:textId="77777777" w:rsidR="00A84BA4" w:rsidRDefault="00A84BA4" w:rsidP="00597D40">
      <w:pPr>
        <w:rPr>
          <w:rFonts w:ascii="Times New Roman" w:hAnsi="Times New Roman" w:cs="Times New Roman"/>
          <w:sz w:val="24"/>
        </w:rPr>
      </w:pPr>
      <w:r>
        <w:rPr>
          <w:rFonts w:ascii="Times New Roman" w:hAnsi="Times New Roman" w:cs="Times New Roman"/>
          <w:b/>
          <w:sz w:val="24"/>
        </w:rPr>
        <w:t>Natural convection under small temperature differences</w:t>
      </w:r>
    </w:p>
    <w:p w14:paraId="3D6E2461" w14:textId="77777777" w:rsidR="00A84BA4" w:rsidRPr="00BB252D" w:rsidRDefault="00A84BA4" w:rsidP="001F2712">
      <w:pPr>
        <w:jc w:val="both"/>
        <w:rPr>
          <w:rFonts w:ascii="Times New Roman" w:hAnsi="Times New Roman" w:cs="Times New Roman"/>
          <w:sz w:val="24"/>
          <w:szCs w:val="24"/>
        </w:rPr>
      </w:pPr>
      <w:r w:rsidRPr="00BB252D">
        <w:rPr>
          <w:rFonts w:ascii="Times New Roman" w:hAnsi="Times New Roman" w:cs="Times New Roman"/>
          <w:sz w:val="24"/>
          <w:szCs w:val="24"/>
        </w:rPr>
        <w:t xml:space="preserve">The presence of a temperature gradient within a fluid can result in the onset of natural convection, also known as free convection. Natural convection is a form of heat transfer that occurs due to density differences caused by temperature variations within the fluid. The driving force is the buoyancy force which promotes the rise of less dense fluids while the denser fluid </w:t>
      </w:r>
      <w:proofErr w:type="gramStart"/>
      <w:r w:rsidRPr="00BB252D">
        <w:rPr>
          <w:rFonts w:ascii="Times New Roman" w:hAnsi="Times New Roman" w:cs="Times New Roman"/>
          <w:sz w:val="24"/>
          <w:szCs w:val="24"/>
        </w:rPr>
        <w:t>sink</w:t>
      </w:r>
      <w:proofErr w:type="gramEnd"/>
      <w:r w:rsidRPr="00BB252D">
        <w:rPr>
          <w:rFonts w:ascii="Times New Roman" w:hAnsi="Times New Roman" w:cs="Times New Roman"/>
          <w:sz w:val="24"/>
          <w:szCs w:val="24"/>
        </w:rPr>
        <w:t xml:space="preserve">. In general, a fluid expands when heated, becomes less dense, and thus rises, creating an upward flow while the opposite </w:t>
      </w:r>
      <w:r>
        <w:rPr>
          <w:rFonts w:ascii="Times New Roman" w:hAnsi="Times New Roman" w:cs="Times New Roman"/>
          <w:sz w:val="24"/>
          <w:szCs w:val="24"/>
        </w:rPr>
        <w:t>happens</w:t>
      </w:r>
      <w:r w:rsidRPr="00BB252D">
        <w:rPr>
          <w:rFonts w:ascii="Times New Roman" w:hAnsi="Times New Roman" w:cs="Times New Roman"/>
          <w:sz w:val="24"/>
          <w:szCs w:val="24"/>
        </w:rPr>
        <w:t xml:space="preserve"> if a fluid cools. </w:t>
      </w:r>
    </w:p>
    <w:p w14:paraId="45767E6C" w14:textId="77777777" w:rsidR="00A84BA4" w:rsidRPr="00BB252D" w:rsidRDefault="00A84BA4" w:rsidP="001F2712">
      <w:pPr>
        <w:jc w:val="both"/>
        <w:rPr>
          <w:rFonts w:ascii="Times New Roman" w:hAnsi="Times New Roman" w:cs="Times New Roman"/>
          <w:sz w:val="24"/>
          <w:szCs w:val="24"/>
        </w:rPr>
      </w:pPr>
      <w:r w:rsidRPr="00BB252D">
        <w:rPr>
          <w:rFonts w:ascii="Times New Roman" w:hAnsi="Times New Roman" w:cs="Times New Roman"/>
          <w:sz w:val="24"/>
          <w:szCs w:val="24"/>
        </w:rPr>
        <w:t xml:space="preserve">The intensity of natural convection depends on several factors, including the temperature difference, fluid properties (density, viscosity, and thermal conductivity), geometry, and boundary conditions of the system. The Rayleigh number is a dimensionless number that characterizes the likelihood and intensity of natural convection in a system. When the Rayleigh number is relatively low, the viscous forces dominate, and heat transfer occurs primarily through conduction. </w:t>
      </w:r>
      <w:r>
        <w:rPr>
          <w:rFonts w:ascii="Times New Roman" w:hAnsi="Times New Roman" w:cs="Times New Roman"/>
          <w:sz w:val="24"/>
          <w:szCs w:val="24"/>
        </w:rPr>
        <w:t>A</w:t>
      </w:r>
      <w:r w:rsidRPr="00BB252D">
        <w:rPr>
          <w:rFonts w:ascii="Times New Roman" w:hAnsi="Times New Roman" w:cs="Times New Roman"/>
          <w:sz w:val="24"/>
          <w:szCs w:val="24"/>
        </w:rPr>
        <w:t xml:space="preserve">s the Rayleigh number increases, the importance of buoyancy-driven convection becomes more significant, and fluid motion begins to play a crucial role in heat transfer. </w:t>
      </w:r>
    </w:p>
    <w:p w14:paraId="6DDCBF43" w14:textId="77777777" w:rsidR="00A84BA4" w:rsidRPr="00BB252D" w:rsidRDefault="00A84BA4" w:rsidP="001F2712">
      <w:pPr>
        <w:jc w:val="both"/>
        <w:rPr>
          <w:rFonts w:ascii="Times New Roman" w:hAnsi="Times New Roman" w:cs="Times New Roman"/>
          <w:sz w:val="24"/>
          <w:szCs w:val="24"/>
        </w:rPr>
      </w:pPr>
      <w:bookmarkStart w:id="0" w:name="_Hlk149902501"/>
      <w:r>
        <w:rPr>
          <w:rFonts w:ascii="Times New Roman" w:hAnsi="Times New Roman" w:cs="Times New Roman"/>
          <w:sz w:val="24"/>
          <w:szCs w:val="24"/>
        </w:rPr>
        <w:t>For the calorimeters that we have used, the largest air gaps are</w:t>
      </w:r>
      <w:r w:rsidRPr="00BB252D">
        <w:rPr>
          <w:rFonts w:ascii="Times New Roman" w:hAnsi="Times New Roman" w:cs="Times New Roman"/>
          <w:sz w:val="24"/>
          <w:szCs w:val="24"/>
        </w:rPr>
        <w:t xml:space="preserve"> vertical</w:t>
      </w:r>
      <w:r>
        <w:rPr>
          <w:rFonts w:ascii="Times New Roman" w:hAnsi="Times New Roman" w:cs="Times New Roman"/>
          <w:sz w:val="24"/>
          <w:szCs w:val="24"/>
        </w:rPr>
        <w:t>, and we have modelled them as infinite vertical</w:t>
      </w:r>
      <w:r w:rsidRPr="00BB252D">
        <w:rPr>
          <w:rFonts w:ascii="Times New Roman" w:hAnsi="Times New Roman" w:cs="Times New Roman"/>
          <w:sz w:val="24"/>
          <w:szCs w:val="24"/>
        </w:rPr>
        <w:t xml:space="preserve"> plates 10 mm</w:t>
      </w:r>
      <w:r>
        <w:rPr>
          <w:rFonts w:ascii="Times New Roman" w:hAnsi="Times New Roman" w:cs="Times New Roman"/>
          <w:sz w:val="24"/>
          <w:szCs w:val="24"/>
        </w:rPr>
        <w:t xml:space="preserve"> apart</w:t>
      </w:r>
      <w:r w:rsidRPr="00BB252D">
        <w:rPr>
          <w:rFonts w:ascii="Times New Roman" w:hAnsi="Times New Roman" w:cs="Times New Roman"/>
          <w:sz w:val="24"/>
          <w:szCs w:val="24"/>
        </w:rPr>
        <w:t xml:space="preserve">. </w:t>
      </w:r>
      <w:bookmarkEnd w:id="0"/>
      <w:r w:rsidRPr="00BB252D">
        <w:rPr>
          <w:rFonts w:ascii="Times New Roman" w:hAnsi="Times New Roman" w:cs="Times New Roman"/>
          <w:sz w:val="24"/>
          <w:szCs w:val="24"/>
        </w:rPr>
        <w:t>For such a system the critical Rayleigh number in which natural convection comes into noticeable effect is approximately 2000</w:t>
      </w:r>
      <w:r>
        <w:rPr>
          <w:rFonts w:ascii="Times New Roman" w:hAnsi="Times New Roman" w:cs="Times New Roman"/>
          <w:sz w:val="24"/>
          <w:szCs w:val="24"/>
        </w:rPr>
        <w:t xml:space="preserve"> </w:t>
      </w:r>
      <w:sdt>
        <w:sdtPr>
          <w:rPr>
            <w:rFonts w:ascii="Times New Roman" w:hAnsi="Times New Roman" w:cs="Times New Roman"/>
            <w:sz w:val="24"/>
            <w:szCs w:val="24"/>
          </w:rPr>
          <w:id w:val="-304542218"/>
          <w:citation/>
        </w:sdtPr>
        <w:sdtContent>
          <w:r>
            <w:rPr>
              <w:rFonts w:ascii="Times New Roman" w:hAnsi="Times New Roman" w:cs="Times New Roman"/>
              <w:sz w:val="24"/>
              <w:szCs w:val="24"/>
            </w:rPr>
            <w:fldChar w:fldCharType="begin"/>
          </w:r>
          <w:r w:rsidRPr="00BD2B38">
            <w:rPr>
              <w:rFonts w:ascii="Times New Roman" w:hAnsi="Times New Roman" w:cs="Times New Roman"/>
              <w:sz w:val="24"/>
              <w:szCs w:val="24"/>
            </w:rPr>
            <w:instrText xml:space="preserve"> CITATION Sun12 \l 1053 </w:instrText>
          </w:r>
          <w:r>
            <w:rPr>
              <w:rFonts w:ascii="Times New Roman" w:hAnsi="Times New Roman" w:cs="Times New Roman"/>
              <w:sz w:val="24"/>
              <w:szCs w:val="24"/>
            </w:rPr>
            <w:fldChar w:fldCharType="separate"/>
          </w:r>
          <w:r w:rsidRPr="00BD2B38">
            <w:rPr>
              <w:rFonts w:ascii="Times New Roman" w:hAnsi="Times New Roman" w:cs="Times New Roman"/>
              <w:noProof/>
              <w:sz w:val="24"/>
              <w:szCs w:val="24"/>
            </w:rPr>
            <w:t>[1]</w:t>
          </w:r>
          <w:r>
            <w:rPr>
              <w:rFonts w:ascii="Times New Roman" w:hAnsi="Times New Roman" w:cs="Times New Roman"/>
              <w:sz w:val="24"/>
              <w:szCs w:val="24"/>
            </w:rPr>
            <w:fldChar w:fldCharType="end"/>
          </w:r>
        </w:sdtContent>
      </w:sdt>
      <w:r w:rsidRPr="00BB252D">
        <w:rPr>
          <w:rFonts w:ascii="Times New Roman" w:hAnsi="Times New Roman" w:cs="Times New Roman"/>
          <w:sz w:val="24"/>
          <w:szCs w:val="24"/>
        </w:rPr>
        <w:t>.</w:t>
      </w:r>
    </w:p>
    <w:p w14:paraId="48A258DD" w14:textId="7C72910C" w:rsidR="00A84BA4" w:rsidRPr="00BB252D" w:rsidRDefault="00A84BA4" w:rsidP="001F2712">
      <w:pPr>
        <w:jc w:val="both"/>
        <w:rPr>
          <w:rFonts w:ascii="Times New Roman" w:eastAsiaTheme="minorEastAsia" w:hAnsi="Times New Roman" w:cs="Times New Roman"/>
          <w:sz w:val="24"/>
          <w:szCs w:val="24"/>
        </w:rPr>
      </w:pPr>
      <w:r>
        <w:rPr>
          <w:rFonts w:ascii="Times New Roman" w:hAnsi="Times New Roman" w:cs="Times New Roman"/>
          <w:sz w:val="24"/>
          <w:szCs w:val="24"/>
        </w:rPr>
        <w:t>Ra=Gr</w:t>
      </w:r>
      <w:r>
        <w:rPr>
          <w:rFonts w:ascii="Times New Roman" w:hAnsi="Times New Roman" w:cs="Times New Roman"/>
          <w:sz w:val="24"/>
          <w:szCs w:val="24"/>
        </w:rPr>
        <w:sym w:font="Symbol" w:char="F0D7"/>
      </w:r>
      <w:r>
        <w:rPr>
          <w:rFonts w:ascii="Times New Roman" w:hAnsi="Times New Roman" w:cs="Times New Roman"/>
          <w:sz w:val="24"/>
          <w:szCs w:val="24"/>
        </w:rPr>
        <w:t>Pr</w:t>
      </w:r>
      <w:r w:rsidRPr="00BB252D">
        <w:rPr>
          <w:rFonts w:ascii="Times New Roman" w:hAnsi="Times New Roman" w:cs="Times New Roman"/>
          <w:sz w:val="24"/>
          <w:szCs w:val="24"/>
        </w:rPr>
        <w:tab/>
      </w:r>
      <w:r w:rsidRPr="00BB252D">
        <w:rPr>
          <w:rFonts w:ascii="Times New Roman" w:hAnsi="Times New Roman" w:cs="Times New Roman"/>
          <w:sz w:val="24"/>
          <w:szCs w:val="24"/>
        </w:rPr>
        <w:tab/>
      </w:r>
      <w:r w:rsidRPr="00BB252D">
        <w:rPr>
          <w:rFonts w:ascii="Times New Roman" w:hAnsi="Times New Roman" w:cs="Times New Roman"/>
          <w:sz w:val="24"/>
          <w:szCs w:val="24"/>
        </w:rPr>
        <w:tab/>
      </w:r>
      <w:r w:rsidRPr="00BB252D">
        <w:rPr>
          <w:rFonts w:ascii="Times New Roman" w:hAnsi="Times New Roman" w:cs="Times New Roman"/>
          <w:sz w:val="24"/>
          <w:szCs w:val="24"/>
        </w:rPr>
        <w:tab/>
      </w:r>
      <w:r w:rsidRPr="00BB252D">
        <w:rPr>
          <w:rFonts w:ascii="Times New Roman" w:hAnsi="Times New Roman" w:cs="Times New Roman"/>
          <w:sz w:val="24"/>
          <w:szCs w:val="24"/>
        </w:rPr>
        <w:tab/>
      </w:r>
      <w:r w:rsidRPr="00BB252D">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r>
      <w:r w:rsidRPr="00BB252D">
        <w:rPr>
          <w:rFonts w:ascii="Times New Roman" w:hAnsi="Times New Roman" w:cs="Times New Roman"/>
          <w:sz w:val="24"/>
          <w:szCs w:val="24"/>
        </w:rPr>
        <w:t xml:space="preserve">  </w:t>
      </w:r>
      <w:r w:rsidRPr="00BB252D">
        <w:rPr>
          <w:rFonts w:ascii="Times New Roman" w:hAnsi="Times New Roman" w:cs="Times New Roman"/>
          <w:sz w:val="24"/>
          <w:szCs w:val="24"/>
        </w:rPr>
        <w:tab/>
      </w:r>
      <w:proofErr w:type="gramEnd"/>
      <w:r w:rsidRPr="00BB252D">
        <w:rPr>
          <w:rFonts w:ascii="Times New Roman" w:hAnsi="Times New Roman" w:cs="Times New Roman"/>
          <w:sz w:val="24"/>
          <w:szCs w:val="24"/>
        </w:rPr>
        <w:t>(1)</w:t>
      </w:r>
    </w:p>
    <w:p w14:paraId="1737E2F1" w14:textId="77777777" w:rsidR="00A84BA4" w:rsidRPr="00BB252D" w:rsidRDefault="00A84BA4" w:rsidP="001F2712">
      <w:pPr>
        <w:jc w:val="both"/>
        <w:rPr>
          <w:rFonts w:ascii="Times New Roman" w:eastAsiaTheme="minorEastAsia" w:hAnsi="Times New Roman" w:cs="Times New Roman"/>
          <w:sz w:val="24"/>
          <w:szCs w:val="24"/>
        </w:rPr>
      </w:pPr>
      <w:r w:rsidRPr="00BB252D">
        <w:rPr>
          <w:rFonts w:ascii="Times New Roman" w:eastAsiaTheme="minorEastAsia" w:hAnsi="Times New Roman" w:cs="Times New Roman"/>
          <w:sz w:val="24"/>
          <w:szCs w:val="24"/>
        </w:rPr>
        <w:t xml:space="preserve">Where the Rayleigh (Ra) number is composed of the Grashof (Gr) and Prandtl (Pr) numbers. The Prandtl number is one of the most well-known dimensionless numbers and can easily be calculated using the kinematic viscosity (ν) and thermal diffusivity (α) of air according to </w:t>
      </w:r>
      <w:r>
        <w:rPr>
          <w:rFonts w:ascii="Times New Roman" w:eastAsiaTheme="minorEastAsia" w:hAnsi="Times New Roman" w:cs="Times New Roman"/>
          <w:sz w:val="24"/>
          <w:szCs w:val="24"/>
        </w:rPr>
        <w:t>Eq.</w:t>
      </w:r>
      <w:r w:rsidRPr="00BB252D">
        <w:rPr>
          <w:rFonts w:ascii="Times New Roman" w:eastAsiaTheme="minorEastAsia" w:hAnsi="Times New Roman" w:cs="Times New Roman"/>
          <w:sz w:val="24"/>
          <w:szCs w:val="24"/>
        </w:rPr>
        <w:t xml:space="preserve"> 2.</w:t>
      </w:r>
    </w:p>
    <w:p w14:paraId="5609E40F" w14:textId="77777777" w:rsidR="00A84BA4" w:rsidRPr="00BB252D" w:rsidRDefault="00A84BA4" w:rsidP="001F2712">
      <w:pPr>
        <w:rPr>
          <w:rFonts w:ascii="Times New Roman" w:eastAsiaTheme="minorEastAsia" w:hAnsi="Times New Roman" w:cs="Times New Roman"/>
          <w:sz w:val="24"/>
          <w:szCs w:val="24"/>
        </w:rPr>
      </w:pPr>
      <m:oMath>
        <m:sSub>
          <m:sSubPr>
            <m:ctrlPr>
              <w:rPr>
                <w:rFonts w:ascii="Cambria Math" w:hAnsi="Cambria Math" w:cs="Times New Roman"/>
                <w:i/>
                <w:kern w:val="2"/>
                <w:sz w:val="24"/>
                <w:szCs w:val="24"/>
                <w14:ligatures w14:val="standardContextual"/>
              </w:rPr>
            </m:ctrlPr>
          </m:sSubPr>
          <m:e>
            <m:r>
              <w:rPr>
                <w:rFonts w:ascii="Cambria Math" w:hAnsi="Cambria Math" w:cs="Times New Roman"/>
                <w:sz w:val="24"/>
                <w:szCs w:val="24"/>
              </w:rPr>
              <m:t>Pr</m:t>
            </m:r>
          </m:e>
          <m:sub>
            <m:r>
              <w:rPr>
                <w:rFonts w:ascii="Cambria Math" w:hAnsi="Cambria Math" w:cs="Times New Roman"/>
                <w:sz w:val="24"/>
                <w:szCs w:val="24"/>
              </w:rPr>
              <m:t>air, @295 K</m:t>
            </m:r>
          </m:sub>
        </m:sSub>
        <m:r>
          <w:rPr>
            <w:rFonts w:ascii="Cambria Math" w:hAnsi="Cambria Math" w:cs="Times New Roman"/>
            <w:sz w:val="24"/>
            <w:szCs w:val="24"/>
          </w:rPr>
          <m:t>=</m:t>
        </m:r>
        <m:f>
          <m:fPr>
            <m:ctrlPr>
              <w:rPr>
                <w:rFonts w:ascii="Cambria Math" w:hAnsi="Cambria Math" w:cs="Times New Roman"/>
                <w:i/>
                <w:kern w:val="2"/>
                <w:sz w:val="24"/>
                <w:szCs w:val="24"/>
                <w14:ligatures w14:val="standardContextual"/>
              </w:rPr>
            </m:ctrlPr>
          </m:fPr>
          <m:num>
            <m:sSub>
              <m:sSubPr>
                <m:ctrlPr>
                  <w:rPr>
                    <w:rFonts w:ascii="Cambria Math" w:hAnsi="Cambria Math" w:cs="Times New Roman"/>
                    <w:i/>
                    <w:kern w:val="2"/>
                    <w:sz w:val="24"/>
                    <w:szCs w:val="24"/>
                    <w14:ligatures w14:val="standardContextual"/>
                  </w:rPr>
                </m:ctrlPr>
              </m:sSubPr>
              <m:e>
                <m:r>
                  <w:rPr>
                    <w:rFonts w:ascii="Cambria Math" w:hAnsi="Cambria Math" w:cs="Times New Roman"/>
                    <w:sz w:val="24"/>
                    <w:szCs w:val="24"/>
                  </w:rPr>
                  <m:t>ν</m:t>
                </m:r>
              </m:e>
              <m:sub>
                <m:r>
                  <w:rPr>
                    <w:rFonts w:ascii="Cambria Math" w:hAnsi="Cambria Math" w:cs="Times New Roman"/>
                    <w:sz w:val="24"/>
                    <w:szCs w:val="24"/>
                  </w:rPr>
                  <m:t>air</m:t>
                </m:r>
              </m:sub>
            </m:sSub>
          </m:num>
          <m:den>
            <m:sSub>
              <m:sSubPr>
                <m:ctrlPr>
                  <w:rPr>
                    <w:rFonts w:ascii="Cambria Math" w:hAnsi="Cambria Math" w:cs="Times New Roman"/>
                    <w:i/>
                    <w:kern w:val="2"/>
                    <w:sz w:val="24"/>
                    <w:szCs w:val="24"/>
                    <w14:ligatures w14:val="standardContextual"/>
                  </w:rPr>
                </m:ctrlPr>
              </m:sSubPr>
              <m:e>
                <m:r>
                  <w:rPr>
                    <w:rFonts w:ascii="Cambria Math" w:hAnsi="Cambria Math" w:cs="Times New Roman"/>
                    <w:sz w:val="24"/>
                    <w:szCs w:val="24"/>
                  </w:rPr>
                  <m:t>α</m:t>
                </m:r>
              </m:e>
              <m:sub>
                <m:r>
                  <w:rPr>
                    <w:rFonts w:ascii="Cambria Math" w:hAnsi="Cambria Math" w:cs="Times New Roman"/>
                    <w:sz w:val="24"/>
                    <w:szCs w:val="24"/>
                  </w:rPr>
                  <m:t>air</m:t>
                </m:r>
              </m:sub>
            </m:sSub>
          </m:den>
        </m:f>
        <m:r>
          <w:rPr>
            <w:rFonts w:ascii="Cambria Math" w:hAnsi="Cambria Math" w:cs="Times New Roman"/>
            <w:sz w:val="24"/>
            <w:szCs w:val="24"/>
          </w:rPr>
          <m:t>=0.7</m:t>
        </m:r>
        <w:commentRangeStart w:id="1"/>
        <w:commentRangeEnd w:id="1"/>
        <m:r>
          <m:rPr>
            <m:sty m:val="p"/>
          </m:rPr>
          <w:rPr>
            <w:rStyle w:val="CommentReference"/>
          </w:rPr>
          <w:commentReference w:id="1"/>
        </m:r>
        <m:r>
          <w:rPr>
            <w:rFonts w:ascii="Cambria Math" w:hAnsi="Cambria Math" w:cs="Times New Roman"/>
            <w:sz w:val="24"/>
            <w:szCs w:val="24"/>
          </w:rPr>
          <m:t>1</m:t>
        </m:r>
      </m:oMath>
      <w:r w:rsidRPr="003A7E0B">
        <w:rPr>
          <w:rFonts w:ascii="Times New Roman" w:eastAsiaTheme="minorEastAsia" w:hAnsi="Times New Roman" w:cs="Times New Roman"/>
          <w:sz w:val="28"/>
          <w:szCs w:val="28"/>
        </w:rPr>
        <w:t xml:space="preserve"> </w:t>
      </w:r>
      <w:r w:rsidRPr="00FA21CC">
        <w:rPr>
          <w:rFonts w:ascii="Times New Roman" w:hAnsi="Times New Roman" w:cs="Times New Roman"/>
          <w:sz w:val="24"/>
          <w:szCs w:val="24"/>
        </w:rPr>
        <w:tab/>
      </w:r>
      <w:r w:rsidRPr="00BB252D">
        <w:rPr>
          <w:rFonts w:ascii="Times New Roman" w:hAnsi="Times New Roman" w:cs="Times New Roman"/>
          <w:sz w:val="24"/>
          <w:szCs w:val="24"/>
        </w:rPr>
        <w:tab/>
      </w:r>
      <w:r w:rsidRPr="00BB252D">
        <w:rPr>
          <w:rFonts w:ascii="Times New Roman" w:hAnsi="Times New Roman" w:cs="Times New Roman"/>
          <w:sz w:val="24"/>
          <w:szCs w:val="24"/>
        </w:rPr>
        <w:tab/>
      </w:r>
      <w:r w:rsidRPr="00BB252D">
        <w:rPr>
          <w:rFonts w:ascii="Times New Roman" w:hAnsi="Times New Roman" w:cs="Times New Roman"/>
          <w:sz w:val="24"/>
          <w:szCs w:val="24"/>
        </w:rPr>
        <w:tab/>
      </w:r>
      <w:r w:rsidRPr="00BB252D">
        <w:rPr>
          <w:rFonts w:ascii="Times New Roman" w:hAnsi="Times New Roman" w:cs="Times New Roman"/>
          <w:sz w:val="24"/>
          <w:szCs w:val="24"/>
        </w:rPr>
        <w:tab/>
      </w:r>
      <w:r w:rsidRPr="00BB252D">
        <w:rPr>
          <w:rFonts w:ascii="Times New Roman" w:hAnsi="Times New Roman" w:cs="Times New Roman"/>
          <w:sz w:val="24"/>
          <w:szCs w:val="24"/>
        </w:rPr>
        <w:tab/>
      </w:r>
      <w:r w:rsidRPr="00BB252D">
        <w:rPr>
          <w:rFonts w:ascii="Times New Roman" w:hAnsi="Times New Roman" w:cs="Times New Roman"/>
          <w:sz w:val="24"/>
          <w:szCs w:val="24"/>
        </w:rPr>
        <w:tab/>
        <w:t xml:space="preserve"> </w:t>
      </w:r>
      <w:r w:rsidRPr="00BB252D">
        <w:rPr>
          <w:rFonts w:ascii="Times New Roman" w:hAnsi="Times New Roman" w:cs="Times New Roman"/>
          <w:sz w:val="24"/>
          <w:szCs w:val="24"/>
        </w:rPr>
        <w:tab/>
        <w:t>(2)</w:t>
      </w:r>
    </w:p>
    <w:p w14:paraId="547EE93E" w14:textId="77777777" w:rsidR="00A84BA4" w:rsidRPr="00BB252D" w:rsidRDefault="00A84BA4" w:rsidP="001F2712">
      <w:pPr>
        <w:rPr>
          <w:rFonts w:ascii="Times New Roman" w:eastAsiaTheme="minorEastAsia" w:hAnsi="Times New Roman" w:cs="Times New Roman"/>
          <w:sz w:val="24"/>
          <w:szCs w:val="24"/>
        </w:rPr>
      </w:pPr>
      <w:r w:rsidRPr="00BB252D">
        <w:rPr>
          <w:rFonts w:ascii="Times New Roman" w:eastAsiaTheme="minorEastAsia" w:hAnsi="Times New Roman" w:cs="Times New Roman"/>
          <w:sz w:val="24"/>
          <w:szCs w:val="24"/>
        </w:rPr>
        <w:t xml:space="preserve">The Grashof number is presented in </w:t>
      </w:r>
      <w:r>
        <w:rPr>
          <w:rFonts w:ascii="Times New Roman" w:eastAsiaTheme="minorEastAsia" w:hAnsi="Times New Roman" w:cs="Times New Roman"/>
          <w:sz w:val="24"/>
          <w:szCs w:val="24"/>
        </w:rPr>
        <w:t>Eq.</w:t>
      </w:r>
      <w:r w:rsidRPr="00BB252D">
        <w:rPr>
          <w:rFonts w:ascii="Times New Roman" w:eastAsiaTheme="minorEastAsia" w:hAnsi="Times New Roman" w:cs="Times New Roman"/>
          <w:sz w:val="24"/>
          <w:szCs w:val="24"/>
        </w:rPr>
        <w:t xml:space="preserve"> 3.</w:t>
      </w:r>
    </w:p>
    <w:p w14:paraId="23C6C88A" w14:textId="77777777" w:rsidR="00A84BA4" w:rsidRPr="00BB252D" w:rsidRDefault="00A84BA4" w:rsidP="001F2712">
      <w:pPr>
        <w:rPr>
          <w:rFonts w:ascii="Times New Roman" w:eastAsiaTheme="minorEastAsia" w:hAnsi="Times New Roman" w:cs="Times New Roman"/>
          <w:sz w:val="24"/>
          <w:szCs w:val="24"/>
        </w:rPr>
      </w:pPr>
      <m:oMath>
        <m:r>
          <w:rPr>
            <w:rFonts w:ascii="Cambria Math" w:hAnsi="Cambria Math" w:cs="Times New Roman"/>
            <w:sz w:val="24"/>
            <w:szCs w:val="24"/>
          </w:rPr>
          <m:t>Gr=</m:t>
        </m:r>
        <m:f>
          <m:fPr>
            <m:ctrlPr>
              <w:rPr>
                <w:rFonts w:ascii="Cambria Math" w:hAnsi="Cambria Math" w:cs="Times New Roman"/>
                <w:i/>
                <w:kern w:val="2"/>
                <w:sz w:val="24"/>
                <w:szCs w:val="24"/>
                <w14:ligatures w14:val="standardContextual"/>
              </w:rPr>
            </m:ctrlPr>
          </m:fPr>
          <m:num>
            <m:r>
              <w:rPr>
                <w:rFonts w:ascii="Cambria Math" w:hAnsi="Cambria Math" w:cs="Times New Roman"/>
                <w:sz w:val="24"/>
                <w:szCs w:val="24"/>
              </w:rPr>
              <m:t>gβ</m:t>
            </m:r>
            <m:d>
              <m:dPr>
                <m:ctrlPr>
                  <w:rPr>
                    <w:rFonts w:ascii="Cambria Math" w:hAnsi="Cambria Math" w:cs="Times New Roman"/>
                    <w:i/>
                    <w:kern w:val="2"/>
                    <w:sz w:val="24"/>
                    <w:szCs w:val="24"/>
                    <w14:ligatures w14:val="standardContextual"/>
                  </w:rPr>
                </m:ctrlPr>
              </m:dPr>
              <m:e>
                <m:sSub>
                  <m:sSubPr>
                    <m:ctrlPr>
                      <w:rPr>
                        <w:rFonts w:ascii="Cambria Math" w:hAnsi="Cambria Math" w:cs="Times New Roman"/>
                        <w:i/>
                        <w:kern w:val="2"/>
                        <w:sz w:val="24"/>
                        <w:szCs w:val="24"/>
                        <w14:ligatures w14:val="standardContextual"/>
                      </w:rPr>
                    </m:ctrlPr>
                  </m:sSubPr>
                  <m:e>
                    <m:r>
                      <w:rPr>
                        <w:rFonts w:ascii="Cambria Math" w:hAnsi="Cambria Math" w:cs="Times New Roman"/>
                        <w:sz w:val="24"/>
                        <w:szCs w:val="24"/>
                      </w:rPr>
                      <m:t>T</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kern w:val="2"/>
                        <w:sz w:val="24"/>
                        <w:szCs w:val="24"/>
                        <w14:ligatures w14:val="standardContextual"/>
                      </w:rPr>
                    </m:ctrlPr>
                  </m:sSubPr>
                  <m:e>
                    <m:r>
                      <w:rPr>
                        <w:rFonts w:ascii="Cambria Math" w:hAnsi="Cambria Math" w:cs="Times New Roman"/>
                        <w:sz w:val="24"/>
                        <w:szCs w:val="24"/>
                      </w:rPr>
                      <m:t>T</m:t>
                    </m:r>
                  </m:e>
                  <m:sub>
                    <m:r>
                      <w:rPr>
                        <w:rFonts w:ascii="Cambria Math" w:hAnsi="Cambria Math" w:cs="Times New Roman"/>
                        <w:sz w:val="24"/>
                        <w:szCs w:val="24"/>
                      </w:rPr>
                      <m:t>2</m:t>
                    </m:r>
                  </m:sub>
                </m:sSub>
              </m:e>
            </m:d>
            <m:sSup>
              <m:sSupPr>
                <m:ctrlPr>
                  <w:rPr>
                    <w:rFonts w:ascii="Cambria Math" w:hAnsi="Cambria Math" w:cs="Times New Roman"/>
                    <w:i/>
                    <w:kern w:val="2"/>
                    <w:sz w:val="24"/>
                    <w:szCs w:val="24"/>
                    <w14:ligatures w14:val="standardContextual"/>
                  </w:rPr>
                </m:ctrlPr>
              </m:sSupPr>
              <m:e>
                <m:r>
                  <w:rPr>
                    <w:rFonts w:ascii="Cambria Math" w:hAnsi="Cambria Math" w:cs="Times New Roman"/>
                    <w:sz w:val="24"/>
                    <w:szCs w:val="24"/>
                  </w:rPr>
                  <m:t>L</m:t>
                </m:r>
              </m:e>
              <m:sup>
                <m:r>
                  <w:rPr>
                    <w:rFonts w:ascii="Cambria Math" w:hAnsi="Cambria Math" w:cs="Times New Roman"/>
                    <w:sz w:val="24"/>
                    <w:szCs w:val="24"/>
                  </w:rPr>
                  <m:t>3</m:t>
                </m:r>
              </m:sup>
            </m:sSup>
          </m:num>
          <m:den>
            <m:sSup>
              <m:sSupPr>
                <m:ctrlPr>
                  <w:rPr>
                    <w:rFonts w:ascii="Cambria Math" w:hAnsi="Cambria Math" w:cs="Times New Roman"/>
                    <w:i/>
                    <w:kern w:val="2"/>
                    <w:sz w:val="24"/>
                    <w:szCs w:val="24"/>
                    <w14:ligatures w14:val="standardContextual"/>
                  </w:rPr>
                </m:ctrlPr>
              </m:sSupPr>
              <m:e>
                <m:r>
                  <w:rPr>
                    <w:rFonts w:ascii="Cambria Math" w:hAnsi="Cambria Math" w:cs="Times New Roman"/>
                    <w:sz w:val="24"/>
                    <w:szCs w:val="24"/>
                  </w:rPr>
                  <m:t>v</m:t>
                </m:r>
              </m:e>
              <m:sup>
                <m:r>
                  <w:rPr>
                    <w:rFonts w:ascii="Cambria Math" w:hAnsi="Cambria Math" w:cs="Times New Roman"/>
                    <w:sz w:val="24"/>
                    <w:szCs w:val="24"/>
                  </w:rPr>
                  <m:t>2</m:t>
                </m:r>
              </m:sup>
            </m:sSup>
          </m:den>
        </m:f>
      </m:oMath>
      <w:r w:rsidRPr="003A7E0B">
        <w:rPr>
          <w:rFonts w:ascii="Times New Roman" w:eastAsiaTheme="minorEastAsia" w:hAnsi="Times New Roman" w:cs="Times New Roman"/>
          <w:kern w:val="2"/>
          <w:sz w:val="32"/>
          <w:szCs w:val="32"/>
          <w14:ligatures w14:val="standardContextual"/>
        </w:rPr>
        <w:t xml:space="preserve"> </w:t>
      </w:r>
      <w:r w:rsidRPr="00BB252D">
        <w:rPr>
          <w:rFonts w:ascii="Times New Roman" w:hAnsi="Times New Roman" w:cs="Times New Roman"/>
          <w:sz w:val="24"/>
          <w:szCs w:val="24"/>
        </w:rPr>
        <w:tab/>
      </w:r>
      <w:r w:rsidRPr="00BB252D">
        <w:rPr>
          <w:rFonts w:ascii="Times New Roman" w:hAnsi="Times New Roman" w:cs="Times New Roman"/>
          <w:sz w:val="24"/>
          <w:szCs w:val="24"/>
        </w:rPr>
        <w:tab/>
      </w:r>
      <w:r w:rsidRPr="00BB252D">
        <w:rPr>
          <w:rFonts w:ascii="Times New Roman" w:hAnsi="Times New Roman" w:cs="Times New Roman"/>
          <w:sz w:val="24"/>
          <w:szCs w:val="24"/>
        </w:rPr>
        <w:tab/>
        <w:t xml:space="preserve">  </w:t>
      </w:r>
      <w:r w:rsidRPr="00BB252D">
        <w:rPr>
          <w:rFonts w:ascii="Times New Roman" w:hAnsi="Times New Roman" w:cs="Times New Roman"/>
          <w:sz w:val="24"/>
          <w:szCs w:val="24"/>
        </w:rPr>
        <w:tab/>
      </w:r>
      <w:r w:rsidRPr="00BB252D">
        <w:rPr>
          <w:rFonts w:ascii="Times New Roman" w:hAnsi="Times New Roman" w:cs="Times New Roman"/>
          <w:sz w:val="24"/>
          <w:szCs w:val="24"/>
        </w:rPr>
        <w:tab/>
      </w:r>
      <w:r w:rsidRPr="00BB252D">
        <w:rPr>
          <w:rFonts w:ascii="Times New Roman" w:hAnsi="Times New Roman" w:cs="Times New Roman"/>
          <w:sz w:val="24"/>
          <w:szCs w:val="24"/>
        </w:rPr>
        <w:tab/>
      </w:r>
      <w:r w:rsidRPr="00BB252D">
        <w:rPr>
          <w:rFonts w:ascii="Times New Roman" w:hAnsi="Times New Roman" w:cs="Times New Roman"/>
          <w:sz w:val="24"/>
          <w:szCs w:val="24"/>
        </w:rPr>
        <w:tab/>
        <w:t xml:space="preserve">                        (3)</w:t>
      </w:r>
    </w:p>
    <w:p w14:paraId="1C0827E2" w14:textId="77777777" w:rsidR="00A84BA4" w:rsidRPr="00BB252D" w:rsidRDefault="00A84BA4" w:rsidP="001F2712">
      <w:pPr>
        <w:rPr>
          <w:rFonts w:ascii="Times New Roman" w:eastAsiaTheme="minorEastAsia" w:hAnsi="Times New Roman" w:cs="Times New Roman"/>
          <w:sz w:val="24"/>
          <w:szCs w:val="24"/>
        </w:rPr>
      </w:pPr>
      <w:r w:rsidRPr="00BB252D">
        <w:rPr>
          <w:rFonts w:ascii="Times New Roman" w:eastAsiaTheme="minorEastAsia" w:hAnsi="Times New Roman" w:cs="Times New Roman"/>
          <w:sz w:val="24"/>
          <w:szCs w:val="24"/>
        </w:rPr>
        <w:t xml:space="preserve">In this formula g is the gravitational acceleration, </w:t>
      </w:r>
      <w:r w:rsidRPr="00A84BA4">
        <w:rPr>
          <w:rFonts w:ascii="Times New Roman" w:eastAsiaTheme="minorEastAsia" w:hAnsi="Times New Roman" w:cs="Times New Roman"/>
          <w:i/>
          <w:iCs/>
          <w:sz w:val="24"/>
          <w:szCs w:val="24"/>
        </w:rPr>
        <w:t xml:space="preserve">β </w:t>
      </w:r>
      <w:r w:rsidRPr="00BB252D">
        <w:rPr>
          <w:rFonts w:ascii="Times New Roman" w:eastAsiaTheme="minorEastAsia" w:hAnsi="Times New Roman" w:cs="Times New Roman"/>
          <w:sz w:val="24"/>
          <w:szCs w:val="24"/>
        </w:rPr>
        <w:t xml:space="preserve">is the thermal expansion coefficient, </w:t>
      </w:r>
      <w:r w:rsidRPr="00A84BA4">
        <w:rPr>
          <w:rFonts w:ascii="Times New Roman" w:eastAsiaTheme="minorEastAsia" w:hAnsi="Times New Roman" w:cs="Times New Roman"/>
          <w:i/>
          <w:iCs/>
          <w:sz w:val="24"/>
          <w:szCs w:val="24"/>
        </w:rPr>
        <w:t>T</w:t>
      </w:r>
      <w:r w:rsidRPr="00BB252D">
        <w:rPr>
          <w:rFonts w:ascii="Times New Roman" w:eastAsiaTheme="minorEastAsia" w:hAnsi="Times New Roman" w:cs="Times New Roman"/>
          <w:sz w:val="24"/>
          <w:szCs w:val="24"/>
          <w:vertAlign w:val="subscript"/>
        </w:rPr>
        <w:t>1</w:t>
      </w:r>
      <w:r w:rsidRPr="00BB252D">
        <w:rPr>
          <w:rFonts w:ascii="Times New Roman" w:eastAsiaTheme="minorEastAsia" w:hAnsi="Times New Roman" w:cs="Times New Roman"/>
          <w:sz w:val="24"/>
          <w:szCs w:val="24"/>
        </w:rPr>
        <w:t xml:space="preserve"> and </w:t>
      </w:r>
      <w:r w:rsidRPr="00A84BA4">
        <w:rPr>
          <w:rFonts w:ascii="Times New Roman" w:eastAsiaTheme="minorEastAsia" w:hAnsi="Times New Roman" w:cs="Times New Roman"/>
          <w:i/>
          <w:iCs/>
          <w:sz w:val="24"/>
          <w:szCs w:val="24"/>
        </w:rPr>
        <w:t>T</w:t>
      </w:r>
      <w:r w:rsidRPr="00BB252D">
        <w:rPr>
          <w:rFonts w:ascii="Times New Roman" w:eastAsiaTheme="minorEastAsia" w:hAnsi="Times New Roman" w:cs="Times New Roman"/>
          <w:sz w:val="24"/>
          <w:szCs w:val="24"/>
          <w:vertAlign w:val="subscript"/>
        </w:rPr>
        <w:t>2</w:t>
      </w:r>
      <w:r w:rsidRPr="00BB252D">
        <w:rPr>
          <w:rFonts w:ascii="Times New Roman" w:eastAsiaTheme="minorEastAsia" w:hAnsi="Times New Roman" w:cs="Times New Roman"/>
          <w:sz w:val="24"/>
          <w:szCs w:val="24"/>
        </w:rPr>
        <w:t xml:space="preserve"> are the temperatures of the two vertical planes and </w:t>
      </w:r>
      <w:r w:rsidRPr="00A84BA4">
        <w:rPr>
          <w:rFonts w:ascii="Times New Roman" w:eastAsiaTheme="minorEastAsia" w:hAnsi="Times New Roman" w:cs="Times New Roman"/>
          <w:i/>
          <w:iCs/>
          <w:sz w:val="24"/>
          <w:szCs w:val="24"/>
        </w:rPr>
        <w:t>L</w:t>
      </w:r>
      <w:r w:rsidRPr="00BB252D">
        <w:rPr>
          <w:rFonts w:ascii="Times New Roman" w:eastAsiaTheme="minorEastAsia" w:hAnsi="Times New Roman" w:cs="Times New Roman"/>
          <w:sz w:val="24"/>
          <w:szCs w:val="24"/>
        </w:rPr>
        <w:t xml:space="preserve"> is the characteristic length of the system.</w:t>
      </w:r>
    </w:p>
    <w:p w14:paraId="7FEEC318" w14:textId="77777777" w:rsidR="00A84BA4" w:rsidRPr="00BB252D" w:rsidRDefault="00A84BA4" w:rsidP="001F2712">
      <w:pPr>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g=9.81 </m:t>
        </m:r>
        <m:f>
          <m:fPr>
            <m:type m:val="lin"/>
            <m:ctrlPr>
              <w:rPr>
                <w:rFonts w:ascii="Cambria Math" w:eastAsiaTheme="minorEastAsia" w:hAnsi="Cambria Math" w:cs="Times New Roman"/>
                <w:i/>
                <w:kern w:val="2"/>
                <w:sz w:val="24"/>
                <w:szCs w:val="24"/>
                <w14:ligatures w14:val="standardContextual"/>
              </w:rPr>
            </m:ctrlPr>
          </m:fPr>
          <m:num>
            <m:r>
              <w:rPr>
                <w:rFonts w:ascii="Cambria Math" w:eastAsiaTheme="minorEastAsia" w:hAnsi="Cambria Math" w:cs="Times New Roman"/>
                <w:sz w:val="24"/>
                <w:szCs w:val="24"/>
              </w:rPr>
              <m:t>m</m:t>
            </m:r>
          </m:num>
          <m:den>
            <m:sSup>
              <m:sSupPr>
                <m:ctrlPr>
                  <w:rPr>
                    <w:rFonts w:ascii="Cambria Math" w:eastAsiaTheme="minorEastAsia" w:hAnsi="Cambria Math" w:cs="Times New Roman"/>
                    <w:i/>
                    <w:kern w:val="2"/>
                    <w:sz w:val="24"/>
                    <w:szCs w:val="24"/>
                    <w14:ligatures w14:val="standardContextual"/>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2</m:t>
                </m:r>
              </m:sup>
            </m:sSup>
            <w:commentRangeStart w:id="2"/>
            <w:commentRangeEnd w:id="2"/>
            <m:r>
              <m:rPr>
                <m:sty m:val="p"/>
              </m:rPr>
              <w:rPr>
                <w:rStyle w:val="CommentReference"/>
              </w:rPr>
              <w:commentReference w:id="2"/>
            </m:r>
          </m:den>
        </m:f>
      </m:oMath>
      <w:r w:rsidRPr="00BB252D">
        <w:rPr>
          <w:rFonts w:ascii="Times New Roman" w:eastAsiaTheme="minorEastAsia" w:hAnsi="Times New Roman" w:cs="Times New Roman"/>
          <w:kern w:val="2"/>
          <w:sz w:val="24"/>
          <w:szCs w:val="24"/>
          <w14:ligatures w14:val="standardContextual"/>
        </w:rPr>
        <w:t xml:space="preserve"> </w:t>
      </w:r>
    </w:p>
    <w:p w14:paraId="05BF6031" w14:textId="77777777" w:rsidR="00A84BA4" w:rsidRPr="00BB252D" w:rsidRDefault="00A84BA4" w:rsidP="001F2712">
      <w:pPr>
        <w:rPr>
          <w:rFonts w:ascii="Times New Roman" w:eastAsiaTheme="minorEastAsia" w:hAnsi="Times New Roman" w:cs="Times New Roman"/>
          <w:sz w:val="24"/>
          <w:szCs w:val="24"/>
        </w:rPr>
      </w:pPr>
      <m:oMath>
        <m:sSub>
          <m:sSubPr>
            <m:ctrlPr>
              <w:rPr>
                <w:rFonts w:ascii="Cambria Math" w:hAnsi="Cambria Math" w:cs="Times New Roman"/>
                <w:i/>
                <w:kern w:val="2"/>
                <w:sz w:val="24"/>
                <w:szCs w:val="24"/>
                <w14:ligatures w14:val="standardContextual"/>
              </w:rPr>
            </m:ctrlPr>
          </m:sSubPr>
          <m:e>
            <m:r>
              <w:rPr>
                <w:rFonts w:ascii="Cambria Math" w:hAnsi="Cambria Math" w:cs="Times New Roman"/>
                <w:sz w:val="24"/>
                <w:szCs w:val="24"/>
              </w:rPr>
              <m:t>ν</m:t>
            </m:r>
          </m:e>
          <m:sub>
            <m:r>
              <w:rPr>
                <w:rFonts w:ascii="Cambria Math" w:hAnsi="Cambria Math" w:cs="Times New Roman"/>
                <w:sz w:val="24"/>
                <w:szCs w:val="24"/>
              </w:rPr>
              <m:t>air, @295 K</m:t>
            </m:r>
          </m:sub>
        </m:sSub>
        <m:r>
          <w:rPr>
            <w:rFonts w:ascii="Cambria Math" w:hAnsi="Cambria Math" w:cs="Times New Roman"/>
            <w:sz w:val="24"/>
            <w:szCs w:val="24"/>
          </w:rPr>
          <m:t>=1.52*</m:t>
        </m:r>
        <m:sSup>
          <m:sSupPr>
            <m:ctrlPr>
              <w:rPr>
                <w:rFonts w:ascii="Cambria Math" w:hAnsi="Cambria Math" w:cs="Times New Roman"/>
                <w:i/>
                <w:kern w:val="2"/>
                <w:sz w:val="24"/>
                <w:szCs w:val="24"/>
                <w14:ligatures w14:val="standardContextual"/>
              </w:rPr>
            </m:ctrlPr>
          </m:sSupPr>
          <m:e>
            <m:r>
              <w:rPr>
                <w:rFonts w:ascii="Cambria Math" w:hAnsi="Cambria Math" w:cs="Times New Roman"/>
                <w:sz w:val="24"/>
                <w:szCs w:val="24"/>
              </w:rPr>
              <m:t>10</m:t>
            </m:r>
          </m:e>
          <m:sup>
            <m:r>
              <w:rPr>
                <w:rFonts w:ascii="Cambria Math" w:hAnsi="Cambria Math" w:cs="Times New Roman"/>
                <w:sz w:val="24"/>
                <w:szCs w:val="24"/>
              </w:rPr>
              <m:t>-5</m:t>
            </m:r>
          </m:sup>
        </m:sSup>
        <m:r>
          <w:rPr>
            <w:rFonts w:ascii="Cambria Math" w:hAnsi="Cambria Math" w:cs="Times New Roman"/>
            <w:sz w:val="24"/>
            <w:szCs w:val="24"/>
          </w:rPr>
          <m:t xml:space="preserve"> </m:t>
        </m:r>
        <m:sSup>
          <m:sSupPr>
            <m:ctrlPr>
              <w:rPr>
                <w:rFonts w:ascii="Cambria Math" w:hAnsi="Cambria Math" w:cs="Times New Roman"/>
                <w:i/>
                <w:kern w:val="2"/>
                <w:sz w:val="24"/>
                <w:szCs w:val="24"/>
                <w14:ligatures w14:val="standardContextual"/>
              </w:rPr>
            </m:ctrlPr>
          </m:sSupPr>
          <m:e>
            <m:r>
              <w:rPr>
                <w:rFonts w:ascii="Cambria Math" w:hAnsi="Cambria Math" w:cs="Times New Roman"/>
                <w:sz w:val="24"/>
                <w:szCs w:val="24"/>
              </w:rPr>
              <m:t>m</m:t>
            </m:r>
          </m:e>
          <m:sup>
            <m:r>
              <w:rPr>
                <w:rFonts w:ascii="Cambria Math" w:hAnsi="Cambria Math" w:cs="Times New Roman"/>
                <w:sz w:val="24"/>
                <w:szCs w:val="24"/>
              </w:rPr>
              <m:t>2</m:t>
            </m:r>
          </m:sup>
        </m:sSup>
        <m:r>
          <w:rPr>
            <w:rFonts w:ascii="Cambria Math" w:hAnsi="Cambria Math" w:cs="Times New Roman"/>
            <w:sz w:val="24"/>
            <w:szCs w:val="24"/>
          </w:rPr>
          <m:t>/</m:t>
        </m:r>
        <w:commentRangeStart w:id="3"/>
        <w:commentRangeEnd w:id="3"/>
        <m:r>
          <m:rPr>
            <m:sty m:val="p"/>
          </m:rPr>
          <w:rPr>
            <w:rStyle w:val="CommentReference"/>
          </w:rPr>
          <w:commentReference w:id="3"/>
        </m:r>
      </m:oMath>
      <w:r>
        <w:rPr>
          <w:rFonts w:ascii="Times New Roman" w:eastAsiaTheme="minorEastAsia" w:hAnsi="Times New Roman" w:cs="Times New Roman"/>
          <w:sz w:val="24"/>
          <w:szCs w:val="24"/>
        </w:rPr>
        <w:t>s</w:t>
      </w:r>
    </w:p>
    <w:p w14:paraId="19D9DDA4" w14:textId="36AF27C4" w:rsidR="00A84BA4" w:rsidRPr="00BB252D" w:rsidRDefault="00A84BA4" w:rsidP="001F2712">
      <w:pPr>
        <w:jc w:val="both"/>
        <w:rPr>
          <w:rFonts w:ascii="Times New Roman" w:eastAsiaTheme="minorEastAsia" w:hAnsi="Times New Roman" w:cs="Times New Roman"/>
          <w:sz w:val="24"/>
          <w:szCs w:val="24"/>
        </w:rPr>
      </w:pPr>
      <w:r w:rsidRPr="00BB252D">
        <w:rPr>
          <w:rFonts w:ascii="Times New Roman" w:eastAsiaTheme="minorEastAsia" w:hAnsi="Times New Roman" w:cs="Times New Roman"/>
          <w:sz w:val="24"/>
          <w:szCs w:val="24"/>
        </w:rPr>
        <w:lastRenderedPageBreak/>
        <w:t xml:space="preserve">As air under these </w:t>
      </w:r>
      <w:proofErr w:type="gramStart"/>
      <w:r w:rsidRPr="00BB252D">
        <w:rPr>
          <w:rFonts w:ascii="Times New Roman" w:eastAsiaTheme="minorEastAsia" w:hAnsi="Times New Roman" w:cs="Times New Roman"/>
          <w:sz w:val="24"/>
          <w:szCs w:val="24"/>
        </w:rPr>
        <w:t>circumstances is</w:t>
      </w:r>
      <w:proofErr w:type="gramEnd"/>
      <w:r w:rsidRPr="00BB252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behaves as</w:t>
      </w:r>
      <w:r w:rsidRPr="00BB252D">
        <w:rPr>
          <w:rFonts w:ascii="Times New Roman" w:eastAsiaTheme="minorEastAsia" w:hAnsi="Times New Roman" w:cs="Times New Roman"/>
          <w:sz w:val="24"/>
          <w:szCs w:val="24"/>
        </w:rPr>
        <w:t xml:space="preserve"> an ideal gas</w:t>
      </w:r>
      <w:r>
        <w:rPr>
          <w:rFonts w:ascii="Times New Roman" w:eastAsiaTheme="minorEastAsia" w:hAnsi="Times New Roman" w:cs="Times New Roman"/>
          <w:sz w:val="24"/>
          <w:szCs w:val="24"/>
        </w:rPr>
        <w:t>,</w:t>
      </w:r>
      <w:r w:rsidRPr="00BB252D">
        <w:rPr>
          <w:rFonts w:ascii="Times New Roman" w:eastAsiaTheme="minorEastAsia" w:hAnsi="Times New Roman" w:cs="Times New Roman"/>
          <w:sz w:val="24"/>
          <w:szCs w:val="24"/>
        </w:rPr>
        <w:t xml:space="preserve"> the thermal expansion coefficient can be determined through the ideal gas law by using the absolute temperature of the air at 2</w:t>
      </w:r>
      <w:r>
        <w:rPr>
          <w:rFonts w:ascii="Times New Roman" w:eastAsiaTheme="minorEastAsia" w:hAnsi="Times New Roman" w:cs="Times New Roman"/>
          <w:sz w:val="24"/>
          <w:szCs w:val="24"/>
        </w:rPr>
        <w:t xml:space="preserve">0 </w:t>
      </w:r>
      <w:r w:rsidRPr="00BB252D">
        <w:rPr>
          <w:rFonts w:ascii="Times New Roman" w:eastAsiaTheme="minorEastAsia" w:hAnsi="Times New Roman" w:cs="Times New Roman"/>
          <w:sz w:val="24"/>
          <w:szCs w:val="24"/>
        </w:rPr>
        <w:t>°C</w:t>
      </w:r>
      <w:r>
        <w:rPr>
          <w:rFonts w:ascii="Times New Roman" w:eastAsiaTheme="minorEastAsia" w:hAnsi="Times New Roman" w:cs="Times New Roman"/>
          <w:sz w:val="24"/>
          <w:szCs w:val="24"/>
        </w:rPr>
        <w:t>, see Eq. 4</w:t>
      </w:r>
      <w:r w:rsidRPr="00BB252D">
        <w:rPr>
          <w:rFonts w:ascii="Times New Roman" w:eastAsiaTheme="minorEastAsia" w:hAnsi="Times New Roman" w:cs="Times New Roman"/>
          <w:sz w:val="24"/>
          <w:szCs w:val="24"/>
        </w:rPr>
        <w:t>.</w:t>
      </w:r>
    </w:p>
    <w:p w14:paraId="5618AC00" w14:textId="77777777" w:rsidR="00A84BA4" w:rsidRPr="00BB252D" w:rsidRDefault="00A84BA4" w:rsidP="001F2712">
      <w:pPr>
        <w:rPr>
          <w:rFonts w:ascii="Times New Roman" w:eastAsiaTheme="minorEastAsia" w:hAnsi="Times New Roman" w:cs="Times New Roman"/>
          <w:sz w:val="24"/>
          <w:szCs w:val="24"/>
        </w:rPr>
      </w:pPr>
      <m:oMath>
        <m:sSub>
          <m:sSubPr>
            <m:ctrlPr>
              <w:rPr>
                <w:rFonts w:ascii="Cambria Math" w:eastAsiaTheme="minorEastAsia" w:hAnsi="Cambria Math" w:cs="Times New Roman"/>
                <w:i/>
                <w:kern w:val="2"/>
                <w:sz w:val="24"/>
                <w:szCs w:val="24"/>
                <w14:ligatures w14:val="standardContextual"/>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air</m:t>
            </m:r>
          </m:sub>
        </m:sSub>
        <m:r>
          <w:rPr>
            <w:rFonts w:ascii="Cambria Math" w:eastAsiaTheme="minorEastAsia" w:hAnsi="Cambria Math" w:cs="Times New Roman"/>
            <w:sz w:val="24"/>
            <w:szCs w:val="24"/>
          </w:rPr>
          <m:t>=-</m:t>
        </m:r>
        <m:f>
          <m:fPr>
            <m:ctrlPr>
              <w:rPr>
                <w:rFonts w:ascii="Cambria Math" w:eastAsiaTheme="minorEastAsia" w:hAnsi="Cambria Math" w:cs="Times New Roman"/>
                <w:i/>
                <w:kern w:val="2"/>
                <w:sz w:val="24"/>
                <w:szCs w:val="24"/>
                <w14:ligatures w14:val="standardContextual"/>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ρ</m:t>
            </m:r>
          </m:den>
        </m:f>
        <m:sSub>
          <m:sSubPr>
            <m:ctrlPr>
              <w:rPr>
                <w:rFonts w:ascii="Cambria Math" w:eastAsiaTheme="minorEastAsia" w:hAnsi="Cambria Math" w:cs="Times New Roman"/>
                <w:i/>
                <w:kern w:val="2"/>
                <w:sz w:val="24"/>
                <w:szCs w:val="24"/>
                <w14:ligatures w14:val="standardContextual"/>
              </w:rPr>
            </m:ctrlPr>
          </m:sSubPr>
          <m:e>
            <m:d>
              <m:dPr>
                <m:ctrlPr>
                  <w:rPr>
                    <w:rFonts w:ascii="Cambria Math" w:eastAsiaTheme="minorEastAsia" w:hAnsi="Cambria Math" w:cs="Times New Roman"/>
                    <w:i/>
                    <w:kern w:val="2"/>
                    <w:sz w:val="24"/>
                    <w:szCs w:val="24"/>
                    <w14:ligatures w14:val="standardContextual"/>
                  </w:rPr>
                </m:ctrlPr>
              </m:dPr>
              <m:e>
                <m:f>
                  <m:fPr>
                    <m:ctrlPr>
                      <w:rPr>
                        <w:rFonts w:ascii="Cambria Math" w:eastAsiaTheme="minorEastAsia" w:hAnsi="Cambria Math" w:cs="Times New Roman"/>
                        <w:i/>
                        <w:kern w:val="2"/>
                        <w:sz w:val="24"/>
                        <w:szCs w:val="24"/>
                        <w14:ligatures w14:val="standardContextual"/>
                      </w:rPr>
                    </m:ctrlPr>
                  </m:fPr>
                  <m:num>
                    <m:r>
                      <w:rPr>
                        <w:rFonts w:ascii="Cambria Math" w:eastAsiaTheme="minorEastAsia" w:hAnsi="Cambria Math" w:cs="Times New Roman"/>
                        <w:sz w:val="24"/>
                        <w:szCs w:val="24"/>
                      </w:rPr>
                      <m:t>dp</m:t>
                    </m:r>
                  </m:num>
                  <m:den>
                    <m:r>
                      <w:rPr>
                        <w:rFonts w:ascii="Cambria Math" w:eastAsiaTheme="minorEastAsia" w:hAnsi="Cambria Math" w:cs="Times New Roman"/>
                        <w:sz w:val="24"/>
                        <w:szCs w:val="24"/>
                      </w:rPr>
                      <m:t>dT</m:t>
                    </m:r>
                  </m:den>
                </m:f>
              </m:e>
            </m:d>
          </m:e>
          <m:sub>
            <m:r>
              <w:rPr>
                <w:rFonts w:ascii="Cambria Math" w:eastAsiaTheme="minorEastAsia" w:hAnsi="Cambria Math" w:cs="Times New Roman"/>
                <w:sz w:val="24"/>
                <w:szCs w:val="24"/>
              </w:rPr>
              <m:t>p</m:t>
            </m:r>
          </m:sub>
        </m:sSub>
        <m:r>
          <w:rPr>
            <w:rFonts w:ascii="Cambria Math" w:eastAsiaTheme="minorEastAsia" w:hAnsi="Cambria Math" w:cs="Times New Roman"/>
            <w:sz w:val="24"/>
            <w:szCs w:val="24"/>
          </w:rPr>
          <m:t>=</m:t>
        </m:r>
        <m:f>
          <m:fPr>
            <m:ctrlPr>
              <w:rPr>
                <w:rFonts w:ascii="Cambria Math" w:eastAsiaTheme="minorEastAsia" w:hAnsi="Cambria Math" w:cs="Times New Roman"/>
                <w:i/>
                <w:kern w:val="2"/>
                <w:sz w:val="24"/>
                <w:szCs w:val="24"/>
                <w14:ligatures w14:val="standardContextual"/>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ρ</m:t>
            </m:r>
          </m:den>
        </m:f>
        <m:f>
          <m:fPr>
            <m:ctrlPr>
              <w:rPr>
                <w:rFonts w:ascii="Cambria Math" w:eastAsiaTheme="minorEastAsia" w:hAnsi="Cambria Math" w:cs="Times New Roman"/>
                <w:i/>
                <w:kern w:val="2"/>
                <w:sz w:val="24"/>
                <w:szCs w:val="24"/>
                <w14:ligatures w14:val="standardContextual"/>
              </w:rPr>
            </m:ctrlPr>
          </m:fPr>
          <m:num>
            <m:r>
              <w:rPr>
                <w:rFonts w:ascii="Cambria Math" w:eastAsiaTheme="minorEastAsia" w:hAnsi="Cambria Math" w:cs="Times New Roman"/>
                <w:sz w:val="24"/>
                <w:szCs w:val="24"/>
              </w:rPr>
              <m:t>p</m:t>
            </m:r>
          </m:num>
          <m:den>
            <m:r>
              <w:rPr>
                <w:rFonts w:ascii="Cambria Math" w:eastAsiaTheme="minorEastAsia" w:hAnsi="Cambria Math" w:cs="Times New Roman"/>
                <w:sz w:val="24"/>
                <w:szCs w:val="24"/>
              </w:rPr>
              <m:t>R</m:t>
            </m:r>
            <m:sSup>
              <m:sSupPr>
                <m:ctrlPr>
                  <w:rPr>
                    <w:rFonts w:ascii="Cambria Math" w:eastAsiaTheme="minorEastAsia" w:hAnsi="Cambria Math" w:cs="Times New Roman"/>
                    <w:i/>
                    <w:kern w:val="2"/>
                    <w:sz w:val="24"/>
                    <w:szCs w:val="24"/>
                    <w14:ligatures w14:val="standardContextual"/>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kern w:val="2"/>
                <w:sz w:val="24"/>
                <w:szCs w:val="24"/>
                <w14:ligatures w14:val="standardContextual"/>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T</m:t>
            </m:r>
          </m:den>
        </m:f>
        <m:r>
          <w:rPr>
            <w:rFonts w:ascii="Cambria Math" w:eastAsiaTheme="minorEastAsia" w:hAnsi="Cambria Math" w:cs="Times New Roman"/>
            <w:sz w:val="24"/>
            <w:szCs w:val="24"/>
          </w:rPr>
          <m:t>=3.4*</m:t>
        </m:r>
        <m:sSup>
          <m:sSupPr>
            <m:ctrlPr>
              <w:rPr>
                <w:rFonts w:ascii="Cambria Math" w:eastAsiaTheme="minorEastAsia" w:hAnsi="Cambria Math" w:cs="Times New Roman"/>
                <w:i/>
                <w:kern w:val="2"/>
                <w:sz w:val="24"/>
                <w:szCs w:val="24"/>
                <w14:ligatures w14:val="standardContextual"/>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-3</m:t>
            </m:r>
          </m:sup>
        </m:sSup>
        <m:sSup>
          <m:sSupPr>
            <m:ctrlPr>
              <w:rPr>
                <w:rFonts w:ascii="Cambria Math" w:eastAsiaTheme="minorEastAsia" w:hAnsi="Cambria Math" w:cs="Times New Roman"/>
                <w:i/>
                <w:kern w:val="2"/>
                <w:sz w:val="24"/>
                <w:szCs w:val="24"/>
                <w14:ligatures w14:val="standardContextual"/>
              </w:rPr>
            </m:ctrlPr>
          </m:sSupPr>
          <m:e>
            <m:r>
              <w:rPr>
                <w:rFonts w:ascii="Cambria Math" w:eastAsiaTheme="minorEastAsia" w:hAnsi="Cambria Math" w:cs="Times New Roman"/>
                <w:sz w:val="24"/>
                <w:szCs w:val="24"/>
              </w:rPr>
              <m:t>K</m:t>
            </m:r>
          </m:e>
          <m:sup>
            <m:r>
              <w:rPr>
                <w:rFonts w:ascii="Cambria Math" w:eastAsiaTheme="minorEastAsia" w:hAnsi="Cambria Math" w:cs="Times New Roman"/>
                <w:sz w:val="24"/>
                <w:szCs w:val="24"/>
              </w:rPr>
              <m:t>-1</m:t>
            </m:r>
          </m:sup>
        </m:sSup>
      </m:oMath>
      <w:r w:rsidRPr="00BB252D">
        <w:rPr>
          <w:rFonts w:ascii="Times New Roman" w:eastAsiaTheme="minorEastAsia" w:hAnsi="Times New Roman" w:cs="Times New Roman"/>
          <w:kern w:val="2"/>
          <w:sz w:val="24"/>
          <w:szCs w:val="24"/>
          <w14:ligatures w14:val="standardContextual"/>
        </w:rPr>
        <w:t xml:space="preserve"> </w:t>
      </w:r>
      <w:r w:rsidRPr="00BB252D">
        <w:rPr>
          <w:rFonts w:ascii="Times New Roman" w:hAnsi="Times New Roman" w:cs="Times New Roman"/>
          <w:sz w:val="24"/>
          <w:szCs w:val="24"/>
        </w:rPr>
        <w:tab/>
      </w:r>
      <w:r w:rsidRPr="00BB252D">
        <w:rPr>
          <w:rFonts w:ascii="Times New Roman" w:hAnsi="Times New Roman" w:cs="Times New Roman"/>
          <w:sz w:val="24"/>
          <w:szCs w:val="24"/>
        </w:rPr>
        <w:tab/>
      </w:r>
      <w:r w:rsidRPr="00BB252D">
        <w:rPr>
          <w:rFonts w:ascii="Times New Roman" w:hAnsi="Times New Roman" w:cs="Times New Roman"/>
          <w:sz w:val="24"/>
          <w:szCs w:val="24"/>
        </w:rPr>
        <w:tab/>
        <w:t xml:space="preserve">                  </w:t>
      </w:r>
      <w:r w:rsidRPr="00BB252D">
        <w:rPr>
          <w:rFonts w:ascii="Times New Roman" w:hAnsi="Times New Roman" w:cs="Times New Roman"/>
          <w:sz w:val="24"/>
          <w:szCs w:val="24"/>
        </w:rPr>
        <w:tab/>
        <w:t>(4)</w:t>
      </w:r>
    </w:p>
    <w:p w14:paraId="0B8B6A86" w14:textId="538BB456" w:rsidR="00A84BA4" w:rsidRPr="00BB252D" w:rsidRDefault="00A84BA4" w:rsidP="001F2712">
      <w:pPr>
        <w:jc w:val="both"/>
        <w:rPr>
          <w:rFonts w:ascii="Times New Roman" w:eastAsiaTheme="minorEastAsia" w:hAnsi="Times New Roman" w:cs="Times New Roman"/>
          <w:sz w:val="24"/>
          <w:szCs w:val="24"/>
        </w:rPr>
      </w:pPr>
      <w:r w:rsidRPr="00BB252D">
        <w:rPr>
          <w:rFonts w:ascii="Times New Roman" w:eastAsiaTheme="minorEastAsia" w:hAnsi="Times New Roman" w:cs="Times New Roman"/>
          <w:sz w:val="24"/>
          <w:szCs w:val="24"/>
        </w:rPr>
        <w:t xml:space="preserve">The characteristic length is the width between the two vertical plates which in this case is 10 mm and the temperature </w:t>
      </w:r>
      <w:r>
        <w:rPr>
          <w:rFonts w:ascii="Times New Roman" w:eastAsiaTheme="minorEastAsia" w:hAnsi="Times New Roman" w:cs="Times New Roman"/>
          <w:sz w:val="24"/>
          <w:szCs w:val="24"/>
        </w:rPr>
        <w:t>difference</w:t>
      </w:r>
      <w:r w:rsidRPr="00BB252D">
        <w:rPr>
          <w:rFonts w:ascii="Times New Roman" w:eastAsiaTheme="minorEastAsia" w:hAnsi="Times New Roman" w:cs="Times New Roman"/>
          <w:sz w:val="24"/>
          <w:szCs w:val="24"/>
        </w:rPr>
        <w:t xml:space="preserve"> can </w:t>
      </w:r>
      <w:r>
        <w:rPr>
          <w:rFonts w:ascii="Times New Roman" w:eastAsiaTheme="minorEastAsia" w:hAnsi="Times New Roman" w:cs="Times New Roman"/>
          <w:sz w:val="24"/>
          <w:szCs w:val="24"/>
        </w:rPr>
        <w:t xml:space="preserve">in our measurements </w:t>
      </w:r>
      <w:r w:rsidRPr="00BB252D">
        <w:rPr>
          <w:rFonts w:ascii="Times New Roman" w:eastAsiaTheme="minorEastAsia" w:hAnsi="Times New Roman" w:cs="Times New Roman"/>
          <w:sz w:val="24"/>
          <w:szCs w:val="24"/>
        </w:rPr>
        <w:t xml:space="preserve">at most be 2 K </w:t>
      </w:r>
      <w:r>
        <w:rPr>
          <w:rFonts w:ascii="Times New Roman" w:eastAsiaTheme="minorEastAsia" w:hAnsi="Times New Roman" w:cs="Times New Roman"/>
          <w:sz w:val="24"/>
          <w:szCs w:val="24"/>
        </w:rPr>
        <w:t xml:space="preserve">(it is </w:t>
      </w:r>
      <w:proofErr w:type="gramStart"/>
      <w:r>
        <w:rPr>
          <w:rFonts w:ascii="Times New Roman" w:eastAsiaTheme="minorEastAsia" w:hAnsi="Times New Roman" w:cs="Times New Roman"/>
          <w:sz w:val="24"/>
          <w:szCs w:val="24"/>
        </w:rPr>
        <w:t>actually much</w:t>
      </w:r>
      <w:proofErr w:type="gramEnd"/>
      <w:r>
        <w:rPr>
          <w:rFonts w:ascii="Times New Roman" w:eastAsiaTheme="minorEastAsia" w:hAnsi="Times New Roman" w:cs="Times New Roman"/>
          <w:sz w:val="24"/>
          <w:szCs w:val="24"/>
        </w:rPr>
        <w:t xml:space="preserve"> smaller as the temperature change takes place gradually) </w:t>
      </w:r>
    </w:p>
    <w:p w14:paraId="7E824714" w14:textId="77777777" w:rsidR="00A84BA4" w:rsidRPr="00BB252D" w:rsidRDefault="00A84BA4" w:rsidP="001F2712">
      <w:pPr>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Δ</m:t>
        </m:r>
        <m:r>
          <w:rPr>
            <w:rFonts w:ascii="Cambria Math" w:eastAsiaTheme="minorEastAsia" w:hAnsi="Cambria Math" w:cs="Times New Roman"/>
            <w:sz w:val="24"/>
            <w:szCs w:val="24"/>
          </w:rPr>
          <m:t>T=</m:t>
        </m:r>
        <m:sSub>
          <m:sSubPr>
            <m:ctrlPr>
              <w:rPr>
                <w:rFonts w:ascii="Cambria Math" w:hAnsi="Cambria Math" w:cs="Times New Roman"/>
                <w:i/>
                <w:kern w:val="2"/>
                <w:sz w:val="24"/>
                <w:szCs w:val="24"/>
                <w14:ligatures w14:val="standardContextual"/>
              </w:rPr>
            </m:ctrlPr>
          </m:sSubPr>
          <m:e>
            <m:r>
              <w:rPr>
                <w:rFonts w:ascii="Cambria Math" w:hAnsi="Cambria Math" w:cs="Times New Roman"/>
                <w:sz w:val="24"/>
                <w:szCs w:val="24"/>
              </w:rPr>
              <m:t>T</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kern w:val="2"/>
                <w:sz w:val="24"/>
                <w:szCs w:val="24"/>
                <w14:ligatures w14:val="standardContextual"/>
              </w:rPr>
            </m:ctrlPr>
          </m:sSubPr>
          <m:e>
            <m:r>
              <w:rPr>
                <w:rFonts w:ascii="Cambria Math" w:hAnsi="Cambria Math" w:cs="Times New Roman"/>
                <w:sz w:val="24"/>
                <w:szCs w:val="24"/>
              </w:rPr>
              <m:t>T</m:t>
            </m:r>
          </m:e>
          <m:sub>
            <m:r>
              <w:rPr>
                <w:rFonts w:ascii="Cambria Math" w:hAnsi="Cambria Math" w:cs="Times New Roman"/>
                <w:sz w:val="24"/>
                <w:szCs w:val="24"/>
              </w:rPr>
              <m:t>2</m:t>
            </m:r>
          </m:sub>
        </m:sSub>
        <m:r>
          <w:rPr>
            <w:rFonts w:ascii="Cambria Math" w:eastAsiaTheme="minorEastAsia" w:hAnsi="Cambria Math" w:cs="Times New Roman"/>
            <w:sz w:val="24"/>
            <w:szCs w:val="24"/>
          </w:rPr>
          <m:t>=2 K</m:t>
        </m:r>
      </m:oMath>
      <w:r w:rsidRPr="00BB252D">
        <w:rPr>
          <w:rFonts w:ascii="Times New Roman" w:eastAsiaTheme="minorEastAsia" w:hAnsi="Times New Roman" w:cs="Times New Roman"/>
          <w:sz w:val="24"/>
          <w:szCs w:val="24"/>
        </w:rPr>
        <w:t xml:space="preserve"> </w:t>
      </w:r>
    </w:p>
    <w:p w14:paraId="66EDD781" w14:textId="77777777" w:rsidR="00A84BA4" w:rsidRPr="00BB252D" w:rsidRDefault="00A84BA4" w:rsidP="001F2712">
      <w:pPr>
        <w:rPr>
          <w:rFonts w:ascii="Times New Roman" w:eastAsiaTheme="minorEastAsia" w:hAnsi="Times New Roman" w:cs="Times New Roman"/>
          <w:sz w:val="24"/>
          <w:szCs w:val="24"/>
        </w:rPr>
      </w:pPr>
      <m:oMath>
        <m:r>
          <w:rPr>
            <w:rFonts w:ascii="Cambria Math" w:hAnsi="Cambria Math" w:cs="Times New Roman"/>
            <w:sz w:val="24"/>
            <w:szCs w:val="24"/>
          </w:rPr>
          <m:t>L=10 mm=0.01 m</m:t>
        </m:r>
      </m:oMath>
      <w:r w:rsidRPr="00BB252D">
        <w:rPr>
          <w:rFonts w:ascii="Times New Roman" w:eastAsiaTheme="minorEastAsia" w:hAnsi="Times New Roman" w:cs="Times New Roman"/>
          <w:sz w:val="24"/>
          <w:szCs w:val="24"/>
        </w:rPr>
        <w:t xml:space="preserve"> </w:t>
      </w:r>
    </w:p>
    <w:p w14:paraId="4D7158D6" w14:textId="77777777" w:rsidR="00A84BA4" w:rsidRPr="00BB252D" w:rsidRDefault="00A84BA4" w:rsidP="001F2712">
      <w:pPr>
        <w:jc w:val="both"/>
        <w:rPr>
          <w:rFonts w:ascii="Times New Roman" w:eastAsiaTheme="minorEastAsia" w:hAnsi="Times New Roman" w:cs="Times New Roman"/>
          <w:sz w:val="24"/>
          <w:szCs w:val="24"/>
        </w:rPr>
      </w:pPr>
      <w:r w:rsidRPr="00BB252D">
        <w:rPr>
          <w:rFonts w:ascii="Times New Roman" w:eastAsiaTheme="minorEastAsia" w:hAnsi="Times New Roman" w:cs="Times New Roman"/>
          <w:sz w:val="24"/>
          <w:szCs w:val="24"/>
        </w:rPr>
        <w:t>When performing the calculation, the following values are obtained.</w:t>
      </w:r>
    </w:p>
    <w:p w14:paraId="1069F5F1" w14:textId="77777777" w:rsidR="00A84BA4" w:rsidRPr="00BB252D" w:rsidRDefault="00A84BA4" w:rsidP="001F2712">
      <w:pPr>
        <w:jc w:val="both"/>
        <w:rPr>
          <w:rFonts w:ascii="Times New Roman" w:eastAsiaTheme="minorEastAsia" w:hAnsi="Times New Roman" w:cs="Times New Roman"/>
          <w:sz w:val="24"/>
          <w:szCs w:val="24"/>
        </w:rPr>
      </w:pPr>
      <m:oMath>
        <m:r>
          <w:rPr>
            <w:rFonts w:ascii="Cambria Math" w:hAnsi="Cambria Math" w:cs="Times New Roman"/>
            <w:sz w:val="24"/>
            <w:szCs w:val="24"/>
          </w:rPr>
          <m:t>Gr=289.68 → Ra=205.67</m:t>
        </m:r>
      </m:oMath>
      <w:r w:rsidRPr="00BB252D">
        <w:rPr>
          <w:rFonts w:ascii="Times New Roman" w:eastAsiaTheme="minorEastAsia" w:hAnsi="Times New Roman" w:cs="Times New Roman"/>
          <w:sz w:val="24"/>
          <w:szCs w:val="24"/>
        </w:rPr>
        <w:t xml:space="preserve"> </w:t>
      </w:r>
    </w:p>
    <w:p w14:paraId="4C0CDD1E" w14:textId="77777777" w:rsidR="00A84BA4" w:rsidRPr="00BB252D" w:rsidRDefault="00A84BA4" w:rsidP="001F2712">
      <w:pPr>
        <w:rPr>
          <w:rFonts w:ascii="Times New Roman" w:eastAsiaTheme="minorEastAsia" w:hAnsi="Times New Roman" w:cs="Times New Roman"/>
          <w:sz w:val="24"/>
          <w:szCs w:val="24"/>
        </w:rPr>
      </w:pPr>
      <m:oMath>
        <m:r>
          <w:rPr>
            <w:rFonts w:ascii="Cambria Math" w:hAnsi="Cambria Math" w:cs="Times New Roman"/>
            <w:sz w:val="24"/>
            <w:szCs w:val="24"/>
          </w:rPr>
          <m:t xml:space="preserve">Ra=205.67 &lt;2000 </m:t>
        </m:r>
      </m:oMath>
      <w:r w:rsidRPr="00BB252D">
        <w:rPr>
          <w:rFonts w:ascii="Times New Roman" w:eastAsiaTheme="minorEastAsia" w:hAnsi="Times New Roman" w:cs="Times New Roman"/>
          <w:sz w:val="24"/>
          <w:szCs w:val="24"/>
        </w:rPr>
        <w:t xml:space="preserve"> </w:t>
      </w:r>
    </w:p>
    <w:p w14:paraId="248B9514" w14:textId="77777777" w:rsidR="00A84BA4" w:rsidRPr="00BB252D" w:rsidRDefault="00A84BA4" w:rsidP="001F2712">
      <w:pPr>
        <w:rPr>
          <w:rFonts w:ascii="Times New Roman" w:eastAsiaTheme="minorEastAsia" w:hAnsi="Times New Roman" w:cs="Times New Roman"/>
          <w:sz w:val="24"/>
          <w:szCs w:val="24"/>
        </w:rPr>
      </w:pPr>
      <w:r w:rsidRPr="00BB252D">
        <w:rPr>
          <w:rFonts w:ascii="Times New Roman" w:eastAsiaTheme="minorEastAsia" w:hAnsi="Times New Roman" w:cs="Times New Roman"/>
          <w:sz w:val="24"/>
          <w:szCs w:val="24"/>
        </w:rPr>
        <w:t xml:space="preserve">This </w:t>
      </w:r>
      <w:r>
        <w:rPr>
          <w:rFonts w:ascii="Times New Roman" w:eastAsiaTheme="minorEastAsia" w:hAnsi="Times New Roman" w:cs="Times New Roman"/>
          <w:sz w:val="24"/>
          <w:szCs w:val="24"/>
        </w:rPr>
        <w:t>shows</w:t>
      </w:r>
      <w:r w:rsidRPr="00BB252D">
        <w:rPr>
          <w:rFonts w:ascii="Times New Roman" w:eastAsiaTheme="minorEastAsia" w:hAnsi="Times New Roman" w:cs="Times New Roman"/>
          <w:sz w:val="24"/>
          <w:szCs w:val="24"/>
        </w:rPr>
        <w:t xml:space="preserve"> that natural convection is not an issue for the measurements performed </w:t>
      </w:r>
      <w:r>
        <w:rPr>
          <w:rFonts w:ascii="Times New Roman" w:eastAsiaTheme="minorEastAsia" w:hAnsi="Times New Roman" w:cs="Times New Roman"/>
          <w:sz w:val="24"/>
          <w:szCs w:val="24"/>
        </w:rPr>
        <w:t>in this study</w:t>
      </w:r>
      <w:r w:rsidRPr="00BB252D">
        <w:rPr>
          <w:rFonts w:ascii="Times New Roman" w:eastAsiaTheme="minorEastAsia" w:hAnsi="Times New Roman" w:cs="Times New Roman"/>
          <w:sz w:val="24"/>
          <w:szCs w:val="24"/>
        </w:rPr>
        <w:t xml:space="preserve">.  </w:t>
      </w:r>
    </w:p>
    <w:p w14:paraId="19E2D731" w14:textId="77777777" w:rsidR="00A84BA4" w:rsidRPr="00BB7A22" w:rsidRDefault="00A84BA4" w:rsidP="00597D40">
      <w:pPr>
        <w:rPr>
          <w:rFonts w:ascii="Times New Roman" w:hAnsi="Times New Roman" w:cs="Times New Roman"/>
          <w:sz w:val="24"/>
        </w:rPr>
      </w:pPr>
    </w:p>
    <w:p w14:paraId="2E662BBF" w14:textId="77777777" w:rsidR="00A84BA4" w:rsidRPr="00597D40" w:rsidRDefault="00A84BA4" w:rsidP="00597D40">
      <w:pPr>
        <w:rPr>
          <w:rFonts w:ascii="Times New Roman" w:hAnsi="Times New Roman" w:cs="Times New Roman"/>
          <w:b/>
          <w:sz w:val="24"/>
        </w:rPr>
      </w:pPr>
      <w:r w:rsidRPr="00597D40">
        <w:rPr>
          <w:rFonts w:ascii="Times New Roman" w:hAnsi="Times New Roman" w:cs="Times New Roman"/>
          <w:b/>
          <w:sz w:val="24"/>
        </w:rPr>
        <w:t>Radiation under small temperature differences</w:t>
      </w:r>
    </w:p>
    <w:p w14:paraId="20A91A07" w14:textId="77777777" w:rsidR="00A84BA4" w:rsidRDefault="00A84BA4" w:rsidP="00986CB5">
      <w:pPr>
        <w:jc w:val="both"/>
        <w:rPr>
          <w:rFonts w:ascii="Times New Roman" w:hAnsi="Times New Roman" w:cs="Times New Roman"/>
          <w:sz w:val="24"/>
        </w:rPr>
      </w:pPr>
      <w:r w:rsidRPr="00101FAA">
        <w:rPr>
          <w:rFonts w:ascii="Times New Roman" w:hAnsi="Times New Roman" w:cs="Times New Roman"/>
          <w:sz w:val="24"/>
        </w:rPr>
        <w:t>For</w:t>
      </w:r>
      <w:r>
        <w:rPr>
          <w:rFonts w:ascii="Times New Roman" w:hAnsi="Times New Roman" w:cs="Times New Roman"/>
          <w:sz w:val="24"/>
        </w:rPr>
        <w:t xml:space="preserve"> thermal conductivity, the heat flow rate between two surfaces is proportional to the temperature difference between the surfaces (Fourier’s law of heat conduction), but radiation has a raised-to-the-power-of-four behavior (</w:t>
      </w:r>
      <w:r w:rsidRPr="00101FAA">
        <w:rPr>
          <w:rFonts w:ascii="Times New Roman" w:hAnsi="Times New Roman" w:cs="Times New Roman"/>
          <w:sz w:val="24"/>
        </w:rPr>
        <w:t>Stefan–Boltzmann</w:t>
      </w:r>
      <w:r>
        <w:rPr>
          <w:rFonts w:ascii="Times New Roman" w:hAnsi="Times New Roman" w:cs="Times New Roman"/>
          <w:sz w:val="24"/>
        </w:rPr>
        <w:t>’s law). However, at small temperature differences – such as in an isothermal heat conduction calorimeter – the power-of-four behavior can be very closely approximated by a linear behavior. This can be explained as follows.</w:t>
      </w:r>
    </w:p>
    <w:p w14:paraId="125837A4" w14:textId="77777777" w:rsidR="00A84BA4" w:rsidRDefault="00A84BA4" w:rsidP="00101FAA">
      <w:pPr>
        <w:rPr>
          <w:rFonts w:ascii="Times New Roman" w:hAnsi="Times New Roman" w:cs="Times New Roman"/>
          <w:sz w:val="24"/>
        </w:rPr>
      </w:pPr>
      <w:r>
        <w:rPr>
          <w:rFonts w:ascii="Times New Roman" w:hAnsi="Times New Roman" w:cs="Times New Roman"/>
          <w:sz w:val="24"/>
        </w:rPr>
        <w:t>Stefan-Boltzmann’s law for the radiation between two infinite parallel surfaces 1 and 2 is:</w:t>
      </w:r>
    </w:p>
    <w:p w14:paraId="5D5B51CA" w14:textId="77777777" w:rsidR="00A84BA4" w:rsidRDefault="00A84BA4" w:rsidP="00127EDA">
      <w:pPr>
        <w:rPr>
          <w:rFonts w:ascii="Times New Roman" w:hAnsi="Times New Roman" w:cs="Times New Roman"/>
          <w:sz w:val="24"/>
        </w:rPr>
      </w:pPr>
      <w:r>
        <w:rPr>
          <w:noProof/>
          <w:position w:val="-45"/>
        </w:rPr>
        <w:drawing>
          <wp:inline distT="0" distB="0" distL="0" distR="0" wp14:anchorId="366FD5CE" wp14:editId="5D34D41E">
            <wp:extent cx="1028357" cy="564292"/>
            <wp:effectExtent l="0" t="0" r="0" b="0"/>
            <wp:docPr id="2" name="Picture 1" descr="{&quot;mathml&quot;:&quot;&lt;math display=\&quot;block\&quot; style=\&quot;font-family:stix;font-size:16px;\&quot;&gt;&lt;mrow&gt;&lt;msub&gt;&lt;mi&gt;q&lt;/mi&gt;&lt;mtext&gt;r&lt;/mtext&gt;&lt;/msub&gt;&lt;mo&gt;=&lt;/mo&gt;&lt;mfrac&gt;&lt;mrow&gt;&lt;mi&gt;σ&lt;/mi&gt;&lt;mo stretchy=\&quot;false\&quot;&gt;(&lt;/mo&gt;&lt;msubsup&gt;&lt;mi&gt;T&lt;/mi&gt;&lt;mn&gt;1&lt;/mn&gt;&lt;mn&gt;4&lt;/mn&gt;&lt;/msubsup&gt;&lt;mo&gt;−&lt;/mo&gt;&lt;msubsup&gt;&lt;mi&gt;T&lt;/mi&gt;&lt;mn&gt;2&lt;/mn&gt;&lt;mn&gt;4&lt;/mn&gt;&lt;/msubsup&gt;&lt;mo stretchy=\&quot;false\&quot;&gt;)&lt;/mo&gt;&lt;/mrow&gt;&lt;mrow&gt;&lt;mfrac&gt;&lt;mn&gt;1&lt;/mn&gt;&lt;mrow&gt;&lt;msub&gt;&lt;mi&gt;ε&lt;/mi&gt;&lt;mn&gt;1&lt;/mn&gt;&lt;/msub&gt;&lt;/mrow&gt;&lt;/mfrac&gt;&lt;mo&gt;+&lt;/mo&gt;&lt;mfrac&gt;&lt;mn&gt;1&lt;/mn&gt;&lt;mrow&gt;&lt;msub&gt;&lt;mi&gt;ε&lt;/mi&gt;&lt;mn&gt;2&lt;/mn&gt;&lt;/msub&gt;&lt;/mrow&gt;&lt;/mfrac&gt;&lt;mo&gt;−&lt;/mo&gt;&lt;mn&gt;1&lt;/mn&gt;&lt;/mrow&gt;&lt;/mfrac&gt;&lt;/mrow&gt;&lt;/math&gt;&quot;,&quot;origin&quot;:&quot;MathType for Microsoft Add-in&quot;}" title="q subscript text r end text end subscript equals fraction numerator sigma not stretchy left parenthesis T subscript 1 superscript 4 minus T subscript 2 superscript 4 not stretchy right parenthesis over denominator fraction numerator 1 over denominator epsilon subscript 1 end fraction plus fraction numerator 1 over denominator epsilon subscript 2 end fraction minus 1 end f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display=\&quot;block\&quot; style=\&quot;font-family:stix;font-size:16px;\&quot;&gt;&lt;mrow&gt;&lt;msub&gt;&lt;mi&gt;q&lt;/mi&gt;&lt;mtext&gt;r&lt;/mtext&gt;&lt;/msub&gt;&lt;mo&gt;=&lt;/mo&gt;&lt;mfrac&gt;&lt;mrow&gt;&lt;mi&gt;σ&lt;/mi&gt;&lt;mo stretchy=\&quot;false\&quot;&gt;(&lt;/mo&gt;&lt;msubsup&gt;&lt;mi&gt;T&lt;/mi&gt;&lt;mn&gt;1&lt;/mn&gt;&lt;mn&gt;4&lt;/mn&gt;&lt;/msubsup&gt;&lt;mo&gt;−&lt;/mo&gt;&lt;msubsup&gt;&lt;mi&gt;T&lt;/mi&gt;&lt;mn&gt;2&lt;/mn&gt;&lt;mn&gt;4&lt;/mn&gt;&lt;/msubsup&gt;&lt;mo stretchy=\&quot;false\&quot;&gt;)&lt;/mo&gt;&lt;/mrow&gt;&lt;mrow&gt;&lt;mfrac&gt;&lt;mn&gt;1&lt;/mn&gt;&lt;mrow&gt;&lt;msub&gt;&lt;mi&gt;ε&lt;/mi&gt;&lt;mn&gt;1&lt;/mn&gt;&lt;/msub&gt;&lt;/mrow&gt;&lt;/mfrac&gt;&lt;mo&gt;+&lt;/mo&gt;&lt;mfrac&gt;&lt;mn&gt;1&lt;/mn&gt;&lt;mrow&gt;&lt;msub&gt;&lt;mi&gt;ε&lt;/mi&gt;&lt;mn&gt;2&lt;/mn&gt;&lt;/msub&gt;&lt;/mrow&gt;&lt;/mfrac&gt;&lt;mo&gt;−&lt;/mo&gt;&lt;mn&gt;1&lt;/mn&gt;&lt;/mrow&gt;&lt;/mfrac&gt;&lt;/mrow&gt;&lt;/math&gt;&quot;,&quot;origin&quot;:&quot;MathType for Microsoft Add-in&quot;}" title="q subscript text r end text end subscript equals fraction numerator sigma not stretchy left parenthesis T subscript 1 superscript 4 minus T subscript 2 superscript 4 not stretchy right parenthesis over denominator fraction numerator 1 over denominator epsilon subscript 1 end fraction plus fraction numerator 1 over denominator epsilon subscript 2 end fraction minus 1 end fraction"/>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28357" cy="564292"/>
                    </a:xfrm>
                    <a:prstGeom prst="rect">
                      <a:avLst/>
                    </a:prstGeom>
                  </pic:spPr>
                </pic:pic>
              </a:graphicData>
            </a:graphic>
          </wp:inline>
        </w:drawing>
      </w:r>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(5)</w:t>
      </w:r>
    </w:p>
    <w:p w14:paraId="135D899A" w14:textId="17A755CD" w:rsidR="00A84BA4" w:rsidRDefault="00A84BA4" w:rsidP="00127EDA">
      <w:pPr>
        <w:rPr>
          <w:rFonts w:ascii="Times New Roman" w:hAnsi="Times New Roman" w:cs="Times New Roman"/>
          <w:sz w:val="24"/>
        </w:rPr>
      </w:pPr>
      <w:r>
        <w:rPr>
          <w:rFonts w:ascii="Times New Roman" w:hAnsi="Times New Roman" w:cs="Times New Roman"/>
          <w:sz w:val="24"/>
        </w:rPr>
        <w:t xml:space="preserve">Here, </w:t>
      </w:r>
      <w:r>
        <w:rPr>
          <w:rFonts w:ascii="Times New Roman" w:hAnsi="Times New Roman" w:cs="Times New Roman"/>
          <w:i/>
          <w:sz w:val="24"/>
        </w:rPr>
        <w:t>q</w:t>
      </w:r>
      <w:r>
        <w:rPr>
          <w:rFonts w:ascii="Times New Roman" w:hAnsi="Times New Roman" w:cs="Times New Roman"/>
          <w:sz w:val="24"/>
          <w:vertAlign w:val="subscript"/>
        </w:rPr>
        <w:t>r</w:t>
      </w:r>
      <w:r>
        <w:rPr>
          <w:rFonts w:ascii="Times New Roman" w:hAnsi="Times New Roman" w:cs="Times New Roman"/>
          <w:sz w:val="24"/>
        </w:rPr>
        <w:t xml:space="preserve"> (W/m</w:t>
      </w:r>
      <w:r>
        <w:rPr>
          <w:rFonts w:ascii="Times New Roman" w:hAnsi="Times New Roman" w:cs="Times New Roman"/>
          <w:sz w:val="24"/>
          <w:vertAlign w:val="superscript"/>
        </w:rPr>
        <w:t>2</w:t>
      </w:r>
      <w:r>
        <w:rPr>
          <w:rFonts w:ascii="Times New Roman" w:hAnsi="Times New Roman" w:cs="Times New Roman"/>
          <w:sz w:val="24"/>
        </w:rPr>
        <w:t xml:space="preserve">) is the </w:t>
      </w:r>
      <w:r w:rsidR="00C03E26">
        <w:rPr>
          <w:rFonts w:ascii="Times New Roman" w:hAnsi="Times New Roman" w:cs="Times New Roman"/>
          <w:sz w:val="24"/>
        </w:rPr>
        <w:t xml:space="preserve">radiative </w:t>
      </w:r>
      <w:r>
        <w:rPr>
          <w:rFonts w:ascii="Times New Roman" w:hAnsi="Times New Roman" w:cs="Times New Roman"/>
          <w:sz w:val="24"/>
        </w:rPr>
        <w:t xml:space="preserve">heat flux, </w:t>
      </w:r>
      <w:r>
        <w:rPr>
          <w:rFonts w:ascii="Times New Roman" w:hAnsi="Times New Roman" w:cs="Times New Roman"/>
          <w:i/>
          <w:sz w:val="24"/>
        </w:rPr>
        <w:sym w:font="Symbol" w:char="F073"/>
      </w:r>
      <w:r>
        <w:rPr>
          <w:rFonts w:ascii="Times New Roman" w:hAnsi="Times New Roman" w:cs="Times New Roman"/>
          <w:sz w:val="24"/>
        </w:rPr>
        <w:t>=5.670</w:t>
      </w:r>
      <w:r>
        <w:rPr>
          <w:rFonts w:ascii="Times New Roman" w:hAnsi="Times New Roman" w:cs="Times New Roman"/>
          <w:sz w:val="24"/>
        </w:rPr>
        <w:sym w:font="Symbol" w:char="F0D7"/>
      </w:r>
      <w:r>
        <w:rPr>
          <w:rFonts w:ascii="Times New Roman" w:hAnsi="Times New Roman" w:cs="Times New Roman"/>
          <w:sz w:val="24"/>
        </w:rPr>
        <w:t>10</w:t>
      </w:r>
      <w:r>
        <w:rPr>
          <w:rFonts w:ascii="Times New Roman" w:hAnsi="Times New Roman" w:cs="Times New Roman"/>
          <w:sz w:val="24"/>
          <w:vertAlign w:val="superscript"/>
        </w:rPr>
        <w:t>-8</w:t>
      </w:r>
      <w:r>
        <w:rPr>
          <w:rFonts w:ascii="Times New Roman" w:hAnsi="Times New Roman" w:cs="Times New Roman"/>
          <w:sz w:val="24"/>
        </w:rPr>
        <w:t xml:space="preserve"> W/(m</w:t>
      </w:r>
      <w:r w:rsidRPr="00127EDA">
        <w:rPr>
          <w:rFonts w:ascii="Times New Roman" w:hAnsi="Times New Roman" w:cs="Times New Roman"/>
          <w:sz w:val="24"/>
          <w:vertAlign w:val="superscript"/>
        </w:rPr>
        <w:t>2</w:t>
      </w:r>
      <w:r>
        <w:rPr>
          <w:rFonts w:ascii="Times New Roman" w:hAnsi="Times New Roman" w:cs="Times New Roman"/>
          <w:sz w:val="24"/>
        </w:rPr>
        <w:t>K</w:t>
      </w:r>
      <w:r w:rsidRPr="00127EDA">
        <w:rPr>
          <w:rFonts w:ascii="Times New Roman" w:hAnsi="Times New Roman" w:cs="Times New Roman"/>
          <w:sz w:val="24"/>
          <w:vertAlign w:val="superscript"/>
        </w:rPr>
        <w:t>4</w:t>
      </w:r>
      <w:r>
        <w:rPr>
          <w:rFonts w:ascii="Times New Roman" w:hAnsi="Times New Roman" w:cs="Times New Roman"/>
          <w:sz w:val="24"/>
        </w:rPr>
        <w:t xml:space="preserve">) (Stefan-Boltzmann constant), </w:t>
      </w:r>
      <w:r w:rsidRPr="00127EDA">
        <w:rPr>
          <w:rFonts w:ascii="Times New Roman" w:hAnsi="Times New Roman" w:cs="Times New Roman"/>
          <w:i/>
          <w:sz w:val="24"/>
        </w:rPr>
        <w:sym w:font="Symbol" w:char="F065"/>
      </w:r>
      <w:r>
        <w:rPr>
          <w:rFonts w:ascii="Times New Roman" w:hAnsi="Times New Roman" w:cs="Times New Roman"/>
          <w:sz w:val="24"/>
        </w:rPr>
        <w:t xml:space="preserve"> (1) is emissivity and </w:t>
      </w:r>
      <w:r>
        <w:rPr>
          <w:rFonts w:ascii="Times New Roman" w:hAnsi="Times New Roman" w:cs="Times New Roman"/>
          <w:i/>
          <w:sz w:val="24"/>
        </w:rPr>
        <w:t>T</w:t>
      </w:r>
      <w:r>
        <w:rPr>
          <w:rFonts w:ascii="Times New Roman" w:hAnsi="Times New Roman" w:cs="Times New Roman"/>
          <w:sz w:val="24"/>
        </w:rPr>
        <w:t xml:space="preserve"> (K) is temperature. Collecting all constants into a constant </w:t>
      </w:r>
      <w:r>
        <w:rPr>
          <w:rFonts w:ascii="Times New Roman" w:hAnsi="Times New Roman" w:cs="Times New Roman"/>
          <w:i/>
          <w:sz w:val="24"/>
        </w:rPr>
        <w:t>c</w:t>
      </w:r>
      <w:r>
        <w:rPr>
          <w:rFonts w:ascii="Times New Roman" w:hAnsi="Times New Roman" w:cs="Times New Roman"/>
          <w:sz w:val="24"/>
        </w:rPr>
        <w:t xml:space="preserve"> gives:</w:t>
      </w:r>
    </w:p>
    <w:p w14:paraId="06749CE9" w14:textId="77777777" w:rsidR="00A84BA4" w:rsidRPr="00127EDA" w:rsidRDefault="00A84BA4" w:rsidP="00127EDA">
      <w:pPr>
        <w:jc w:val="both"/>
        <w:rPr>
          <w:rFonts w:ascii="Times New Roman" w:hAnsi="Times New Roman" w:cs="Times New Roman"/>
          <w:sz w:val="24"/>
        </w:rPr>
      </w:pPr>
      <w:r>
        <w:rPr>
          <w:noProof/>
          <w:position w:val="-10"/>
        </w:rPr>
        <w:drawing>
          <wp:inline distT="0" distB="0" distL="0" distR="0" wp14:anchorId="2F4B4053" wp14:editId="1B1DB1A5">
            <wp:extent cx="921265" cy="205946"/>
            <wp:effectExtent l="0" t="0" r="0" b="0"/>
            <wp:docPr id="3" name="Picture 1" descr="{&quot;mathml&quot;:&quot;&lt;math display=\&quot;block\&quot; style=\&quot;font-family:stix;font-size:16px;\&quot;&gt;&lt;mrow&gt;&lt;msub&gt;&lt;mi&gt;q&lt;/mi&gt;&lt;mtext&gt;r&lt;/mtext&gt;&lt;/msub&gt;&lt;mo&gt;=&lt;/mo&gt;&lt;mi&gt;c&lt;/mi&gt;&lt;mfenced wrs:valign=\&quot;middle\&quot;&gt;&lt;mrow&gt;&lt;msubsup&gt;&lt;mi&gt;T&lt;/mi&gt;&lt;mn&gt;1&lt;/mn&gt;&lt;mn&gt;4&lt;/mn&gt;&lt;/msubsup&gt;&lt;mo&gt;−&lt;/mo&gt;&lt;msubsup&gt;&lt;mi&gt;T&lt;/mi&gt;&lt;mn&gt;2&lt;/mn&gt;&lt;mn&gt;4&lt;/mn&gt;&lt;/msubsup&gt;&lt;/mrow&gt;&lt;/mfenced&gt;&lt;/mrow&gt;&lt;/math&gt;&quot;,&quot;origin&quot;:&quot;MathType for Microsoft Add-in&quot;}" title="q subscript text r end text end subscript equals c open parentheses T subscript 1 superscript 4 minus T subscript 2 superscript 4 close parenthe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display=\&quot;block\&quot; style=\&quot;font-family:stix;font-size:16px;\&quot;&gt;&lt;mrow&gt;&lt;msub&gt;&lt;mi&gt;q&lt;/mi&gt;&lt;mtext&gt;r&lt;/mtext&gt;&lt;/msub&gt;&lt;mo&gt;=&lt;/mo&gt;&lt;mi&gt;c&lt;/mi&gt;&lt;mfenced wrs:valign=\&quot;middle\&quot;&gt;&lt;mrow&gt;&lt;msubsup&gt;&lt;mi&gt;T&lt;/mi&gt;&lt;mn&gt;1&lt;/mn&gt;&lt;mn&gt;4&lt;/mn&gt;&lt;/msubsup&gt;&lt;mo&gt;−&lt;/mo&gt;&lt;msubsup&gt;&lt;mi&gt;T&lt;/mi&gt;&lt;mn&gt;2&lt;/mn&gt;&lt;mn&gt;4&lt;/mn&gt;&lt;/msubsup&gt;&lt;/mrow&gt;&lt;/mfenced&gt;&lt;/mrow&gt;&lt;/math&gt;&quot;,&quot;origin&quot;:&quot;MathType for Microsoft Add-in&quot;}" title="q subscript text r end text end subscript equals c open parentheses T subscript 1 superscript 4 minus T subscript 2 superscript 4 close parenthese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1265" cy="205946"/>
                    </a:xfrm>
                    <a:prstGeom prst="rect">
                      <a:avLst/>
                    </a:prstGeom>
                  </pic:spPr>
                </pic:pic>
              </a:graphicData>
            </a:graphic>
          </wp:inline>
        </w:drawing>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(6)</w:t>
      </w:r>
    </w:p>
    <w:p w14:paraId="42B44074" w14:textId="77777777" w:rsidR="00A84BA4" w:rsidRDefault="00A84BA4" w:rsidP="00101FAA">
      <w:pPr>
        <w:rPr>
          <w:rFonts w:ascii="Times New Roman" w:hAnsi="Times New Roman" w:cs="Times New Roman"/>
          <w:sz w:val="24"/>
        </w:rPr>
      </w:pPr>
      <w:r>
        <w:rPr>
          <w:rFonts w:ascii="Times New Roman" w:hAnsi="Times New Roman" w:cs="Times New Roman"/>
          <w:sz w:val="24"/>
        </w:rPr>
        <w:t>This can be linearized by using the following mathematical relation:</w:t>
      </w:r>
    </w:p>
    <w:p w14:paraId="1819899F" w14:textId="77777777" w:rsidR="00A84BA4" w:rsidRDefault="00A84BA4" w:rsidP="00101FAA">
      <w:pPr>
        <w:rPr>
          <w:rFonts w:ascii="Times New Roman" w:hAnsi="Times New Roman" w:cs="Times New Roman"/>
          <w:sz w:val="24"/>
        </w:rPr>
      </w:pPr>
      <w:r>
        <w:rPr>
          <w:noProof/>
          <w:position w:val="-6"/>
        </w:rPr>
        <w:drawing>
          <wp:inline distT="0" distB="0" distL="0" distR="0" wp14:anchorId="2265BFC7" wp14:editId="52A4E623">
            <wp:extent cx="1445741" cy="152400"/>
            <wp:effectExtent l="0" t="0" r="0" b="0"/>
            <wp:docPr id="4" name="Picture 1" descr="{&quot;mathml&quot;:&quot;&lt;math display=\&quot;block\&quot; style=\&quot;font-family:stix;font-size:16px;\&quot;&gt;&lt;mrow&gt;&lt;msup&gt;&lt;mi&gt;x&lt;/mi&gt;&lt;mn&gt;2&lt;/mn&gt;&lt;/msup&gt;&lt;mo&gt;−&lt;/mo&gt;&lt;msup&gt;&lt;mi&gt;y&lt;/mi&gt;&lt;mn&gt;2&lt;/mn&gt;&lt;/msup&gt;&lt;mo&gt;=&lt;/mo&gt;&lt;mfenced wrs:valign=\&quot;middle\&quot;&gt;&lt;mrow&gt;&lt;mi&gt;x&lt;/mi&gt;&lt;mo&gt;+&lt;/mo&gt;&lt;mi&gt;y&lt;/mi&gt;&lt;/mrow&gt;&lt;/mfenced&gt;&lt;mfenced wrs:valign=\&quot;middle\&quot;&gt;&lt;mrow&gt;&lt;mi&gt;x&lt;/mi&gt;&lt;mo&gt;−&lt;/mo&gt;&lt;mi&gt;y&lt;/mi&gt;&lt;/mrow&gt;&lt;/mfenced&gt;&lt;/mrow&gt;&lt;/math&gt;&quot;,&quot;origin&quot;:&quot;MathType for Microsoft Add-in&quot;}" title="x squared minus y squared equals open parentheses x plus y close parentheses open parentheses x minus y close parenthe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display=\&quot;block\&quot; style=\&quot;font-family:stix;font-size:16px;\&quot;&gt;&lt;mrow&gt;&lt;msup&gt;&lt;mi&gt;x&lt;/mi&gt;&lt;mn&gt;2&lt;/mn&gt;&lt;/msup&gt;&lt;mo&gt;−&lt;/mo&gt;&lt;msup&gt;&lt;mi&gt;y&lt;/mi&gt;&lt;mn&gt;2&lt;/mn&gt;&lt;/msup&gt;&lt;mo&gt;=&lt;/mo&gt;&lt;mfenced wrs:valign=\&quot;middle\&quot;&gt;&lt;mrow&gt;&lt;mi&gt;x&lt;/mi&gt;&lt;mo&gt;+&lt;/mo&gt;&lt;mi&gt;y&lt;/mi&gt;&lt;/mrow&gt;&lt;/mfenced&gt;&lt;mfenced wrs:valign=\&quot;middle\&quot;&gt;&lt;mrow&gt;&lt;mi&gt;x&lt;/mi&gt;&lt;mo&gt;−&lt;/mo&gt;&lt;mi&gt;y&lt;/mi&gt;&lt;/mrow&gt;&lt;/mfenced&gt;&lt;/mrow&gt;&lt;/math&gt;&quot;,&quot;origin&quot;:&quot;MathType for Microsoft Add-in&quot;}" title="x squared minus y squared equals open parentheses x plus y close parentheses open parentheses x minus y close parenthese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5741" cy="152400"/>
                    </a:xfrm>
                    <a:prstGeom prst="rect">
                      <a:avLst/>
                    </a:prstGeom>
                  </pic:spPr>
                </pic:pic>
              </a:graphicData>
            </a:graphic>
          </wp:inline>
        </w:drawing>
      </w:r>
      <w:r>
        <w:rPr>
          <w:rFonts w:ascii="Times New Roman" w:hAnsi="Times New Roman" w:cs="Times New Roman"/>
          <w:sz w:val="24"/>
        </w:rPr>
        <w: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(7)</w:t>
      </w:r>
    </w:p>
    <w:p w14:paraId="26C14652" w14:textId="77777777" w:rsidR="00A84BA4" w:rsidRDefault="00A84BA4" w:rsidP="00101FAA">
      <w:pPr>
        <w:rPr>
          <w:rFonts w:ascii="Times New Roman" w:hAnsi="Times New Roman" w:cs="Times New Roman"/>
          <w:sz w:val="24"/>
        </w:rPr>
      </w:pPr>
      <w:r>
        <w:rPr>
          <w:rFonts w:ascii="Times New Roman" w:hAnsi="Times New Roman" w:cs="Times New Roman"/>
          <w:sz w:val="24"/>
        </w:rPr>
        <w:t xml:space="preserve">which results in the following relation if we replace all </w:t>
      </w:r>
      <w:r>
        <w:rPr>
          <w:rFonts w:ascii="Times New Roman" w:hAnsi="Times New Roman" w:cs="Times New Roman"/>
          <w:i/>
          <w:sz w:val="24"/>
        </w:rPr>
        <w:t>x</w:t>
      </w:r>
      <w:r>
        <w:rPr>
          <w:rFonts w:ascii="Times New Roman" w:hAnsi="Times New Roman" w:cs="Times New Roman"/>
          <w:sz w:val="24"/>
        </w:rPr>
        <w:t xml:space="preserve"> by </w:t>
      </w:r>
      <w:r>
        <w:rPr>
          <w:rFonts w:ascii="Times New Roman" w:hAnsi="Times New Roman" w:cs="Times New Roman"/>
          <w:i/>
          <w:sz w:val="24"/>
        </w:rPr>
        <w:t>x</w:t>
      </w:r>
      <w:r>
        <w:rPr>
          <w:rFonts w:ascii="Times New Roman" w:hAnsi="Times New Roman" w:cs="Times New Roman"/>
          <w:sz w:val="24"/>
          <w:vertAlign w:val="superscript"/>
        </w:rPr>
        <w:t>2</w:t>
      </w:r>
      <w:r>
        <w:rPr>
          <w:rFonts w:ascii="Times New Roman" w:hAnsi="Times New Roman" w:cs="Times New Roman"/>
          <w:sz w:val="24"/>
        </w:rPr>
        <w:t xml:space="preserve"> and all </w:t>
      </w:r>
      <w:r>
        <w:rPr>
          <w:rFonts w:ascii="Times New Roman" w:hAnsi="Times New Roman" w:cs="Times New Roman"/>
          <w:i/>
          <w:sz w:val="24"/>
        </w:rPr>
        <w:t>y</w:t>
      </w:r>
      <w:r>
        <w:rPr>
          <w:rFonts w:ascii="Times New Roman" w:hAnsi="Times New Roman" w:cs="Times New Roman"/>
          <w:sz w:val="24"/>
        </w:rPr>
        <w:t xml:space="preserve"> by </w:t>
      </w:r>
      <w:r>
        <w:rPr>
          <w:rFonts w:ascii="Times New Roman" w:hAnsi="Times New Roman" w:cs="Times New Roman"/>
          <w:i/>
          <w:sz w:val="24"/>
        </w:rPr>
        <w:t>y</w:t>
      </w:r>
      <w:r>
        <w:rPr>
          <w:rFonts w:ascii="Times New Roman" w:hAnsi="Times New Roman" w:cs="Times New Roman"/>
          <w:sz w:val="24"/>
          <w:vertAlign w:val="superscript"/>
        </w:rPr>
        <w:t>2</w:t>
      </w:r>
      <w:r>
        <w:rPr>
          <w:rFonts w:ascii="Times New Roman" w:hAnsi="Times New Roman" w:cs="Times New Roman"/>
          <w:sz w:val="24"/>
        </w:rPr>
        <w:t>:</w:t>
      </w:r>
    </w:p>
    <w:p w14:paraId="5FB37C0C" w14:textId="77777777" w:rsidR="00A84BA4" w:rsidRDefault="00A84BA4" w:rsidP="00101FAA">
      <w:pPr>
        <w:rPr>
          <w:rFonts w:ascii="Times New Roman" w:hAnsi="Times New Roman" w:cs="Times New Roman"/>
          <w:sz w:val="24"/>
        </w:rPr>
      </w:pPr>
      <w:r>
        <w:rPr>
          <w:noProof/>
        </w:rPr>
        <w:drawing>
          <wp:inline distT="0" distB="0" distL="0" distR="0" wp14:anchorId="6DCCF65E" wp14:editId="23448B13">
            <wp:extent cx="2146300" cy="188830"/>
            <wp:effectExtent l="0" t="0" r="0" b="1905"/>
            <wp:docPr id="5" name="Picture 1" descr="{&quot;mathml&quot;:&quot;&lt;math display=\&quot;block\&quot; style=\&quot;font-family:stix;font-size:16px;\&quot;&gt;&lt;mrow&gt;&lt;msup&gt;&lt;mrow/&gt;&lt;mrow&gt;&lt;msup&gt;&lt;mi&gt;x&lt;/mi&gt;&lt;mn&gt;4&lt;/mn&gt;&lt;/msup&gt;&lt;mo&gt;−&lt;/mo&gt;&lt;msup&gt;&lt;mi&gt;y&lt;/mi&gt;&lt;mn&gt;4&lt;/mn&gt;&lt;/msup&gt;&lt;mo&gt;=&lt;/mo&gt;&lt;mo stretchy=\&quot;false\&quot;&gt;(&lt;/mo&gt;&lt;mi&gt;x&lt;/mi&gt;&lt;mo&gt;−&lt;/mo&gt;&lt;mi&gt;y&lt;/mi&gt;&lt;mo stretchy=\&quot;false\&quot;&gt;)&lt;/mo&gt;&lt;mo stretchy=\&quot;false\&quot;&gt;(&lt;/mo&gt;&lt;mi&gt;x&lt;/mi&gt;&lt;mo&gt;+&lt;/mo&gt;&lt;mi&gt;y&lt;/mi&gt;&lt;mo stretchy=\&quot;false\&quot;&gt;)&lt;/mo&gt;&lt;mo stretchy=\&quot;false\&quot;&gt;(&lt;/mo&gt;&lt;msup&gt;&lt;mi&gt;x&lt;/mi&gt;&lt;mn&gt;2&lt;/mn&gt;&lt;/msup&gt;&lt;mo&gt;+&lt;/mo&gt;&lt;msup&gt;&lt;mi&gt;y&lt;/mi&gt;&lt;mn&gt;2&lt;/mn&gt;&lt;/msup&gt;&lt;mo stretchy=\&quot;false\&quot;&gt;)&lt;/mo&gt;&lt;/mrow&gt;&lt;/msup&gt;&lt;/mrow&gt;&lt;/math&gt;&quot;,&quot;origin&quot;:&quot;MathType for Microsoft Add-in&quot;}" title="blank to the power of x to the power of 4 minus y to the power of 4 equals not stretchy left parenthesis x minus y not stretchy right parenthesis not stretchy left parenthesis x plus y not stretchy right parenthesis not stretchy left parenthesis x squared plus y squared not stretchy right parenthesis end expon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display=\&quot;block\&quot; style=\&quot;font-family:stix;font-size:16px;\&quot;&gt;&lt;mrow&gt;&lt;msup&gt;&lt;mrow/&gt;&lt;mrow&gt;&lt;msup&gt;&lt;mi&gt;x&lt;/mi&gt;&lt;mn&gt;4&lt;/mn&gt;&lt;/msup&gt;&lt;mo&gt;−&lt;/mo&gt;&lt;msup&gt;&lt;mi&gt;y&lt;/mi&gt;&lt;mn&gt;4&lt;/mn&gt;&lt;/msup&gt;&lt;mo&gt;=&lt;/mo&gt;&lt;mo stretchy=\&quot;false\&quot;&gt;(&lt;/mo&gt;&lt;mi&gt;x&lt;/mi&gt;&lt;mo&gt;−&lt;/mo&gt;&lt;mi&gt;y&lt;/mi&gt;&lt;mo stretchy=\&quot;false\&quot;&gt;)&lt;/mo&gt;&lt;mo stretchy=\&quot;false\&quot;&gt;(&lt;/mo&gt;&lt;mi&gt;x&lt;/mi&gt;&lt;mo&gt;+&lt;/mo&gt;&lt;mi&gt;y&lt;/mi&gt;&lt;mo stretchy=\&quot;false\&quot;&gt;)&lt;/mo&gt;&lt;mo stretchy=\&quot;false\&quot;&gt;(&lt;/mo&gt;&lt;msup&gt;&lt;mi&gt;x&lt;/mi&gt;&lt;mn&gt;2&lt;/mn&gt;&lt;/msup&gt;&lt;mo&gt;+&lt;/mo&gt;&lt;msup&gt;&lt;mi&gt;y&lt;/mi&gt;&lt;mn&gt;2&lt;/mn&gt;&lt;/msup&gt;&lt;mo stretchy=\&quot;false\&quot;&gt;)&lt;/mo&gt;&lt;/mrow&gt;&lt;/msup&gt;&lt;/mrow&gt;&lt;/math&gt;&quot;,&quot;origin&quot;:&quot;MathType for Microsoft Add-in&quot;}" title="blank to the power of x to the power of 4 minus y to the power of 4 equals not stretchy left parenthesis x minus y not stretchy right parenthesis not stretchy left parenthesis x plus y not stretchy right parenthesis not stretchy left parenthesis x squared plus y squared not stretchy right parenthesis end exponen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27591" cy="195982"/>
                    </a:xfrm>
                    <a:prstGeom prst="rect">
                      <a:avLst/>
                    </a:prstGeom>
                  </pic:spPr>
                </pic:pic>
              </a:graphicData>
            </a:graphic>
          </wp:inline>
        </w:drawing>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(8)</w:t>
      </w:r>
    </w:p>
    <w:p w14:paraId="03AAC469" w14:textId="77777777" w:rsidR="00A84BA4" w:rsidRDefault="00A84BA4" w:rsidP="00101FAA">
      <w:pPr>
        <w:rPr>
          <w:rFonts w:ascii="Times New Roman" w:hAnsi="Times New Roman" w:cs="Times New Roman"/>
          <w:sz w:val="24"/>
        </w:rPr>
      </w:pPr>
      <w:r>
        <w:rPr>
          <w:rFonts w:ascii="Times New Roman" w:hAnsi="Times New Roman" w:cs="Times New Roman"/>
          <w:sz w:val="24"/>
        </w:rPr>
        <w:lastRenderedPageBreak/>
        <w:t>Next, we introduce:</w:t>
      </w:r>
    </w:p>
    <w:p w14:paraId="493DA0C6" w14:textId="77777777" w:rsidR="00A84BA4" w:rsidRDefault="00A84BA4" w:rsidP="00101FAA">
      <w:pPr>
        <w:rPr>
          <w:rFonts w:ascii="Times New Roman" w:hAnsi="Times New Roman" w:cs="Times New Roman"/>
          <w:sz w:val="24"/>
        </w:rPr>
      </w:pPr>
      <w:r>
        <w:rPr>
          <w:noProof/>
          <w:position w:val="-18"/>
        </w:rPr>
        <w:drawing>
          <wp:inline distT="0" distB="0" distL="0" distR="0" wp14:anchorId="0AFFAF9A" wp14:editId="1466639D">
            <wp:extent cx="546443" cy="295189"/>
            <wp:effectExtent l="0" t="0" r="0" b="0"/>
            <wp:docPr id="6" name="Picture 1" descr="{&quot;mathml&quot;:&quot;&lt;math display=\&quot;block\&quot; style=\&quot;font-family:stix;font-size:16px;\&quot;&gt;&lt;mrow&gt;&lt;mi&gt;z&lt;/mi&gt;&lt;mo&gt;=&lt;/mo&gt;&lt;mfrac&gt;&lt;mrow&gt;&lt;mi&gt;x&lt;/mi&gt;&lt;mo&gt;+&lt;/mo&gt;&lt;mi&gt;y&lt;/mi&gt;&lt;/mrow&gt;&lt;mn&gt;2&lt;/mn&gt;&lt;/mfrac&gt;&lt;/mrow&gt;&lt;/math&gt;&quot;,&quot;origin&quot;:&quot;MathType for Microsoft Add-in&quot;}" title="z equals fraction numerator x plus y over denominator 2 end f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display=\&quot;block\&quot; style=\&quot;font-family:stix;font-size:16px;\&quot;&gt;&lt;mrow&gt;&lt;mi&gt;z&lt;/mi&gt;&lt;mo&gt;=&lt;/mo&gt;&lt;mfrac&gt;&lt;mrow&gt;&lt;mi&gt;x&lt;/mi&gt;&lt;mo&gt;+&lt;/mo&gt;&lt;mi&gt;y&lt;/mi&gt;&lt;/mrow&gt;&lt;mn&gt;2&lt;/mn&gt;&lt;/mfrac&gt;&lt;/mrow&gt;&lt;/math&gt;&quot;,&quot;origin&quot;:&quot;MathType for Microsoft Add-in&quot;}" title="z equals fraction numerator x plus y over denominator 2 end fractio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6443" cy="295189"/>
                    </a:xfrm>
                    <a:prstGeom prst="rect">
                      <a:avLst/>
                    </a:prstGeom>
                  </pic:spPr>
                </pic:pic>
              </a:graphicData>
            </a:graphic>
          </wp:inline>
        </w:drawing>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(9)</w:t>
      </w:r>
    </w:p>
    <w:p w14:paraId="5C4DA159" w14:textId="0E9BBC0C" w:rsidR="00A84BA4" w:rsidRDefault="00A84BA4" w:rsidP="00101FAA">
      <w:pPr>
        <w:rPr>
          <w:rFonts w:ascii="Times New Roman" w:hAnsi="Times New Roman" w:cs="Times New Roman"/>
          <w:sz w:val="24"/>
        </w:rPr>
      </w:pPr>
      <w:r>
        <w:rPr>
          <w:rFonts w:ascii="Times New Roman" w:hAnsi="Times New Roman" w:cs="Times New Roman"/>
          <w:sz w:val="24"/>
        </w:rPr>
        <w:t>and note that</w:t>
      </w:r>
      <w:r w:rsidR="00C03E26">
        <w:rPr>
          <w:rFonts w:ascii="Times New Roman" w:hAnsi="Times New Roman" w:cs="Times New Roman"/>
          <w:sz w:val="24"/>
        </w:rPr>
        <w:t>:</w:t>
      </w:r>
    </w:p>
    <w:p w14:paraId="2933AFDF" w14:textId="0789D1E8" w:rsidR="00A84BA4" w:rsidRDefault="00A84BA4" w:rsidP="00101FAA">
      <w:pPr>
        <w:rPr>
          <w:rFonts w:ascii="Times New Roman" w:hAnsi="Times New Roman" w:cs="Times New Roman"/>
          <w:sz w:val="24"/>
        </w:rPr>
      </w:pPr>
      <w:r>
        <w:rPr>
          <w:noProof/>
          <w:position w:val="-18"/>
        </w:rPr>
        <w:drawing>
          <wp:inline distT="0" distB="0" distL="0" distR="0" wp14:anchorId="3D7FFF95" wp14:editId="788EABEC">
            <wp:extent cx="1709351" cy="333632"/>
            <wp:effectExtent l="0" t="0" r="0" b="0"/>
            <wp:docPr id="7" name="Picture 1" descr="{&quot;mathml&quot;:&quot;&lt;math display=\&quot;block\&quot; style=\&quot;font-family:stix;font-size:16px;\&quot;&gt;&lt;mrow&gt;&lt;msup&gt;&lt;mi&gt;z&lt;/mi&gt;&lt;mn&gt;2&lt;/mn&gt;&lt;/msup&gt;&lt;mo&gt;=&lt;/mo&gt;&lt;mfrac&gt;&lt;mrow&gt;&lt;msup&gt;&lt;mi&gt;x&lt;/mi&gt;&lt;mn&gt;2&lt;/mn&gt;&lt;/msup&gt;&lt;mo&gt;+&lt;/mo&gt;&lt;mn&gt;2&lt;/mn&gt;&lt;mi&gt;x&lt;/mi&gt;&lt;mi&gt;y&lt;/mi&gt;&lt;mo&gt;+&lt;/mo&gt;&lt;msup&gt;&lt;mi&gt;y&lt;/mi&gt;&lt;mn&gt;2&lt;/mn&gt;&lt;/msup&gt;&lt;/mrow&gt;&lt;mn&gt;4&lt;/mn&gt;&lt;/mfrac&gt;&lt;mo&gt;≈&lt;/mo&gt;&lt;mfrac&gt;&lt;mrow&gt;&lt;msup&gt;&lt;mi&gt;x&lt;/mi&gt;&lt;mn&gt;2&lt;/mn&gt;&lt;/msup&gt;&lt;mo&gt;+&lt;/mo&gt;&lt;msup&gt;&lt;mi&gt;y&lt;/mi&gt;&lt;mn&gt;2&lt;/mn&gt;&lt;/msup&gt;&lt;/mrow&gt;&lt;mn&gt;2&lt;/mn&gt;&lt;/mfrac&gt;&lt;/mrow&gt;&lt;/math&gt;&quot;,&quot;origin&quot;:&quot;MathType for Microsoft Add-in&quot;}" title="z squared equals fraction numerator x squared plus 2 x y plus y squared over denominator 4 end fraction almost equal to fraction numerator x squared plus y squared over denominator 2 end f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display=\&quot;block\&quot; style=\&quot;font-family:stix;font-size:16px;\&quot;&gt;&lt;mrow&gt;&lt;msup&gt;&lt;mi&gt;z&lt;/mi&gt;&lt;mn&gt;2&lt;/mn&gt;&lt;/msup&gt;&lt;mo&gt;=&lt;/mo&gt;&lt;mfrac&gt;&lt;mrow&gt;&lt;msup&gt;&lt;mi&gt;x&lt;/mi&gt;&lt;mn&gt;2&lt;/mn&gt;&lt;/msup&gt;&lt;mo&gt;+&lt;/mo&gt;&lt;mn&gt;2&lt;/mn&gt;&lt;mi&gt;x&lt;/mi&gt;&lt;mi&gt;y&lt;/mi&gt;&lt;mo&gt;+&lt;/mo&gt;&lt;msup&gt;&lt;mi&gt;y&lt;/mi&gt;&lt;mn&gt;2&lt;/mn&gt;&lt;/msup&gt;&lt;/mrow&gt;&lt;mn&gt;4&lt;/mn&gt;&lt;/mfrac&gt;&lt;mo&gt;≈&lt;/mo&gt;&lt;mfrac&gt;&lt;mrow&gt;&lt;msup&gt;&lt;mi&gt;x&lt;/mi&gt;&lt;mn&gt;2&lt;/mn&gt;&lt;/msup&gt;&lt;mo&gt;+&lt;/mo&gt;&lt;msup&gt;&lt;mi&gt;y&lt;/mi&gt;&lt;mn&gt;2&lt;/mn&gt;&lt;/msup&gt;&lt;/mrow&gt;&lt;mn&gt;2&lt;/mn&gt;&lt;/mfrac&gt;&lt;/mrow&gt;&lt;/math&gt;&quot;,&quot;origin&quot;:&quot;MathType for Microsoft Add-in&quot;}" title="z squared equals fraction numerator x squared plus 2 x y plus y squared over denominator 4 end fraction almost equal to fraction numerator x squared plus y squared over denominator 2 end fract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9351" cy="333632"/>
                    </a:xfrm>
                    <a:prstGeom prst="rect">
                      <a:avLst/>
                    </a:prstGeom>
                  </pic:spPr>
                </pic:pic>
              </a:graphicData>
            </a:graphic>
          </wp:inline>
        </w:drawing>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C03E26">
        <w:rPr>
          <w:rFonts w:ascii="Times New Roman" w:hAnsi="Times New Roman" w:cs="Times New Roman"/>
          <w:sz w:val="24"/>
        </w:rPr>
        <w:tab/>
      </w:r>
      <w:r>
        <w:rPr>
          <w:rFonts w:ascii="Times New Roman" w:hAnsi="Times New Roman" w:cs="Times New Roman"/>
          <w:sz w:val="24"/>
        </w:rPr>
        <w:tab/>
        <w:t>(10)</w:t>
      </w:r>
    </w:p>
    <w:p w14:paraId="3EEEBE00" w14:textId="77777777" w:rsidR="00A84BA4" w:rsidRDefault="00A84BA4" w:rsidP="00101FAA">
      <w:pPr>
        <w:rPr>
          <w:rFonts w:ascii="Times New Roman" w:hAnsi="Times New Roman" w:cs="Times New Roman"/>
          <w:sz w:val="24"/>
        </w:rPr>
      </w:pPr>
      <w:r>
        <w:rPr>
          <w:rFonts w:ascii="Times New Roman" w:hAnsi="Times New Roman" w:cs="Times New Roman"/>
          <w:sz w:val="24"/>
        </w:rPr>
        <w:t xml:space="preserve">as </w:t>
      </w:r>
      <w:r>
        <w:rPr>
          <w:rFonts w:ascii="Times New Roman" w:hAnsi="Times New Roman" w:cs="Times New Roman"/>
          <w:i/>
          <w:sz w:val="24"/>
        </w:rPr>
        <w:t>x</w:t>
      </w:r>
      <w:r>
        <w:rPr>
          <w:rFonts w:ascii="Times New Roman" w:hAnsi="Times New Roman" w:cs="Times New Roman"/>
          <w:sz w:val="24"/>
        </w:rPr>
        <w:sym w:font="Symbol" w:char="F0BB"/>
      </w:r>
      <w:r>
        <w:rPr>
          <w:rFonts w:ascii="Times New Roman" w:hAnsi="Times New Roman" w:cs="Times New Roman"/>
          <w:i/>
          <w:sz w:val="24"/>
        </w:rPr>
        <w:t>y</w:t>
      </w:r>
      <w:r>
        <w:rPr>
          <w:rFonts w:ascii="Times New Roman" w:hAnsi="Times New Roman" w:cs="Times New Roman"/>
          <w:sz w:val="24"/>
        </w:rPr>
        <w:t>. We can then write Eq. 2 as:</w:t>
      </w:r>
    </w:p>
    <w:p w14:paraId="67FBE47C" w14:textId="77777777" w:rsidR="00A84BA4" w:rsidRDefault="00A84BA4" w:rsidP="00101FAA">
      <w:pPr>
        <w:rPr>
          <w:rFonts w:ascii="Times New Roman" w:hAnsi="Times New Roman" w:cs="Times New Roman"/>
          <w:sz w:val="24"/>
        </w:rPr>
      </w:pPr>
      <w:r>
        <w:rPr>
          <w:noProof/>
          <w:position w:val="-10"/>
        </w:rPr>
        <w:drawing>
          <wp:inline distT="0" distB="0" distL="0" distR="0" wp14:anchorId="36A0ABD7" wp14:editId="626C8747">
            <wp:extent cx="1259016" cy="182605"/>
            <wp:effectExtent l="0" t="0" r="0" b="0"/>
            <wp:docPr id="8" name="Picture 1" descr="{&quot;mathml&quot;:&quot;&lt;math display=\&quot;block\&quot; style=\&quot;font-family:stix;font-size:16px;\&quot;&gt;&lt;mrow&gt;&lt;msub&gt;&lt;mi&gt;q&lt;/mi&gt;&lt;mtext&gt;r&lt;/mtext&gt;&lt;/msub&gt;&lt;mo&gt;=&lt;/mo&gt;&lt;mn&gt;4&lt;/mn&gt;&lt;mi&gt;c&lt;/mi&gt;&lt;mo stretchy=\&quot;false\&quot;&gt;(&lt;/mo&gt;&lt;msub&gt;&lt;mi&gt;T&lt;/mi&gt;&lt;mn&gt;1&lt;/mn&gt;&lt;/msub&gt;&lt;mo&gt;−&lt;/mo&gt;&lt;msub&gt;&lt;mi&gt;T&lt;/mi&gt;&lt;mn&gt;2&lt;/mn&gt;&lt;/msub&gt;&lt;mo stretchy=\&quot;false\&quot;&gt;)&lt;/mo&gt;&lt;mo&gt;⋅&lt;/mo&gt;&lt;msubsup&gt;&lt;mi&gt;T&lt;/mi&gt;&lt;mtext&gt;m&lt;/mtext&gt;&lt;mn&gt;3&lt;/mn&gt;&lt;/msubsup&gt;&lt;/mrow&gt;&lt;/math&gt;&quot;,&quot;origin&quot;:&quot;MathType for Microsoft Add-in&quot;}" title="q subscript text r end text end subscript equals 4 c not stretchy left parenthesis T subscript 1 minus T subscript 2 not stretchy right parenthesis times T subscript text m end text end subscript superscrip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display=\&quot;block\&quot; style=\&quot;font-family:stix;font-size:16px;\&quot;&gt;&lt;mrow&gt;&lt;msub&gt;&lt;mi&gt;q&lt;/mi&gt;&lt;mtext&gt;r&lt;/mtext&gt;&lt;/msub&gt;&lt;mo&gt;=&lt;/mo&gt;&lt;mn&gt;4&lt;/mn&gt;&lt;mi&gt;c&lt;/mi&gt;&lt;mo stretchy=\&quot;false\&quot;&gt;(&lt;/mo&gt;&lt;msub&gt;&lt;mi&gt;T&lt;/mi&gt;&lt;mn&gt;1&lt;/mn&gt;&lt;/msub&gt;&lt;mo&gt;−&lt;/mo&gt;&lt;msub&gt;&lt;mi&gt;T&lt;/mi&gt;&lt;mn&gt;2&lt;/mn&gt;&lt;/msub&gt;&lt;mo stretchy=\&quot;false\&quot;&gt;)&lt;/mo&gt;&lt;mo&gt;⋅&lt;/mo&gt;&lt;msubsup&gt;&lt;mi&gt;T&lt;/mi&gt;&lt;mtext&gt;m&lt;/mtext&gt;&lt;mn&gt;3&lt;/mn&gt;&lt;/msubsup&gt;&lt;/mrow&gt;&lt;/math&gt;&quot;,&quot;origin&quot;:&quot;MathType for Microsoft Add-in&quot;}" title="q subscript text r end text end subscript equals 4 c not stretchy left parenthesis T subscript 1 minus T subscript 2 not stretchy right parenthesis times T subscript text m end text end subscript superscript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59016" cy="182605"/>
                    </a:xfrm>
                    <a:prstGeom prst="rect">
                      <a:avLst/>
                    </a:prstGeom>
                  </pic:spPr>
                </pic:pic>
              </a:graphicData>
            </a:graphic>
          </wp:inline>
        </w:drawing>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(11)</w:t>
      </w:r>
    </w:p>
    <w:p w14:paraId="457944C2" w14:textId="77777777" w:rsidR="00A84BA4" w:rsidRPr="00EB6F8F" w:rsidRDefault="00A84BA4" w:rsidP="00101FAA">
      <w:pPr>
        <w:rPr>
          <w:rFonts w:ascii="Times New Roman" w:hAnsi="Times New Roman" w:cs="Times New Roman"/>
          <w:sz w:val="24"/>
        </w:rPr>
      </w:pPr>
      <w:r>
        <w:rPr>
          <w:rFonts w:ascii="Times New Roman" w:hAnsi="Times New Roman" w:cs="Times New Roman"/>
          <w:sz w:val="24"/>
        </w:rPr>
        <w:t xml:space="preserve">Where </w:t>
      </w:r>
      <w:r>
        <w:rPr>
          <w:rFonts w:ascii="Times New Roman" w:hAnsi="Times New Roman" w:cs="Times New Roman"/>
          <w:i/>
          <w:sz w:val="24"/>
        </w:rPr>
        <w:t>T</w:t>
      </w:r>
      <w:r>
        <w:rPr>
          <w:rFonts w:ascii="Times New Roman" w:hAnsi="Times New Roman" w:cs="Times New Roman"/>
          <w:sz w:val="24"/>
          <w:vertAlign w:val="subscript"/>
        </w:rPr>
        <w:t>m</w:t>
      </w:r>
      <w:r>
        <w:rPr>
          <w:rFonts w:ascii="Times New Roman" w:hAnsi="Times New Roman" w:cs="Times New Roman"/>
          <w:sz w:val="24"/>
        </w:rPr>
        <w:t xml:space="preserve"> is the mean temperature:</w:t>
      </w:r>
    </w:p>
    <w:p w14:paraId="584FACE7" w14:textId="77777777" w:rsidR="00A84BA4" w:rsidRDefault="00A84BA4" w:rsidP="00101FAA">
      <w:pPr>
        <w:rPr>
          <w:rFonts w:ascii="Times New Roman" w:hAnsi="Times New Roman" w:cs="Times New Roman"/>
          <w:sz w:val="24"/>
        </w:rPr>
      </w:pPr>
      <w:r>
        <w:rPr>
          <w:noProof/>
        </w:rPr>
        <w:drawing>
          <wp:inline distT="0" distB="0" distL="0" distR="0" wp14:anchorId="405F1DE6" wp14:editId="51C0899F">
            <wp:extent cx="68649" cy="6865"/>
            <wp:effectExtent l="0" t="0" r="0" b="0"/>
            <wp:docPr id="9" name="Picture 1" descr="{&quot;mathml&quot;:&quot;&lt;math display=\&quot;block\&quot; style=\&quot;font-family:stix;font-size:16px;\&quot;/&gt;&quot;,&quot;origin&quot;:&quot;MathType for Microsoft Add-in&quot;}" title="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display=\&quot;block\&quot; style=\&quot;font-family:stix;font-size:16px;\&quot;/&gt;&quot;,&quot;origin&quot;:&quot;MathType for Microsoft Add-in&quot;}" title="blank"/>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8649" cy="6865"/>
                    </a:xfrm>
                    <a:prstGeom prst="rect">
                      <a:avLst/>
                    </a:prstGeom>
                  </pic:spPr>
                </pic:pic>
              </a:graphicData>
            </a:graphic>
          </wp:inline>
        </w:drawing>
      </w:r>
      <w:r>
        <w:rPr>
          <w:noProof/>
          <w:position w:val="-18"/>
        </w:rPr>
        <w:drawing>
          <wp:inline distT="0" distB="0" distL="0" distR="0" wp14:anchorId="68775A34" wp14:editId="319239CF">
            <wp:extent cx="812800" cy="356973"/>
            <wp:effectExtent l="0" t="0" r="0" b="0"/>
            <wp:docPr id="10" name="Picture 1" descr="{&quot;mathml&quot;:&quot;&lt;math display=\&quot;block\&quot; style=\&quot;font-family:stix;font-size:16px;\&quot;&gt;&lt;mrow&gt;&lt;msub&gt;&lt;mi&gt;T&lt;/mi&gt;&lt;mtext&gt;m&lt;/mtext&gt;&lt;/msub&gt;&lt;mo&gt;=&lt;/mo&gt;&lt;mfrac&gt;&lt;mrow&gt;&lt;msub&gt;&lt;mi&gt;T&lt;/mi&gt;&lt;mn&gt;1&lt;/mn&gt;&lt;/msub&gt;&lt;mo&gt;+&lt;/mo&gt;&lt;msub&gt;&lt;mi&gt;T&lt;/mi&gt;&lt;mn&gt;2&lt;/mn&gt;&lt;/msub&gt;&lt;/mrow&gt;&lt;mn&gt;2&lt;/mn&gt;&lt;/mfrac&gt;&lt;/mrow&gt;&lt;/math&gt;&quot;,&quot;origin&quot;:&quot;MathType for Microsoft Add-in&quot;}" title="T subscript text m end text end subscript equals fraction numerator T subscript 1 plus T subscript 2 over denominator 2 end f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display=\&quot;block\&quot; style=\&quot;font-family:stix;font-size:16px;\&quot;&gt;&lt;mrow&gt;&lt;msub&gt;&lt;mi&gt;T&lt;/mi&gt;&lt;mtext&gt;m&lt;/mtext&gt;&lt;/msub&gt;&lt;mo&gt;=&lt;/mo&gt;&lt;mfrac&gt;&lt;mrow&gt;&lt;msub&gt;&lt;mi&gt;T&lt;/mi&gt;&lt;mn&gt;1&lt;/mn&gt;&lt;/msub&gt;&lt;mo&gt;+&lt;/mo&gt;&lt;msub&gt;&lt;mi&gt;T&lt;/mi&gt;&lt;mn&gt;2&lt;/mn&gt;&lt;/msub&gt;&lt;/mrow&gt;&lt;mn&gt;2&lt;/mn&gt;&lt;/mfrac&gt;&lt;/mrow&gt;&lt;/math&gt;&quot;,&quot;origin&quot;:&quot;MathType for Microsoft Add-in&quot;}" title="T subscript text m end text end subscript equals fraction numerator T subscript 1 plus T subscript 2 over denominator 2 end fraction"/>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12800" cy="356973"/>
                    </a:xfrm>
                    <a:prstGeom prst="rect">
                      <a:avLst/>
                    </a:prstGeom>
                  </pic:spPr>
                </pic:pic>
              </a:graphicData>
            </a:graphic>
          </wp:inline>
        </w:drawing>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(12)</w:t>
      </w:r>
    </w:p>
    <w:p w14:paraId="03A8FF60" w14:textId="77777777" w:rsidR="00A84BA4" w:rsidRDefault="00A84BA4" w:rsidP="00101FAA">
      <w:pPr>
        <w:rPr>
          <w:rFonts w:ascii="Times New Roman" w:hAnsi="Times New Roman" w:cs="Times New Roman"/>
          <w:sz w:val="24"/>
        </w:rPr>
      </w:pPr>
      <w:r>
        <w:rPr>
          <w:rFonts w:ascii="Times New Roman" w:hAnsi="Times New Roman" w:cs="Times New Roman"/>
          <w:sz w:val="24"/>
        </w:rPr>
        <w:t xml:space="preserve">For a case with 1 K temperature differences at 20 </w:t>
      </w:r>
      <w:r>
        <w:rPr>
          <w:rFonts w:ascii="Times New Roman" w:hAnsi="Times New Roman" w:cs="Times New Roman"/>
          <w:sz w:val="24"/>
        </w:rPr>
        <w:sym w:font="Symbol" w:char="F0B0"/>
      </w:r>
      <w:r>
        <w:rPr>
          <w:rFonts w:ascii="Times New Roman" w:hAnsi="Times New Roman" w:cs="Times New Roman"/>
          <w:sz w:val="24"/>
        </w:rPr>
        <w:t>C, the error made by using Eq. 11 instead of Eq. 6 is less than 0.001%.</w:t>
      </w:r>
    </w:p>
    <w:p w14:paraId="0559B71B" w14:textId="77777777" w:rsidR="00A84BA4" w:rsidRDefault="00A84BA4" w:rsidP="00101FAA">
      <w:pPr>
        <w:rPr>
          <w:rFonts w:ascii="Times New Roman" w:hAnsi="Times New Roman" w:cs="Times New Roman"/>
          <w:sz w:val="24"/>
        </w:rPr>
      </w:pPr>
      <w:r>
        <w:rPr>
          <w:rFonts w:ascii="Times New Roman" w:hAnsi="Times New Roman" w:cs="Times New Roman"/>
          <w:sz w:val="24"/>
        </w:rPr>
        <w:t>This shows that radiation can also be treated as a linear phenomenon in an isothermal heat conduction calorimeter working close to room temperature.</w:t>
      </w:r>
    </w:p>
    <w:p w14:paraId="5DD2473F" w14:textId="77777777" w:rsidR="00A84BA4" w:rsidRDefault="00A84BA4">
      <w:pPr>
        <w:rPr>
          <w:rFonts w:ascii="Times New Roman" w:hAnsi="Times New Roman" w:cs="Times New Roman"/>
          <w:sz w:val="24"/>
          <w:highlight w:val="lightGray"/>
        </w:rPr>
      </w:pPr>
      <w:r>
        <w:rPr>
          <w:rFonts w:ascii="Times New Roman" w:hAnsi="Times New Roman" w:cs="Times New Roman"/>
          <w:sz w:val="24"/>
          <w:highlight w:val="lightGray"/>
        </w:rPr>
        <w:br w:type="page"/>
      </w:r>
    </w:p>
    <w:p w14:paraId="67041DD1" w14:textId="77777777" w:rsidR="00A84BA4" w:rsidRPr="00597D40" w:rsidRDefault="00A84BA4" w:rsidP="00597D40">
      <w:pPr>
        <w:rPr>
          <w:rFonts w:ascii="Times New Roman" w:hAnsi="Times New Roman" w:cs="Times New Roman"/>
          <w:b/>
          <w:sz w:val="24"/>
        </w:rPr>
      </w:pPr>
      <w:r w:rsidRPr="00597D40">
        <w:rPr>
          <w:rFonts w:ascii="Times New Roman" w:hAnsi="Times New Roman" w:cs="Times New Roman"/>
          <w:b/>
          <w:sz w:val="24"/>
        </w:rPr>
        <w:lastRenderedPageBreak/>
        <w:t>The origin of the double peaks</w:t>
      </w:r>
    </w:p>
    <w:p w14:paraId="23F8C447" w14:textId="0C0D7577" w:rsidR="00A84BA4" w:rsidRDefault="00A84BA4" w:rsidP="00053E1C">
      <w:pPr>
        <w:rPr>
          <w:rFonts w:ascii="Times New Roman" w:hAnsi="Times New Roman" w:cs="Times New Roman"/>
          <w:sz w:val="24"/>
        </w:rPr>
      </w:pPr>
      <w:r>
        <w:rPr>
          <w:rFonts w:ascii="Times New Roman" w:hAnsi="Times New Roman" w:cs="Times New Roman"/>
          <w:sz w:val="24"/>
        </w:rPr>
        <w:t>In many of our results, we see small pre-peaks before the main peak when we change temperature. These pre-peaks have the opposite signs compared to the main peaks. Although a heat conduction calorimeter is built to have sample and reference sides as similar as possible, there are always small differences in heat capacities and thermal conductances</w:t>
      </w:r>
      <w:r w:rsidR="00C03E26">
        <w:rPr>
          <w:rFonts w:ascii="Times New Roman" w:hAnsi="Times New Roman" w:cs="Times New Roman"/>
          <w:sz w:val="24"/>
        </w:rPr>
        <w:t xml:space="preserve"> between the two sides</w:t>
      </w:r>
      <w:r>
        <w:rPr>
          <w:rFonts w:ascii="Times New Roman" w:hAnsi="Times New Roman" w:cs="Times New Roman"/>
          <w:sz w:val="24"/>
        </w:rPr>
        <w:t xml:space="preserve">, and the origin of the pre-peaks is most probably small non-symmetries in the calorimeters as is shown in the following simulation results. </w:t>
      </w:r>
    </w:p>
    <w:p w14:paraId="198E9A1B" w14:textId="2F8C28FA" w:rsidR="00A84BA4" w:rsidRDefault="00A84BA4" w:rsidP="00053E1C">
      <w:pPr>
        <w:rPr>
          <w:rFonts w:ascii="Times New Roman" w:hAnsi="Times New Roman" w:cs="Times New Roman"/>
          <w:sz w:val="24"/>
        </w:rPr>
      </w:pPr>
      <w:r>
        <w:rPr>
          <w:rFonts w:ascii="Times New Roman" w:hAnsi="Times New Roman" w:cs="Times New Roman"/>
          <w:sz w:val="24"/>
        </w:rPr>
        <w:t xml:space="preserve">We have made computer simulations with a simple thermal model of a heat conduction calorimeter with two non-symmetries. The schematic model is shown in Fig. S1A; we do not give all the details of the model and the simulation as the aim </w:t>
      </w:r>
      <w:r w:rsidR="00C03E26">
        <w:rPr>
          <w:rFonts w:ascii="Times New Roman" w:hAnsi="Times New Roman" w:cs="Times New Roman"/>
          <w:sz w:val="24"/>
        </w:rPr>
        <w:t>is only</w:t>
      </w:r>
      <w:r>
        <w:rPr>
          <w:rFonts w:ascii="Times New Roman" w:hAnsi="Times New Roman" w:cs="Times New Roman"/>
          <w:sz w:val="24"/>
        </w:rPr>
        <w:t xml:space="preserve"> to show that non-symmetries can give pre-peaks. More information about heat conduction calorimeters and thermal modelling of them is found in reference</w:t>
      </w:r>
      <w:sdt>
        <w:sdtPr>
          <w:rPr>
            <w:rFonts w:ascii="Times New Roman" w:hAnsi="Times New Roman" w:cs="Times New Roman"/>
            <w:sz w:val="24"/>
          </w:rPr>
          <w:id w:val="1387907711"/>
          <w:citation/>
        </w:sdtPr>
        <w:sdtContent>
          <w:r>
            <w:rPr>
              <w:rFonts w:ascii="Times New Roman" w:hAnsi="Times New Roman" w:cs="Times New Roman"/>
              <w:sz w:val="24"/>
            </w:rPr>
            <w:fldChar w:fldCharType="begin"/>
          </w:r>
          <w:r w:rsidRPr="00BD2B38">
            <w:rPr>
              <w:rFonts w:ascii="Times New Roman" w:hAnsi="Times New Roman" w:cs="Times New Roman"/>
              <w:sz w:val="24"/>
            </w:rPr>
            <w:instrText xml:space="preserve"> CITATION Wad10 \l 1053 </w:instrText>
          </w:r>
          <w:r>
            <w:rPr>
              <w:rFonts w:ascii="Times New Roman" w:hAnsi="Times New Roman" w:cs="Times New Roman"/>
              <w:sz w:val="24"/>
            </w:rPr>
            <w:fldChar w:fldCharType="separate"/>
          </w:r>
          <w:r w:rsidRPr="00BD2B38">
            <w:rPr>
              <w:rFonts w:ascii="Times New Roman" w:hAnsi="Times New Roman" w:cs="Times New Roman"/>
              <w:noProof/>
              <w:sz w:val="24"/>
            </w:rPr>
            <w:t xml:space="preserve"> [2]</w:t>
          </w:r>
          <w:r>
            <w:rPr>
              <w:rFonts w:ascii="Times New Roman" w:hAnsi="Times New Roman" w:cs="Times New Roman"/>
              <w:sz w:val="24"/>
            </w:rPr>
            <w:fldChar w:fldCharType="end"/>
          </w:r>
        </w:sdtContent>
      </w:sdt>
      <w:r>
        <w:rPr>
          <w:rFonts w:ascii="Times New Roman" w:hAnsi="Times New Roman" w:cs="Times New Roman"/>
          <w:sz w:val="24"/>
        </w:rPr>
        <w:t>.</w:t>
      </w:r>
    </w:p>
    <w:p w14:paraId="0EBACE23" w14:textId="14CFC9BA" w:rsidR="00A84BA4" w:rsidRDefault="00A84BA4" w:rsidP="00A925B2">
      <w:pPr>
        <w:rPr>
          <w:rFonts w:ascii="Times New Roman" w:hAnsi="Times New Roman" w:cs="Times New Roman"/>
          <w:sz w:val="24"/>
        </w:rPr>
      </w:pPr>
      <w:r>
        <w:rPr>
          <w:rFonts w:ascii="Times New Roman" w:hAnsi="Times New Roman" w:cs="Times New Roman"/>
          <w:sz w:val="24"/>
        </w:rPr>
        <w:t xml:space="preserve">In the heat capacity </w:t>
      </w:r>
      <w:r w:rsidR="00C03E26">
        <w:rPr>
          <w:rFonts w:ascii="Times New Roman" w:hAnsi="Times New Roman" w:cs="Times New Roman"/>
          <w:sz w:val="24"/>
        </w:rPr>
        <w:t>model,</w:t>
      </w:r>
      <w:r>
        <w:rPr>
          <w:rFonts w:ascii="Times New Roman" w:hAnsi="Times New Roman" w:cs="Times New Roman"/>
          <w:sz w:val="24"/>
        </w:rPr>
        <w:t xml:space="preserve"> the large part 5 is the heat sink that connects the sample (1-2) and reference (3-4) sides of the calorimeter. Both the sample and the reference sides are divided into two parts; this is rather arbitrarily </w:t>
      </w:r>
      <w:r w:rsidR="00C03E26">
        <w:rPr>
          <w:rFonts w:ascii="Times New Roman" w:hAnsi="Times New Roman" w:cs="Times New Roman"/>
          <w:sz w:val="24"/>
        </w:rPr>
        <w:t>made but</w:t>
      </w:r>
      <w:r>
        <w:rPr>
          <w:rFonts w:ascii="Times New Roman" w:hAnsi="Times New Roman" w:cs="Times New Roman"/>
          <w:sz w:val="24"/>
        </w:rPr>
        <w:t xml:space="preserve"> can for example be envisaged that 1 is the sample in the glass vial and 2 is the vial holder.</w:t>
      </w:r>
    </w:p>
    <w:p w14:paraId="2F82BD67" w14:textId="59DD8BAE" w:rsidR="00A84BA4" w:rsidRDefault="00A84BA4" w:rsidP="00A925B2">
      <w:pPr>
        <w:rPr>
          <w:rFonts w:ascii="Times New Roman" w:hAnsi="Times New Roman" w:cs="Times New Roman"/>
          <w:sz w:val="24"/>
        </w:rPr>
      </w:pPr>
      <w:r>
        <w:rPr>
          <w:rFonts w:ascii="Times New Roman" w:hAnsi="Times New Roman" w:cs="Times New Roman"/>
          <w:sz w:val="24"/>
        </w:rPr>
        <w:t xml:space="preserve">In the model, there are two non-symmetries. Firstly, the heat capacities 1 and 3 </w:t>
      </w:r>
      <w:r w:rsidR="00C03E26">
        <w:rPr>
          <w:rFonts w:ascii="Times New Roman" w:hAnsi="Times New Roman" w:cs="Times New Roman"/>
          <w:sz w:val="24"/>
        </w:rPr>
        <w:t xml:space="preserve">are </w:t>
      </w:r>
      <w:r>
        <w:rPr>
          <w:rFonts w:ascii="Times New Roman" w:hAnsi="Times New Roman" w:cs="Times New Roman"/>
          <w:sz w:val="24"/>
        </w:rPr>
        <w:t xml:space="preserve">not the same; secondly, the thermal conductance 1-2 is lower than the </w:t>
      </w:r>
      <w:r w:rsidR="00C03E26">
        <w:rPr>
          <w:rFonts w:ascii="Times New Roman" w:hAnsi="Times New Roman" w:cs="Times New Roman"/>
          <w:sz w:val="24"/>
        </w:rPr>
        <w:t xml:space="preserve">corresponding </w:t>
      </w:r>
      <w:r>
        <w:rPr>
          <w:rFonts w:ascii="Times New Roman" w:hAnsi="Times New Roman" w:cs="Times New Roman"/>
          <w:sz w:val="24"/>
        </w:rPr>
        <w:t>thermal conductance 3-4. The results of three simulations with different levels of heat capacity non-symmetry are shown in Fig. S1B-D. The C-</w:t>
      </w:r>
      <w:proofErr w:type="gramStart"/>
      <w:r>
        <w:rPr>
          <w:rFonts w:ascii="Times New Roman" w:hAnsi="Times New Roman" w:cs="Times New Roman"/>
          <w:sz w:val="24"/>
        </w:rPr>
        <w:t>ratio:s</w:t>
      </w:r>
      <w:proofErr w:type="gramEnd"/>
      <w:r>
        <w:rPr>
          <w:rFonts w:ascii="Times New Roman" w:hAnsi="Times New Roman" w:cs="Times New Roman"/>
          <w:sz w:val="24"/>
        </w:rPr>
        <w:t xml:space="preserve"> are the ratios between heat capacites 1 and 3. </w:t>
      </w:r>
    </w:p>
    <w:p w14:paraId="45A8E418" w14:textId="61E8E602" w:rsidR="00A84BA4" w:rsidRDefault="00A84BA4" w:rsidP="00A925B2">
      <w:pPr>
        <w:rPr>
          <w:rFonts w:ascii="Times New Roman" w:hAnsi="Times New Roman" w:cs="Times New Roman"/>
          <w:sz w:val="24"/>
        </w:rPr>
      </w:pPr>
      <w:r>
        <w:rPr>
          <w:rFonts w:ascii="Times New Roman" w:hAnsi="Times New Roman" w:cs="Times New Roman"/>
          <w:sz w:val="24"/>
        </w:rPr>
        <w:t xml:space="preserve">In a perfectly symmetric heat conduction calorimeter, the output signal will be zero when the thermostat temperature is changed, as the temperatures of 1 and 3 will always be the same. In the modelled calorimeter, the non-symmetries will result in a peak after the temperature has been changed (note that the y-scales in Fig. S1B-D are different). It is this type of peak that </w:t>
      </w:r>
      <w:r w:rsidR="0090215F">
        <w:rPr>
          <w:rFonts w:ascii="Times New Roman" w:hAnsi="Times New Roman" w:cs="Times New Roman"/>
          <w:sz w:val="24"/>
        </w:rPr>
        <w:t xml:space="preserve">is </w:t>
      </w:r>
      <w:r>
        <w:rPr>
          <w:rFonts w:ascii="Times New Roman" w:hAnsi="Times New Roman" w:cs="Times New Roman"/>
          <w:sz w:val="24"/>
        </w:rPr>
        <w:t>integrated in the method in the present paper.</w:t>
      </w:r>
    </w:p>
    <w:p w14:paraId="7B435816" w14:textId="77777777" w:rsidR="00A84BA4" w:rsidRDefault="00A84BA4" w:rsidP="00A925B2">
      <w:pPr>
        <w:rPr>
          <w:rFonts w:ascii="Times New Roman" w:hAnsi="Times New Roman" w:cs="Times New Roman"/>
          <w:sz w:val="24"/>
        </w:rPr>
      </w:pPr>
      <w:r>
        <w:rPr>
          <w:rFonts w:ascii="Times New Roman" w:hAnsi="Times New Roman" w:cs="Times New Roman"/>
          <w:sz w:val="24"/>
        </w:rPr>
        <w:t>In Fig. S1B-D it is also seen that as the C-ratio goes towards 1.00 (the calorimeter becomes more symmetric), the pre-peak increases compared to the main peak. The pre-peak is the result of the non-symmetry in the thermal conductances.</w:t>
      </w:r>
    </w:p>
    <w:p w14:paraId="61974F5B" w14:textId="5017FAC0" w:rsidR="00A84BA4" w:rsidRDefault="00A84BA4" w:rsidP="00A925B2">
      <w:pPr>
        <w:rPr>
          <w:rFonts w:ascii="Times New Roman" w:hAnsi="Times New Roman" w:cs="Times New Roman"/>
          <w:sz w:val="24"/>
        </w:rPr>
      </w:pPr>
      <w:r>
        <w:rPr>
          <w:rFonts w:ascii="Times New Roman" w:hAnsi="Times New Roman" w:cs="Times New Roman"/>
          <w:sz w:val="24"/>
        </w:rPr>
        <w:t xml:space="preserve">When the pre-peaks are included in the integration of the main peaks, the result is very </w:t>
      </w:r>
      <w:r w:rsidR="0090215F">
        <w:rPr>
          <w:rFonts w:ascii="Times New Roman" w:hAnsi="Times New Roman" w:cs="Times New Roman"/>
          <w:sz w:val="24"/>
        </w:rPr>
        <w:t>close to</w:t>
      </w:r>
      <w:r>
        <w:rPr>
          <w:rFonts w:ascii="Times New Roman" w:hAnsi="Times New Roman" w:cs="Times New Roman"/>
          <w:sz w:val="24"/>
        </w:rPr>
        <w:t xml:space="preserve"> the theoretical values, as is seen in the “Errors” given in Fig. S1B-D.</w:t>
      </w:r>
    </w:p>
    <w:p w14:paraId="04CC5092" w14:textId="77777777" w:rsidR="00A84BA4" w:rsidRDefault="00A84BA4" w:rsidP="00A925B2">
      <w:pPr>
        <w:rPr>
          <w:rFonts w:ascii="Times New Roman" w:hAnsi="Times New Roman" w:cs="Times New Roman"/>
          <w:sz w:val="24"/>
        </w:rPr>
      </w:pPr>
      <w:r>
        <w:rPr>
          <w:rFonts w:ascii="Times New Roman" w:hAnsi="Times New Roman" w:cs="Times New Roman"/>
          <w:sz w:val="24"/>
        </w:rPr>
        <w:t>Note that we do not claim that the model of Fig. S1A is the best representation of the heat conduction calorimeters used in the present papers. We just want to show that pre-peaks after temperature changes can be caused by non-symmetries of the calorimeters.</w:t>
      </w:r>
    </w:p>
    <w:p w14:paraId="2D3BA3D8" w14:textId="77777777" w:rsidR="00A84BA4" w:rsidRDefault="00A84BA4" w:rsidP="00053E1C">
      <w:pPr>
        <w:rPr>
          <w:rFonts w:ascii="Times New Roman" w:hAnsi="Times New Roman" w:cs="Times New Roman"/>
          <w:sz w:val="24"/>
        </w:rPr>
      </w:pPr>
      <w:r w:rsidRPr="007B5A12">
        <w:rPr>
          <w:rFonts w:ascii="Times New Roman" w:hAnsi="Times New Roman" w:cs="Times New Roman"/>
          <w:noProof/>
          <w:sz w:val="24"/>
        </w:rPr>
        <w:lastRenderedPageBreak/>
        <w:drawing>
          <wp:inline distT="0" distB="0" distL="0" distR="0" wp14:anchorId="5046DAA2" wp14:editId="493E52D7">
            <wp:extent cx="5753100" cy="4076609"/>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rotWithShape="1">
                    <a:blip r:embed="rId18">
                      <a:extLst>
                        <a:ext uri="{28A0092B-C50C-407E-A947-70E740481C1C}">
                          <a14:useLocalDpi xmlns:a14="http://schemas.microsoft.com/office/drawing/2010/main" val="0"/>
                        </a:ext>
                      </a:extLst>
                    </a:blip>
                    <a:srcRect t="5549"/>
                    <a:stretch/>
                  </pic:blipFill>
                  <pic:spPr bwMode="auto">
                    <a:xfrm>
                      <a:off x="0" y="0"/>
                      <a:ext cx="5753100" cy="4076609"/>
                    </a:xfrm>
                    <a:prstGeom prst="rect">
                      <a:avLst/>
                    </a:prstGeom>
                    <a:noFill/>
                    <a:ln>
                      <a:noFill/>
                    </a:ln>
                    <a:extLst>
                      <a:ext uri="{53640926-AAD7-44D8-BBD7-CCE9431645EC}">
                        <a14:shadowObscured xmlns:a14="http://schemas.microsoft.com/office/drawing/2010/main"/>
                      </a:ext>
                    </a:extLst>
                  </pic:spPr>
                </pic:pic>
              </a:graphicData>
            </a:graphic>
          </wp:inline>
        </w:drawing>
      </w:r>
    </w:p>
    <w:p w14:paraId="64094EC9" w14:textId="77777777" w:rsidR="00A84BA4" w:rsidRDefault="00A84BA4" w:rsidP="00053E1C">
      <w:pPr>
        <w:rPr>
          <w:rFonts w:ascii="Times New Roman" w:hAnsi="Times New Roman" w:cs="Times New Roman"/>
          <w:i/>
          <w:sz w:val="24"/>
        </w:rPr>
      </w:pPr>
      <w:r>
        <w:rPr>
          <w:rFonts w:ascii="Times New Roman" w:hAnsi="Times New Roman" w:cs="Times New Roman"/>
          <w:i/>
          <w:sz w:val="24"/>
        </w:rPr>
        <w:t>Figure S1. Thermal model of heat conduction calorimeter and results from simulations. A. The thermal model. Each circle represents a heat capacity (units: J/K) and has an area that is proportional to the heat capacity of that part of the calorimeter. Each line represents a thermal conductance (units: W/K) with a line width that schematically represents the actual conductance. At the bottom is the thermostat temperature that is changed as a step in the present measurements. The dashed line represents the measured heat flow that is proportional to the temperature difference between parts 1 and 3. B. Results from three simulations with different heat capacity ratios (C-ratios) between parts 1 and 2. See text for further explanations.</w:t>
      </w:r>
    </w:p>
    <w:p w14:paraId="5420737F" w14:textId="77777777" w:rsidR="00A84BA4" w:rsidRDefault="00A84BA4" w:rsidP="00053E1C">
      <w:pPr>
        <w:rPr>
          <w:rFonts w:ascii="Times New Roman" w:hAnsi="Times New Roman" w:cs="Times New Roman"/>
          <w:i/>
          <w:sz w:val="24"/>
        </w:rPr>
      </w:pPr>
    </w:p>
    <w:sdt>
      <w:sdtPr>
        <w:rPr>
          <w:rFonts w:asciiTheme="minorHAnsi" w:eastAsiaTheme="minorHAnsi" w:hAnsiTheme="minorHAnsi" w:cstheme="minorBidi"/>
          <w:color w:val="auto"/>
          <w:sz w:val="22"/>
          <w:szCs w:val="22"/>
        </w:rPr>
        <w:id w:val="-1994321620"/>
        <w:docPartObj>
          <w:docPartGallery w:val="Bibliographies"/>
          <w:docPartUnique/>
        </w:docPartObj>
      </w:sdtPr>
      <w:sdtContent>
        <w:p w14:paraId="5483D933" w14:textId="77777777" w:rsidR="00A84BA4" w:rsidRPr="00BD2B38" w:rsidRDefault="00A84BA4">
          <w:pPr>
            <w:pStyle w:val="Heading1"/>
            <w:rPr>
              <w:rFonts w:ascii="Times New Roman" w:hAnsi="Times New Roman" w:cs="Times New Roman"/>
              <w:b/>
              <w:bCs/>
              <w:color w:val="auto"/>
              <w:sz w:val="26"/>
              <w:szCs w:val="26"/>
            </w:rPr>
          </w:pPr>
          <w:r w:rsidRPr="00BD2B38">
            <w:rPr>
              <w:rFonts w:ascii="Times New Roman" w:hAnsi="Times New Roman" w:cs="Times New Roman"/>
              <w:b/>
              <w:bCs/>
              <w:color w:val="auto"/>
              <w:sz w:val="26"/>
              <w:szCs w:val="26"/>
            </w:rPr>
            <w:t>References</w:t>
          </w:r>
        </w:p>
        <w:sdt>
          <w:sdtPr>
            <w:id w:val="-573587230"/>
            <w:bibliography/>
          </w:sdtPr>
          <w:sdtContent>
            <w:p w14:paraId="6130577C" w14:textId="77777777" w:rsidR="00A84BA4" w:rsidRDefault="00A84BA4">
              <w:pPr>
                <w:rPr>
                  <w:noProof/>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2"/>
                <w:gridCol w:w="9038"/>
              </w:tblGrid>
              <w:tr w:rsidR="00A84BA4" w14:paraId="511F8796" w14:textId="77777777">
                <w:trPr>
                  <w:divId w:val="1751852527"/>
                  <w:tblCellSpacing w:w="15" w:type="dxa"/>
                </w:trPr>
                <w:tc>
                  <w:tcPr>
                    <w:tcW w:w="50" w:type="pct"/>
                    <w:hideMark/>
                  </w:tcPr>
                  <w:p w14:paraId="169927B6" w14:textId="77777777" w:rsidR="00A84BA4" w:rsidRDefault="00A84BA4">
                    <w:pPr>
                      <w:pStyle w:val="Bibliography"/>
                      <w:rPr>
                        <w:noProof/>
                        <w:sz w:val="24"/>
                        <w:szCs w:val="24"/>
                      </w:rPr>
                    </w:pPr>
                    <w:r>
                      <w:rPr>
                        <w:noProof/>
                      </w:rPr>
                      <w:t xml:space="preserve">[1] </w:t>
                    </w:r>
                  </w:p>
                </w:tc>
                <w:tc>
                  <w:tcPr>
                    <w:tcW w:w="0" w:type="auto"/>
                    <w:hideMark/>
                  </w:tcPr>
                  <w:p w14:paraId="0C9527AB" w14:textId="77777777" w:rsidR="00A84BA4" w:rsidRDefault="00A84BA4">
                    <w:pPr>
                      <w:pStyle w:val="Bibliography"/>
                      <w:rPr>
                        <w:noProof/>
                      </w:rPr>
                    </w:pPr>
                    <w:r>
                      <w:rPr>
                        <w:noProof/>
                      </w:rPr>
                      <w:t xml:space="preserve">B. Sundén, "10.6 Natural Convection in Enclosures," in </w:t>
                    </w:r>
                    <w:r>
                      <w:rPr>
                        <w:i/>
                        <w:iCs/>
                        <w:noProof/>
                      </w:rPr>
                      <w:t>Introduction to Heat Transfer</w:t>
                    </w:r>
                    <w:r>
                      <w:rPr>
                        <w:noProof/>
                      </w:rPr>
                      <w:t>, Southampton, WIT Press, 2012, pp. 176-177.</w:t>
                    </w:r>
                  </w:p>
                </w:tc>
              </w:tr>
              <w:tr w:rsidR="00A84BA4" w14:paraId="1692D4EC" w14:textId="77777777">
                <w:trPr>
                  <w:divId w:val="1751852527"/>
                  <w:tblCellSpacing w:w="15" w:type="dxa"/>
                </w:trPr>
                <w:tc>
                  <w:tcPr>
                    <w:tcW w:w="50" w:type="pct"/>
                    <w:hideMark/>
                  </w:tcPr>
                  <w:p w14:paraId="41A175BC" w14:textId="77777777" w:rsidR="00A84BA4" w:rsidRDefault="00A84BA4">
                    <w:pPr>
                      <w:pStyle w:val="Bibliography"/>
                      <w:rPr>
                        <w:noProof/>
                      </w:rPr>
                    </w:pPr>
                    <w:r>
                      <w:rPr>
                        <w:noProof/>
                      </w:rPr>
                      <w:t xml:space="preserve">[2] </w:t>
                    </w:r>
                  </w:p>
                </w:tc>
                <w:tc>
                  <w:tcPr>
                    <w:tcW w:w="0" w:type="auto"/>
                    <w:hideMark/>
                  </w:tcPr>
                  <w:p w14:paraId="6A2E8AE1" w14:textId="77777777" w:rsidR="00A84BA4" w:rsidRDefault="00A84BA4">
                    <w:pPr>
                      <w:pStyle w:val="Bibliography"/>
                      <w:rPr>
                        <w:noProof/>
                      </w:rPr>
                    </w:pPr>
                    <w:r>
                      <w:rPr>
                        <w:noProof/>
                      </w:rPr>
                      <w:t xml:space="preserve">L. Wadsö, "Operational issues in isothermal calorimetry," </w:t>
                    </w:r>
                    <w:r>
                      <w:rPr>
                        <w:i/>
                        <w:iCs/>
                        <w:noProof/>
                      </w:rPr>
                      <w:t xml:space="preserve">Cenebt Cibcrete Res, </w:t>
                    </w:r>
                    <w:r>
                      <w:rPr>
                        <w:noProof/>
                      </w:rPr>
                      <w:t xml:space="preserve">vol. 40, pp. 1129-1137, 2010. </w:t>
                    </w:r>
                  </w:p>
                </w:tc>
              </w:tr>
            </w:tbl>
            <w:p w14:paraId="19FF2CE4" w14:textId="77777777" w:rsidR="00A84BA4" w:rsidRDefault="00A84BA4">
              <w:pPr>
                <w:divId w:val="1751852527"/>
                <w:rPr>
                  <w:rFonts w:eastAsia="Times New Roman"/>
                  <w:noProof/>
                </w:rPr>
              </w:pPr>
            </w:p>
            <w:p w14:paraId="1022BB3E" w14:textId="42FB7376" w:rsidR="00BD2B38" w:rsidRPr="0090215F" w:rsidRDefault="00A84BA4" w:rsidP="00053E1C">
              <w:r>
                <w:rPr>
                  <w:b/>
                  <w:bCs/>
                  <w:noProof/>
                </w:rPr>
                <w:fldChar w:fldCharType="end"/>
              </w:r>
            </w:p>
          </w:sdtContent>
        </w:sdt>
      </w:sdtContent>
    </w:sdt>
    <w:sectPr w:rsidR="00BD2B38" w:rsidRPr="0090215F">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lwpri" w:date="2023-07-11T23:22:00Z" w:initials="l">
    <w:p w14:paraId="76FCE1B6" w14:textId="77777777" w:rsidR="00A84BA4" w:rsidRPr="00F901F9" w:rsidRDefault="00A84BA4">
      <w:pPr>
        <w:pStyle w:val="CommentText"/>
        <w:rPr>
          <w:lang w:val="sv-SE"/>
        </w:rPr>
      </w:pPr>
      <w:r>
        <w:rPr>
          <w:rStyle w:val="CommentReference"/>
        </w:rPr>
        <w:annotationRef/>
      </w:r>
      <w:r w:rsidRPr="00F901F9">
        <w:rPr>
          <w:lang w:val="sv-SE"/>
        </w:rPr>
        <w:t>Varför väljer vi att göra beräknigen vid 22 oC?</w:t>
      </w:r>
    </w:p>
  </w:comment>
  <w:comment w:id="2" w:author="lwpri" w:date="2023-07-11T23:21:00Z" w:initials="l">
    <w:p w14:paraId="5E6BFAA0" w14:textId="77777777" w:rsidR="00A84BA4" w:rsidRPr="00F901F9" w:rsidRDefault="00A84BA4">
      <w:pPr>
        <w:pStyle w:val="CommentText"/>
        <w:rPr>
          <w:lang w:val="sv-SE"/>
        </w:rPr>
      </w:pPr>
      <w:r>
        <w:rPr>
          <w:rStyle w:val="CommentReference"/>
        </w:rPr>
        <w:annotationRef/>
      </w:r>
      <w:r w:rsidRPr="00F901F9">
        <w:rPr>
          <w:lang w:val="sv-SE"/>
        </w:rPr>
        <w:t>Enheter skall inte vara kursiva</w:t>
      </w:r>
    </w:p>
  </w:comment>
  <w:comment w:id="3" w:author="lwpri" w:date="2023-07-11T23:20:00Z" w:initials="l">
    <w:p w14:paraId="6F7AC189" w14:textId="77777777" w:rsidR="00A84BA4" w:rsidRPr="00F901F9" w:rsidRDefault="00A84BA4">
      <w:pPr>
        <w:pStyle w:val="CommentText"/>
        <w:rPr>
          <w:lang w:val="sv-SE"/>
        </w:rPr>
      </w:pPr>
      <w:r>
        <w:rPr>
          <w:rStyle w:val="CommentReference"/>
        </w:rPr>
        <w:annotationRef/>
      </w:r>
      <w:r w:rsidRPr="00F901F9">
        <w:rPr>
          <w:lang w:val="sv-SE"/>
        </w:rPr>
        <w:t>Byt * mot punkt (</w:t>
      </w:r>
      <w:r>
        <w:sym w:font="Symbol" w:char="F0D7"/>
      </w:r>
      <w:r w:rsidRPr="00F901F9">
        <w:rPr>
          <w:lang w:val="sv-SE"/>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6FCE1B6" w15:done="0"/>
  <w15:commentEx w15:paraId="5E6BFAA0" w15:done="0"/>
  <w15:commentEx w15:paraId="6F7AC18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6FCE1B6" w16cid:durableId="12FF159E"/>
  <w16cid:commentId w16cid:paraId="5E6BFAA0" w16cid:durableId="0A4D341A"/>
  <w16cid:commentId w16cid:paraId="6F7AC189" w16cid:durableId="784CEAC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96D38"/>
    <w:multiLevelType w:val="hybridMultilevel"/>
    <w:tmpl w:val="1F80B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041550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wpri">
    <w15:presenceInfo w15:providerId="Windows Live" w15:userId="6b5ac8e31431d7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wvp0der6rtetiesspyvd2fha5w2099vs2at&quot;&gt;LarsW EndNote library duplicates removed&lt;record-ids&gt;&lt;item&gt;1961&lt;/item&gt;&lt;/record-ids&gt;&lt;/item&gt;&lt;/Libraries&gt;"/>
  </w:docVars>
  <w:rsids>
    <w:rsidRoot w:val="00101FAA"/>
    <w:rsid w:val="0002037D"/>
    <w:rsid w:val="00026CB8"/>
    <w:rsid w:val="0004247A"/>
    <w:rsid w:val="00053843"/>
    <w:rsid w:val="00053E1C"/>
    <w:rsid w:val="00092D74"/>
    <w:rsid w:val="00101FAA"/>
    <w:rsid w:val="00127EDA"/>
    <w:rsid w:val="001B1543"/>
    <w:rsid w:val="001B2C49"/>
    <w:rsid w:val="001F2712"/>
    <w:rsid w:val="002229F2"/>
    <w:rsid w:val="00283B8A"/>
    <w:rsid w:val="002A4A76"/>
    <w:rsid w:val="002C55F4"/>
    <w:rsid w:val="003A7E0B"/>
    <w:rsid w:val="003B03D9"/>
    <w:rsid w:val="003B6118"/>
    <w:rsid w:val="003C3626"/>
    <w:rsid w:val="00441E80"/>
    <w:rsid w:val="004524A9"/>
    <w:rsid w:val="004F0DF2"/>
    <w:rsid w:val="00547991"/>
    <w:rsid w:val="00597D40"/>
    <w:rsid w:val="006072D7"/>
    <w:rsid w:val="00712D99"/>
    <w:rsid w:val="00731991"/>
    <w:rsid w:val="007B5A12"/>
    <w:rsid w:val="0090215F"/>
    <w:rsid w:val="00962327"/>
    <w:rsid w:val="00986CB5"/>
    <w:rsid w:val="00992A57"/>
    <w:rsid w:val="00A84BA4"/>
    <w:rsid w:val="00A925B2"/>
    <w:rsid w:val="00B55315"/>
    <w:rsid w:val="00B83DA4"/>
    <w:rsid w:val="00BB252D"/>
    <w:rsid w:val="00BB7A22"/>
    <w:rsid w:val="00BC23EE"/>
    <w:rsid w:val="00BD2B38"/>
    <w:rsid w:val="00BF18A9"/>
    <w:rsid w:val="00C03E26"/>
    <w:rsid w:val="00C1531A"/>
    <w:rsid w:val="00CE1837"/>
    <w:rsid w:val="00E221E9"/>
    <w:rsid w:val="00EB6F8F"/>
    <w:rsid w:val="00F901F9"/>
    <w:rsid w:val="00FA21CC"/>
    <w:rsid w:val="00FD6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1B692"/>
  <w15:chartTrackingRefBased/>
  <w15:docId w15:val="{AACD111D-5052-4E9D-9AD7-41360E985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2B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FAA"/>
    <w:pPr>
      <w:ind w:left="720"/>
      <w:contextualSpacing/>
    </w:pPr>
  </w:style>
  <w:style w:type="paragraph" w:customStyle="1" w:styleId="EndNoteBibliographyTitle">
    <w:name w:val="EndNote Bibliography Title"/>
    <w:basedOn w:val="Normal"/>
    <w:link w:val="EndNoteBibliographyTitleChar"/>
    <w:rsid w:val="00A925B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925B2"/>
    <w:rPr>
      <w:rFonts w:ascii="Calibri" w:hAnsi="Calibri" w:cs="Calibri"/>
      <w:noProof/>
    </w:rPr>
  </w:style>
  <w:style w:type="paragraph" w:customStyle="1" w:styleId="EndNoteBibliography">
    <w:name w:val="EndNote Bibliography"/>
    <w:basedOn w:val="Normal"/>
    <w:link w:val="EndNoteBibliographyChar"/>
    <w:rsid w:val="00A925B2"/>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925B2"/>
    <w:rPr>
      <w:rFonts w:ascii="Calibri" w:hAnsi="Calibri" w:cs="Calibri"/>
      <w:noProof/>
    </w:rPr>
  </w:style>
  <w:style w:type="character" w:styleId="CommentReference">
    <w:name w:val="annotation reference"/>
    <w:basedOn w:val="DefaultParagraphFont"/>
    <w:uiPriority w:val="99"/>
    <w:semiHidden/>
    <w:unhideWhenUsed/>
    <w:rsid w:val="004F0DF2"/>
    <w:rPr>
      <w:sz w:val="16"/>
      <w:szCs w:val="16"/>
    </w:rPr>
  </w:style>
  <w:style w:type="paragraph" w:styleId="CommentText">
    <w:name w:val="annotation text"/>
    <w:basedOn w:val="Normal"/>
    <w:link w:val="CommentTextChar"/>
    <w:uiPriority w:val="99"/>
    <w:unhideWhenUsed/>
    <w:rsid w:val="004F0DF2"/>
    <w:pPr>
      <w:spacing w:line="240" w:lineRule="auto"/>
    </w:pPr>
    <w:rPr>
      <w:sz w:val="20"/>
      <w:szCs w:val="20"/>
    </w:rPr>
  </w:style>
  <w:style w:type="character" w:customStyle="1" w:styleId="CommentTextChar">
    <w:name w:val="Comment Text Char"/>
    <w:basedOn w:val="DefaultParagraphFont"/>
    <w:link w:val="CommentText"/>
    <w:uiPriority w:val="99"/>
    <w:rsid w:val="004F0DF2"/>
    <w:rPr>
      <w:sz w:val="20"/>
      <w:szCs w:val="20"/>
    </w:rPr>
  </w:style>
  <w:style w:type="paragraph" w:styleId="CommentSubject">
    <w:name w:val="annotation subject"/>
    <w:basedOn w:val="CommentText"/>
    <w:next w:val="CommentText"/>
    <w:link w:val="CommentSubjectChar"/>
    <w:uiPriority w:val="99"/>
    <w:semiHidden/>
    <w:unhideWhenUsed/>
    <w:rsid w:val="004F0DF2"/>
    <w:rPr>
      <w:b/>
      <w:bCs/>
    </w:rPr>
  </w:style>
  <w:style w:type="character" w:customStyle="1" w:styleId="CommentSubjectChar">
    <w:name w:val="Comment Subject Char"/>
    <w:basedOn w:val="CommentTextChar"/>
    <w:link w:val="CommentSubject"/>
    <w:uiPriority w:val="99"/>
    <w:semiHidden/>
    <w:rsid w:val="004F0DF2"/>
    <w:rPr>
      <w:b/>
      <w:bCs/>
      <w:sz w:val="20"/>
      <w:szCs w:val="20"/>
    </w:rPr>
  </w:style>
  <w:style w:type="character" w:customStyle="1" w:styleId="Heading1Char">
    <w:name w:val="Heading 1 Char"/>
    <w:basedOn w:val="DefaultParagraphFont"/>
    <w:link w:val="Heading1"/>
    <w:uiPriority w:val="9"/>
    <w:rsid w:val="00BD2B38"/>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BD2B38"/>
  </w:style>
  <w:style w:type="paragraph" w:styleId="BalloonText">
    <w:name w:val="Balloon Text"/>
    <w:basedOn w:val="Normal"/>
    <w:link w:val="BalloonTextChar"/>
    <w:uiPriority w:val="99"/>
    <w:semiHidden/>
    <w:unhideWhenUsed/>
    <w:rsid w:val="003C36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626"/>
    <w:rPr>
      <w:rFonts w:ascii="Segoe UI" w:hAnsi="Segoe UI" w:cs="Segoe UI"/>
      <w:sz w:val="18"/>
      <w:szCs w:val="18"/>
    </w:rPr>
  </w:style>
  <w:style w:type="paragraph" w:styleId="Revision">
    <w:name w:val="Revision"/>
    <w:hidden/>
    <w:uiPriority w:val="99"/>
    <w:semiHidden/>
    <w:rsid w:val="00731991"/>
    <w:pPr>
      <w:spacing w:after="0" w:line="240" w:lineRule="auto"/>
    </w:pPr>
  </w:style>
  <w:style w:type="character" w:styleId="PlaceholderText">
    <w:name w:val="Placeholder Text"/>
    <w:basedOn w:val="DefaultParagraphFont"/>
    <w:uiPriority w:val="99"/>
    <w:semiHidden/>
    <w:rsid w:val="00A84BA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682054">
      <w:bodyDiv w:val="1"/>
      <w:marLeft w:val="0"/>
      <w:marRight w:val="0"/>
      <w:marTop w:val="0"/>
      <w:marBottom w:val="0"/>
      <w:divBdr>
        <w:top w:val="none" w:sz="0" w:space="0" w:color="auto"/>
        <w:left w:val="none" w:sz="0" w:space="0" w:color="auto"/>
        <w:bottom w:val="none" w:sz="0" w:space="0" w:color="auto"/>
        <w:right w:val="none" w:sz="0" w:space="0" w:color="auto"/>
      </w:divBdr>
    </w:div>
    <w:div w:id="1226258154">
      <w:bodyDiv w:val="1"/>
      <w:marLeft w:val="0"/>
      <w:marRight w:val="0"/>
      <w:marTop w:val="0"/>
      <w:marBottom w:val="0"/>
      <w:divBdr>
        <w:top w:val="none" w:sz="0" w:space="0" w:color="auto"/>
        <w:left w:val="none" w:sz="0" w:space="0" w:color="auto"/>
        <w:bottom w:val="none" w:sz="0" w:space="0" w:color="auto"/>
        <w:right w:val="none" w:sz="0" w:space="0" w:color="auto"/>
      </w:divBdr>
    </w:div>
    <w:div w:id="175185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image" Target="media/image5.png"/><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theme" Target="theme/theme1.xml"/><Relationship Id="rId7" Type="http://schemas.microsoft.com/office/2011/relationships/commentsExtended" Target="commentsExtended.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01BDFB5-06AD-4CFF-96FF-F54D6242D9F0}">
  <we:reference id="wa104381909" version="3.12.0.0" store="en-US" storeType="OMEX"/>
  <we:alternateReferences>
    <we:reference id="wa104381909" version="3.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Sun12</b:Tag>
    <b:SourceType>BookSection</b:SourceType>
    <b:Guid>{1D6B4B59-BD92-4B14-9784-0EA1AE5788BC}</b:Guid>
    <b:Title>10.6 Natural Convection in Enclosures</b:Title>
    <b:Year>2012</b:Year>
    <b:Pages>176-177</b:Pages>
    <b:Author>
      <b:Author>
        <b:NameList>
          <b:Person>
            <b:Last>Sundén</b:Last>
            <b:First>B.</b:First>
          </b:Person>
        </b:NameList>
      </b:Author>
    </b:Author>
    <b:BookTitle>Introduction to Heat Transfer</b:BookTitle>
    <b:City>Southampton</b:City>
    <b:Publisher>WIT Press</b:Publisher>
    <b:RefOrder>1</b:RefOrder>
  </b:Source>
  <b:Source>
    <b:Tag>Wad10</b:Tag>
    <b:SourceType>JournalArticle</b:SourceType>
    <b:Guid>{1329BDEB-C20A-418F-A382-60D2872CBBD5}</b:Guid>
    <b:Author>
      <b:Author>
        <b:NameList>
          <b:Person>
            <b:Last>Wadsö</b:Last>
            <b:First>L</b:First>
          </b:Person>
        </b:NameList>
      </b:Author>
    </b:Author>
    <b:Title>Operational issues in isothermal calorimetry</b:Title>
    <b:Year>2010</b:Year>
    <b:Pages>1129-1137</b:Pages>
    <b:JournalName>Cenebt Cibcrete Res</b:JournalName>
    <b:Volume>40</b:Volume>
    <b:RefOrder>2</b:RefOrder>
  </b:Source>
</b:Sources>
</file>

<file path=customXml/itemProps1.xml><?xml version="1.0" encoding="utf-8"?>
<ds:datastoreItem xmlns:ds="http://schemas.openxmlformats.org/officeDocument/2006/customXml" ds:itemID="{825683EF-6157-4FD7-94B8-3CE311F19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1270</Words>
  <Characters>7241</Characters>
  <Application>Microsoft Office Word</Application>
  <DocSecurity>0</DocSecurity>
  <Lines>60</Lines>
  <Paragraphs>16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lwpri</dc:creator>
  <cp:keywords/>
  <dc:description/>
  <cp:lastModifiedBy>Lars Wadsö</cp:lastModifiedBy>
  <cp:revision>3</cp:revision>
  <dcterms:created xsi:type="dcterms:W3CDTF">2023-11-03T10:25:00Z</dcterms:created>
  <dcterms:modified xsi:type="dcterms:W3CDTF">2023-11-03T11:01:00Z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nNumsOnRight">
    <vt:bool>false</vt:bool>
  </property>
  <property fmtid="{D5CDD505-2E9C-101B-9397-08002B2CF9AE}" pid="4" name="MTEquationNumber2">
    <vt:lpwstr>(#S1.#E1)</vt:lpwstr>
  </property>
</Properties>
</file>