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6B1" w:rsidRDefault="00FC36B1" w:rsidP="004F3A7F">
      <w:pPr>
        <w:spacing w:line="480" w:lineRule="auto"/>
        <w:rPr>
          <w:b/>
          <w:sz w:val="24"/>
          <w:szCs w:val="24"/>
        </w:rPr>
      </w:pPr>
      <w:r w:rsidRPr="00463566">
        <w:rPr>
          <w:b/>
          <w:sz w:val="24"/>
          <w:szCs w:val="24"/>
        </w:rPr>
        <w:t>Supplemental Tables:</w:t>
      </w:r>
    </w:p>
    <w:p w:rsidR="003C218C" w:rsidRDefault="00761E0A" w:rsidP="004F3A7F">
      <w:pPr>
        <w:spacing w:line="480" w:lineRule="auto"/>
        <w:rPr>
          <w:sz w:val="24"/>
          <w:szCs w:val="24"/>
        </w:rPr>
      </w:pPr>
      <w:r>
        <w:rPr>
          <w:sz w:val="24"/>
          <w:szCs w:val="24"/>
        </w:rPr>
        <w:t>Supplemental t</w:t>
      </w:r>
      <w:r w:rsidR="00463566" w:rsidRPr="00463566">
        <w:rPr>
          <w:sz w:val="24"/>
          <w:szCs w:val="24"/>
        </w:rPr>
        <w:t>able 1.</w:t>
      </w:r>
      <w:r>
        <w:rPr>
          <w:sz w:val="24"/>
          <w:szCs w:val="24"/>
        </w:rPr>
        <w:t xml:space="preserve"> </w:t>
      </w:r>
      <w:r w:rsidR="00463566" w:rsidRPr="00463566">
        <w:rPr>
          <w:sz w:val="24"/>
          <w:szCs w:val="24"/>
        </w:rPr>
        <w:t xml:space="preserve"> </w:t>
      </w:r>
      <w:r w:rsidR="00254C85">
        <w:rPr>
          <w:sz w:val="24"/>
          <w:szCs w:val="24"/>
        </w:rPr>
        <w:t xml:space="preserve">Futures </w:t>
      </w:r>
      <w:proofErr w:type="spellStart"/>
      <w:r w:rsidR="00254C85">
        <w:rPr>
          <w:sz w:val="24"/>
          <w:szCs w:val="24"/>
        </w:rPr>
        <w:t>submodels</w:t>
      </w:r>
      <w:proofErr w:type="spellEnd"/>
      <w:r w:rsidR="00254C85">
        <w:rPr>
          <w:sz w:val="24"/>
          <w:szCs w:val="24"/>
        </w:rPr>
        <w:t xml:space="preserve">, parameters, and data sources used. </w:t>
      </w:r>
    </w:p>
    <w:p w:rsidR="00463566" w:rsidRPr="00463566" w:rsidRDefault="00761E0A" w:rsidP="004F3A7F">
      <w:pPr>
        <w:spacing w:line="480" w:lineRule="auto"/>
        <w:rPr>
          <w:sz w:val="24"/>
          <w:szCs w:val="24"/>
        </w:rPr>
      </w:pPr>
      <w:r>
        <w:rPr>
          <w:sz w:val="24"/>
          <w:szCs w:val="24"/>
        </w:rPr>
        <w:t>Supplemental t</w:t>
      </w:r>
      <w:r w:rsidR="003C218C">
        <w:rPr>
          <w:sz w:val="24"/>
          <w:szCs w:val="24"/>
        </w:rPr>
        <w:t xml:space="preserve">able 2. </w:t>
      </w:r>
      <w:r w:rsidR="00463566" w:rsidRPr="00463566">
        <w:rPr>
          <w:sz w:val="24"/>
          <w:szCs w:val="24"/>
        </w:rPr>
        <w:t xml:space="preserve">Results of generalized linear mixed model: Fixed effects include the interactions between development pressure, slope, distance to interchanges, road density, distance to protected lands, and distance to water services followed by random effects for intercept and development pressure which varies by county. </w:t>
      </w:r>
    </w:p>
    <w:p w:rsidR="00463566" w:rsidRPr="00463566" w:rsidRDefault="00761E0A" w:rsidP="004F3A7F">
      <w:pPr>
        <w:spacing w:line="480" w:lineRule="auto"/>
        <w:rPr>
          <w:sz w:val="24"/>
          <w:szCs w:val="24"/>
        </w:rPr>
      </w:pPr>
      <w:r>
        <w:rPr>
          <w:sz w:val="24"/>
          <w:szCs w:val="24"/>
        </w:rPr>
        <w:t>Supplemental table 3</w:t>
      </w:r>
      <w:r w:rsidR="00463566" w:rsidRPr="00463566">
        <w:rPr>
          <w:sz w:val="24"/>
          <w:szCs w:val="24"/>
        </w:rPr>
        <w:t>. Results of the logistic regression model for the potential of organic campi</w:t>
      </w:r>
      <w:r w:rsidR="004F3A7F">
        <w:rPr>
          <w:sz w:val="24"/>
          <w:szCs w:val="24"/>
        </w:rPr>
        <w:t>ng.</w:t>
      </w:r>
    </w:p>
    <w:p w:rsidR="004F3A7F" w:rsidRDefault="00761E0A" w:rsidP="00761E0A">
      <w:pPr>
        <w:spacing w:line="480" w:lineRule="auto"/>
        <w:rPr>
          <w:sz w:val="24"/>
          <w:szCs w:val="24"/>
        </w:rPr>
      </w:pPr>
      <w:r>
        <w:rPr>
          <w:sz w:val="24"/>
          <w:szCs w:val="24"/>
        </w:rPr>
        <w:t>Supplemental t</w:t>
      </w:r>
      <w:r w:rsidR="004F3A7F" w:rsidRPr="00463566">
        <w:rPr>
          <w:sz w:val="24"/>
          <w:szCs w:val="24"/>
        </w:rPr>
        <w:t xml:space="preserve">able </w:t>
      </w:r>
      <w:r>
        <w:rPr>
          <w:sz w:val="24"/>
          <w:szCs w:val="24"/>
        </w:rPr>
        <w:t>4</w:t>
      </w:r>
      <w:r w:rsidR="004F3A7F" w:rsidRPr="00463566">
        <w:rPr>
          <w:sz w:val="24"/>
          <w:szCs w:val="24"/>
        </w:rPr>
        <w:t>. Results of the logistic regression used to model the camping site suitability of Western North Carolina.</w:t>
      </w:r>
      <w:r w:rsidR="004F3A7F">
        <w:rPr>
          <w:sz w:val="24"/>
          <w:szCs w:val="24"/>
        </w:rPr>
        <w:br w:type="page"/>
      </w:r>
    </w:p>
    <w:p w:rsidR="004F3A7F" w:rsidRDefault="004F3A7F" w:rsidP="00463566">
      <w:pPr>
        <w:spacing w:line="480" w:lineRule="auto"/>
        <w:rPr>
          <w:sz w:val="24"/>
          <w:szCs w:val="24"/>
        </w:rPr>
      </w:pPr>
      <w:r>
        <w:rPr>
          <w:sz w:val="24"/>
          <w:szCs w:val="24"/>
        </w:rPr>
        <w:lastRenderedPageBreak/>
        <w:t xml:space="preserve">Supplemental </w:t>
      </w:r>
      <w:r w:rsidR="00761E0A">
        <w:rPr>
          <w:sz w:val="24"/>
          <w:szCs w:val="24"/>
        </w:rPr>
        <w:t>t</w:t>
      </w:r>
      <w:r>
        <w:rPr>
          <w:sz w:val="24"/>
          <w:szCs w:val="24"/>
        </w:rPr>
        <w:t>able 1.</w:t>
      </w:r>
    </w:p>
    <w:p w:rsidR="003C218C" w:rsidRDefault="00236860" w:rsidP="003C218C">
      <w:pPr>
        <w:spacing w:line="480" w:lineRule="auto"/>
        <w:jc w:val="both"/>
        <w:rPr>
          <w:sz w:val="24"/>
          <w:szCs w:val="24"/>
        </w:rPr>
      </w:pPr>
      <w:r>
        <w:rPr>
          <w:noProof/>
          <w:lang w:val="en-IN" w:eastAsia="en-IN"/>
        </w:rPr>
        <w:drawing>
          <wp:inline distT="0" distB="0" distL="0" distR="0">
            <wp:extent cx="5833249" cy="258417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9098" t="36755" r="46488" b="10776"/>
                    <a:stretch/>
                  </pic:blipFill>
                  <pic:spPr bwMode="auto">
                    <a:xfrm>
                      <a:off x="0" y="0"/>
                      <a:ext cx="5855983" cy="25942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C218C" w:rsidRDefault="003C218C">
      <w:pPr>
        <w:rPr>
          <w:sz w:val="24"/>
          <w:szCs w:val="24"/>
        </w:rPr>
      </w:pPr>
      <w:r>
        <w:rPr>
          <w:sz w:val="24"/>
          <w:szCs w:val="24"/>
        </w:rPr>
        <w:br w:type="page"/>
      </w:r>
    </w:p>
    <w:p w:rsidR="003C218C" w:rsidRDefault="00761E0A" w:rsidP="00761E0A">
      <w:pPr>
        <w:spacing w:line="480" w:lineRule="auto"/>
        <w:rPr>
          <w:sz w:val="24"/>
          <w:szCs w:val="24"/>
        </w:rPr>
      </w:pPr>
      <w:r>
        <w:rPr>
          <w:sz w:val="24"/>
          <w:szCs w:val="24"/>
        </w:rPr>
        <w:lastRenderedPageBreak/>
        <w:t xml:space="preserve">Supplemental table 2. </w:t>
      </w:r>
    </w:p>
    <w:p w:rsidR="00FC36B1" w:rsidRPr="00463566" w:rsidRDefault="00FC36B1" w:rsidP="00463566">
      <w:pPr>
        <w:spacing w:line="480" w:lineRule="auto"/>
        <w:jc w:val="center"/>
        <w:rPr>
          <w:sz w:val="24"/>
          <w:szCs w:val="24"/>
        </w:rPr>
      </w:pPr>
      <w:r w:rsidRPr="00463566">
        <w:rPr>
          <w:noProof/>
          <w:sz w:val="24"/>
          <w:szCs w:val="24"/>
          <w:lang w:val="en-IN" w:eastAsia="en-IN"/>
        </w:rPr>
        <w:drawing>
          <wp:inline distT="0" distB="0" distL="0" distR="0">
            <wp:extent cx="4259484" cy="6525952"/>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20657" t="11743" r="60541" b="11441"/>
                    <a:stretch/>
                  </pic:blipFill>
                  <pic:spPr bwMode="auto">
                    <a:xfrm>
                      <a:off x="0" y="0"/>
                      <a:ext cx="4277607" cy="65537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F3A7F" w:rsidRDefault="004F3A7F">
      <w:pPr>
        <w:rPr>
          <w:sz w:val="24"/>
          <w:szCs w:val="24"/>
        </w:rPr>
      </w:pPr>
      <w:r>
        <w:rPr>
          <w:sz w:val="24"/>
          <w:szCs w:val="24"/>
        </w:rPr>
        <w:br w:type="page"/>
      </w:r>
    </w:p>
    <w:p w:rsidR="00FC36B1" w:rsidRPr="00463566" w:rsidRDefault="00761E0A" w:rsidP="004F3A7F">
      <w:pPr>
        <w:spacing w:line="240" w:lineRule="auto"/>
        <w:rPr>
          <w:sz w:val="24"/>
          <w:szCs w:val="24"/>
        </w:rPr>
      </w:pPr>
      <w:r>
        <w:rPr>
          <w:sz w:val="24"/>
          <w:szCs w:val="24"/>
        </w:rPr>
        <w:lastRenderedPageBreak/>
        <w:t>Supplemental t</w:t>
      </w:r>
      <w:r w:rsidR="003C218C">
        <w:rPr>
          <w:sz w:val="24"/>
          <w:szCs w:val="24"/>
        </w:rPr>
        <w:t>able 3</w:t>
      </w:r>
      <w:r w:rsidR="00FC36B1" w:rsidRPr="00463566">
        <w:rPr>
          <w:sz w:val="24"/>
          <w:szCs w:val="24"/>
        </w:rPr>
        <w:t xml:space="preserve">. </w:t>
      </w:r>
    </w:p>
    <w:tbl>
      <w:tblPr>
        <w:tblW w:w="0" w:type="auto"/>
        <w:jc w:val="center"/>
        <w:tblCellMar>
          <w:left w:w="0" w:type="dxa"/>
          <w:right w:w="0" w:type="dxa"/>
        </w:tblCellMar>
        <w:tblLook w:val="0420"/>
      </w:tblPr>
      <w:tblGrid>
        <w:gridCol w:w="4613"/>
        <w:gridCol w:w="1449"/>
        <w:gridCol w:w="1072"/>
      </w:tblGrid>
      <w:tr w:rsidR="00FC36B1" w:rsidRPr="00463566" w:rsidTr="00212C20">
        <w:trPr>
          <w:trHeight w:val="358"/>
          <w:jc w:val="center"/>
        </w:trPr>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rPr>
                <w:sz w:val="24"/>
                <w:szCs w:val="24"/>
              </w:rPr>
            </w:pPr>
            <w:r w:rsidRPr="00463566">
              <w:rPr>
                <w:sz w:val="24"/>
                <w:szCs w:val="24"/>
              </w:rPr>
              <w:br w:type="page"/>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jc w:val="right"/>
              <w:rPr>
                <w:sz w:val="24"/>
                <w:szCs w:val="24"/>
              </w:rPr>
            </w:pPr>
            <w:r w:rsidRPr="00463566">
              <w:rPr>
                <w:sz w:val="24"/>
                <w:szCs w:val="24"/>
              </w:rPr>
              <w:t>Estimate</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jc w:val="right"/>
              <w:rPr>
                <w:sz w:val="24"/>
                <w:szCs w:val="24"/>
              </w:rPr>
            </w:pPr>
            <w:r w:rsidRPr="00463566">
              <w:rPr>
                <w:sz w:val="24"/>
                <w:szCs w:val="24"/>
              </w:rPr>
              <w:t>Std. Est.</w:t>
            </w:r>
          </w:p>
        </w:tc>
      </w:tr>
      <w:tr w:rsidR="00FC36B1" w:rsidRPr="00463566" w:rsidTr="00212C20">
        <w:trPr>
          <w:trHeight w:val="241"/>
          <w:jc w:val="center"/>
        </w:trPr>
        <w:tc>
          <w:tcPr>
            <w:tcW w:w="0" w:type="auto"/>
            <w:tcBorders>
              <w:top w:val="single" w:sz="8" w:space="0" w:color="000000"/>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Intercept</w:t>
            </w:r>
          </w:p>
        </w:tc>
        <w:tc>
          <w:tcPr>
            <w:tcW w:w="0" w:type="auto"/>
            <w:tcBorders>
              <w:top w:val="single" w:sz="8" w:space="0" w:color="000000"/>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6.45(0.53)***</w:t>
            </w:r>
          </w:p>
        </w:tc>
        <w:tc>
          <w:tcPr>
            <w:tcW w:w="0" w:type="auto"/>
            <w:tcBorders>
              <w:top w:val="single" w:sz="8" w:space="0" w:color="000000"/>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Distance to potable water wells (km)</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-0.13(0.01)***</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rFonts w:ascii="Lucida Console" w:hAnsi="Lucida Console"/>
                <w:color w:val="000000"/>
                <w:sz w:val="24"/>
                <w:szCs w:val="24"/>
              </w:rPr>
            </w:pPr>
            <w:r w:rsidRPr="00463566">
              <w:rPr>
                <w:rFonts w:ascii="Lucida Console" w:hAnsi="Lucida Console"/>
                <w:color w:val="000000"/>
                <w:sz w:val="24"/>
                <w:szCs w:val="24"/>
              </w:rPr>
              <w:t>-1.009</w:t>
            </w:r>
          </w:p>
        </w:tc>
      </w:tr>
      <w:tr w:rsidR="00FC36B1" w:rsidRPr="00463566" w:rsidTr="00212C20">
        <w:trPr>
          <w:trHeight w:val="537"/>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Ground water abstraction rates (gallon/min)</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0.0(0.0)***</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-0.424</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Enhanced Vegetation Index (1-0)</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2.11(0.28)***</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rFonts w:ascii="Calibri" w:hAnsi="Calibri"/>
                <w:color w:val="000000"/>
                <w:sz w:val="24"/>
                <w:szCs w:val="24"/>
              </w:rPr>
            </w:pPr>
            <w:r w:rsidRPr="00463566">
              <w:rPr>
                <w:rFonts w:ascii="Calibri" w:hAnsi="Calibri"/>
                <w:color w:val="000000"/>
                <w:sz w:val="24"/>
                <w:szCs w:val="24"/>
              </w:rPr>
              <w:t>0.791</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Cost/distance to urban (hours)</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-0.72(0.12)***</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-0.627</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Population/mile (100*)</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-0.09(0.06)</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-0.085</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Average annual minimum temperature</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-0.13(0.01)***</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-1.067</w:t>
            </w:r>
          </w:p>
        </w:tc>
      </w:tr>
      <w:tr w:rsidR="00FC36B1" w:rsidRPr="00463566" w:rsidTr="00212C20">
        <w:trPr>
          <w:trHeight w:val="621"/>
          <w:jc w:val="center"/>
        </w:trPr>
        <w:tc>
          <w:tcPr>
            <w:tcW w:w="0" w:type="auto"/>
            <w:tcBorders>
              <w:top w:val="nil"/>
              <w:left w:val="nil"/>
              <w:bottom w:val="nil"/>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Percent forested land</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-2.41(0.09)***</w:t>
            </w:r>
          </w:p>
        </w:tc>
        <w:tc>
          <w:tcPr>
            <w:tcW w:w="0" w:type="auto"/>
            <w:tcBorders>
              <w:top w:val="nil"/>
              <w:left w:val="nil"/>
              <w:bottom w:val="nil"/>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sz w:val="24"/>
                <w:szCs w:val="24"/>
              </w:rPr>
            </w:pPr>
            <w:r w:rsidRPr="00463566">
              <w:rPr>
                <w:rFonts w:ascii="Calibri" w:hAnsi="Calibri"/>
                <w:color w:val="000000"/>
                <w:sz w:val="24"/>
                <w:szCs w:val="24"/>
              </w:rPr>
              <w:t>-2.076</w:t>
            </w:r>
          </w:p>
        </w:tc>
      </w:tr>
      <w:tr w:rsidR="00FC36B1" w:rsidRPr="00463566" w:rsidTr="00212C20">
        <w:trPr>
          <w:trHeight w:val="585"/>
          <w:jc w:val="center"/>
        </w:trPr>
        <w:tc>
          <w:tcPr>
            <w:tcW w:w="0" w:type="auto"/>
            <w:tcBorders>
              <w:top w:val="nil"/>
              <w:left w:val="nil"/>
              <w:bottom w:val="single" w:sz="8" w:space="0" w:color="000000"/>
              <w:right w:val="nil"/>
            </w:tcBorders>
            <w:shd w:val="clear" w:color="auto" w:fill="auto"/>
            <w:tcMar>
              <w:top w:w="72" w:type="dxa"/>
              <w:left w:w="144" w:type="dxa"/>
              <w:bottom w:w="72" w:type="dxa"/>
              <w:right w:w="144" w:type="dxa"/>
            </w:tcMar>
          </w:tcPr>
          <w:p w:rsidR="00FC36B1" w:rsidRPr="00463566" w:rsidRDefault="00FC36B1" w:rsidP="004F3A7F">
            <w:pPr>
              <w:spacing w:line="240" w:lineRule="auto"/>
              <w:rPr>
                <w:sz w:val="24"/>
                <w:szCs w:val="24"/>
              </w:rPr>
            </w:pPr>
            <w:r w:rsidRPr="00463566">
              <w:rPr>
                <w:sz w:val="24"/>
                <w:szCs w:val="24"/>
              </w:rPr>
              <w:t>Agricultural suitability</w:t>
            </w:r>
          </w:p>
        </w:tc>
        <w:tc>
          <w:tcPr>
            <w:tcW w:w="0" w:type="auto"/>
            <w:tcBorders>
              <w:top w:val="nil"/>
              <w:left w:val="nil"/>
              <w:bottom w:val="single" w:sz="8" w:space="0" w:color="000000"/>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rFonts w:ascii="Calibri" w:hAnsi="Calibri"/>
                <w:color w:val="000000"/>
                <w:sz w:val="24"/>
                <w:szCs w:val="24"/>
              </w:rPr>
            </w:pPr>
            <w:r w:rsidRPr="00463566">
              <w:rPr>
                <w:rFonts w:ascii="Calibri" w:hAnsi="Calibri"/>
                <w:color w:val="000000"/>
                <w:sz w:val="24"/>
                <w:szCs w:val="24"/>
              </w:rPr>
              <w:t>0.16(0.08</w:t>
            </w:r>
            <w:proofErr w:type="gramStart"/>
            <w:r w:rsidRPr="00463566">
              <w:rPr>
                <w:rFonts w:ascii="Calibri" w:hAnsi="Calibri"/>
                <w:color w:val="000000"/>
                <w:sz w:val="24"/>
                <w:szCs w:val="24"/>
              </w:rPr>
              <w:t>)</w:t>
            </w:r>
            <w:r w:rsidRPr="00463566">
              <w:rPr>
                <w:sz w:val="24"/>
                <w:szCs w:val="24"/>
              </w:rPr>
              <w:t xml:space="preserve"> </w:t>
            </w:r>
            <w:r w:rsidRPr="00463566">
              <w:rPr>
                <w:b/>
                <w:sz w:val="24"/>
                <w:szCs w:val="24"/>
                <w:vertAlign w:val="superscript"/>
              </w:rPr>
              <w:t>.</w:t>
            </w:r>
            <w:proofErr w:type="gramEnd"/>
          </w:p>
          <w:p w:rsidR="00FC36B1" w:rsidRPr="00463566" w:rsidRDefault="00FC36B1" w:rsidP="004F3A7F">
            <w:pPr>
              <w:spacing w:line="240" w:lineRule="auto"/>
              <w:jc w:val="right"/>
              <w:rPr>
                <w:sz w:val="24"/>
                <w:szCs w:val="24"/>
              </w:rPr>
            </w:pPr>
          </w:p>
        </w:tc>
        <w:tc>
          <w:tcPr>
            <w:tcW w:w="0" w:type="auto"/>
            <w:tcBorders>
              <w:top w:val="nil"/>
              <w:left w:val="nil"/>
              <w:bottom w:val="single" w:sz="8" w:space="0" w:color="000000"/>
              <w:right w:val="nil"/>
            </w:tcBorders>
            <w:shd w:val="clear" w:color="auto" w:fill="auto"/>
            <w:tcMar>
              <w:top w:w="10" w:type="dxa"/>
              <w:left w:w="10" w:type="dxa"/>
              <w:bottom w:w="0" w:type="dxa"/>
              <w:right w:w="10" w:type="dxa"/>
            </w:tcMar>
            <w:vAlign w:val="bottom"/>
          </w:tcPr>
          <w:p w:rsidR="00FC36B1" w:rsidRPr="00463566" w:rsidRDefault="00FC36B1" w:rsidP="004F3A7F">
            <w:pPr>
              <w:spacing w:line="240" w:lineRule="auto"/>
              <w:jc w:val="right"/>
              <w:rPr>
                <w:rFonts w:ascii="Calibri" w:hAnsi="Calibri"/>
                <w:color w:val="000000"/>
                <w:sz w:val="24"/>
                <w:szCs w:val="24"/>
              </w:rPr>
            </w:pPr>
            <w:r w:rsidRPr="00463566">
              <w:rPr>
                <w:rFonts w:ascii="Calibri" w:hAnsi="Calibri"/>
                <w:color w:val="000000"/>
                <w:sz w:val="24"/>
                <w:szCs w:val="24"/>
              </w:rPr>
              <w:t>0.122</w:t>
            </w:r>
          </w:p>
          <w:p w:rsidR="00FC36B1" w:rsidRPr="00463566" w:rsidRDefault="00FC36B1" w:rsidP="004F3A7F">
            <w:pPr>
              <w:spacing w:line="240" w:lineRule="auto"/>
              <w:jc w:val="right"/>
              <w:rPr>
                <w:sz w:val="24"/>
                <w:szCs w:val="24"/>
              </w:rPr>
            </w:pPr>
          </w:p>
        </w:tc>
      </w:tr>
    </w:tbl>
    <w:p w:rsidR="00FC36B1" w:rsidRPr="00463566" w:rsidRDefault="00FC36B1" w:rsidP="004F3A7F">
      <w:pPr>
        <w:spacing w:line="240" w:lineRule="auto"/>
        <w:rPr>
          <w:sz w:val="24"/>
          <w:szCs w:val="24"/>
        </w:rPr>
      </w:pPr>
    </w:p>
    <w:p w:rsidR="004F3A7F" w:rsidRDefault="004F3A7F" w:rsidP="004F3A7F">
      <w:pPr>
        <w:spacing w:line="240" w:lineRule="auto"/>
        <w:rPr>
          <w:sz w:val="24"/>
          <w:szCs w:val="24"/>
        </w:rPr>
      </w:pPr>
      <w:r>
        <w:rPr>
          <w:sz w:val="24"/>
          <w:szCs w:val="24"/>
        </w:rPr>
        <w:br w:type="page"/>
      </w:r>
    </w:p>
    <w:p w:rsidR="00FC36B1" w:rsidRPr="00463566" w:rsidRDefault="00FC36B1" w:rsidP="004F3A7F">
      <w:pPr>
        <w:spacing w:line="240" w:lineRule="auto"/>
        <w:rPr>
          <w:sz w:val="24"/>
          <w:szCs w:val="24"/>
        </w:rPr>
      </w:pPr>
      <w:r w:rsidRPr="00463566">
        <w:rPr>
          <w:sz w:val="24"/>
          <w:szCs w:val="24"/>
        </w:rPr>
        <w:lastRenderedPageBreak/>
        <w:t xml:space="preserve">Supplemental </w:t>
      </w:r>
      <w:r w:rsidR="00761E0A">
        <w:rPr>
          <w:sz w:val="24"/>
          <w:szCs w:val="24"/>
        </w:rPr>
        <w:t>t</w:t>
      </w:r>
      <w:r w:rsidRPr="00463566">
        <w:rPr>
          <w:sz w:val="24"/>
          <w:szCs w:val="24"/>
        </w:rPr>
        <w:t xml:space="preserve">able </w:t>
      </w:r>
      <w:r w:rsidR="003C218C">
        <w:rPr>
          <w:sz w:val="24"/>
          <w:szCs w:val="24"/>
        </w:rPr>
        <w:t>4</w:t>
      </w:r>
      <w:r w:rsidRPr="00463566">
        <w:rPr>
          <w:sz w:val="24"/>
          <w:szCs w:val="24"/>
        </w:rPr>
        <w:t xml:space="preserve">. </w:t>
      </w:r>
    </w:p>
    <w:tbl>
      <w:tblPr>
        <w:tblW w:w="0" w:type="auto"/>
        <w:jc w:val="center"/>
        <w:tblCellMar>
          <w:left w:w="0" w:type="dxa"/>
          <w:right w:w="0" w:type="dxa"/>
        </w:tblCellMar>
        <w:tblLook w:val="0420"/>
      </w:tblPr>
      <w:tblGrid>
        <w:gridCol w:w="4261"/>
        <w:gridCol w:w="1449"/>
        <w:gridCol w:w="1072"/>
      </w:tblGrid>
      <w:tr w:rsidR="00FC36B1" w:rsidRPr="00463566" w:rsidTr="00212C20">
        <w:trPr>
          <w:trHeight w:val="358"/>
          <w:jc w:val="center"/>
        </w:trPr>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rPr>
                <w:sz w:val="24"/>
                <w:szCs w:val="24"/>
              </w:rPr>
            </w:pPr>
            <w:r w:rsidRPr="00463566">
              <w:rPr>
                <w:sz w:val="24"/>
                <w:szCs w:val="24"/>
              </w:rPr>
              <w:br w:type="page"/>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jc w:val="right"/>
              <w:rPr>
                <w:sz w:val="24"/>
                <w:szCs w:val="24"/>
              </w:rPr>
            </w:pPr>
            <w:r w:rsidRPr="00463566">
              <w:rPr>
                <w:sz w:val="24"/>
                <w:szCs w:val="24"/>
              </w:rPr>
              <w:t>Estimate</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C36B1" w:rsidRPr="00463566" w:rsidRDefault="00FC36B1" w:rsidP="004F3A7F">
            <w:pPr>
              <w:spacing w:line="240" w:lineRule="auto"/>
              <w:jc w:val="right"/>
              <w:rPr>
                <w:sz w:val="24"/>
                <w:szCs w:val="24"/>
              </w:rPr>
            </w:pPr>
            <w:r w:rsidRPr="00463566">
              <w:rPr>
                <w:sz w:val="24"/>
                <w:szCs w:val="24"/>
              </w:rPr>
              <w:t>Std. Est.</w:t>
            </w:r>
          </w:p>
        </w:tc>
      </w:tr>
      <w:tr w:rsidR="00FC36B1" w:rsidRPr="00463566" w:rsidTr="00212C20">
        <w:trPr>
          <w:trHeight w:val="241"/>
          <w:jc w:val="center"/>
        </w:trPr>
        <w:tc>
          <w:tcPr>
            <w:tcW w:w="0" w:type="auto"/>
            <w:tcBorders>
              <w:top w:val="single" w:sz="8" w:space="0" w:color="000000"/>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Intercept</w:t>
            </w:r>
          </w:p>
        </w:tc>
        <w:tc>
          <w:tcPr>
            <w:tcW w:w="0" w:type="auto"/>
            <w:tcBorders>
              <w:top w:val="single" w:sz="8" w:space="0" w:color="000000"/>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3.61(0.94)***</w:t>
            </w:r>
          </w:p>
        </w:tc>
        <w:tc>
          <w:tcPr>
            <w:tcW w:w="0" w:type="auto"/>
            <w:tcBorders>
              <w:top w:val="single" w:sz="8" w:space="0" w:color="000000"/>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Distance to lakes and rivers (km)</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-1.02(0.16)***</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-1.47</w:t>
            </w:r>
          </w:p>
        </w:tc>
      </w:tr>
      <w:tr w:rsidR="00FC36B1" w:rsidRPr="00463566" w:rsidTr="00212C20">
        <w:trPr>
          <w:trHeight w:val="537"/>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Distance to potable water wells (km)</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-0.26(0.03)***</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-1.63</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Travel time to large urban centers (hour)</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1.00(0.22)***</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0.75</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Forest 250m (%)</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-2.31(0.22)***</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-1.91</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Farm suitability (SSURGO)</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-0.5(0.26</w:t>
            </w:r>
            <w:proofErr w:type="gramStart"/>
            <w:r w:rsidRPr="00463566">
              <w:rPr>
                <w:sz w:val="24"/>
                <w:szCs w:val="24"/>
              </w:rPr>
              <w:t xml:space="preserve">) </w:t>
            </w:r>
            <w:r w:rsidRPr="00463566">
              <w:rPr>
                <w:b/>
                <w:sz w:val="24"/>
                <w:szCs w:val="24"/>
                <w:vertAlign w:val="superscript"/>
              </w:rPr>
              <w:t>.</w:t>
            </w:r>
            <w:proofErr w:type="gramEnd"/>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-0.34</w:t>
            </w:r>
          </w:p>
        </w:tc>
      </w:tr>
      <w:tr w:rsidR="00FC36B1" w:rsidRPr="00463566" w:rsidTr="00212C20">
        <w:trPr>
          <w:trHeight w:val="383"/>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Average minimum temperature</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-0.04(0.02</w:t>
            </w:r>
            <w:proofErr w:type="gramStart"/>
            <w:r w:rsidRPr="00463566">
              <w:rPr>
                <w:sz w:val="24"/>
                <w:szCs w:val="24"/>
              </w:rPr>
              <w:t>)</w:t>
            </w:r>
            <w:r w:rsidRPr="00463566">
              <w:rPr>
                <w:b/>
                <w:sz w:val="24"/>
                <w:szCs w:val="24"/>
                <w:vertAlign w:val="superscript"/>
              </w:rPr>
              <w:t xml:space="preserve"> .</w:t>
            </w:r>
            <w:proofErr w:type="gramEnd"/>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-0.30</w:t>
            </w:r>
          </w:p>
        </w:tc>
      </w:tr>
      <w:tr w:rsidR="00FC36B1" w:rsidRPr="00463566" w:rsidTr="00212C20">
        <w:trPr>
          <w:trHeight w:val="622"/>
          <w:jc w:val="center"/>
        </w:trPr>
        <w:tc>
          <w:tcPr>
            <w:tcW w:w="0" w:type="auto"/>
            <w:tcBorders>
              <w:top w:val="nil"/>
              <w:left w:val="nil"/>
              <w:bottom w:val="nil"/>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Distance to protected areas (km)</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-0.13(0.02)***</w:t>
            </w:r>
          </w:p>
        </w:tc>
        <w:tc>
          <w:tcPr>
            <w:tcW w:w="0" w:type="auto"/>
            <w:tcBorders>
              <w:top w:val="nil"/>
              <w:left w:val="nil"/>
              <w:bottom w:val="nil"/>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-1.49</w:t>
            </w:r>
          </w:p>
        </w:tc>
      </w:tr>
      <w:tr w:rsidR="00FC36B1" w:rsidRPr="00463566" w:rsidTr="00212C20">
        <w:trPr>
          <w:trHeight w:val="383"/>
          <w:jc w:val="center"/>
        </w:trPr>
        <w:tc>
          <w:tcPr>
            <w:tcW w:w="0" w:type="auto"/>
            <w:tcBorders>
              <w:top w:val="nil"/>
              <w:left w:val="nil"/>
              <w:bottom w:val="single" w:sz="8" w:space="0" w:color="000000"/>
              <w:right w:val="nil"/>
            </w:tcBorders>
            <w:shd w:val="clear" w:color="auto" w:fill="auto"/>
            <w:tcMar>
              <w:top w:w="72" w:type="dxa"/>
              <w:left w:w="144" w:type="dxa"/>
              <w:bottom w:w="72" w:type="dxa"/>
              <w:right w:w="144" w:type="dxa"/>
            </w:tcMar>
            <w:vAlign w:val="center"/>
          </w:tcPr>
          <w:p w:rsidR="00FC36B1" w:rsidRPr="00463566" w:rsidRDefault="00FC36B1" w:rsidP="004F3A7F">
            <w:pPr>
              <w:spacing w:line="240" w:lineRule="auto"/>
              <w:rPr>
                <w:sz w:val="24"/>
                <w:szCs w:val="24"/>
              </w:rPr>
            </w:pPr>
            <w:r w:rsidRPr="00463566">
              <w:rPr>
                <w:sz w:val="24"/>
                <w:szCs w:val="24"/>
              </w:rPr>
              <w:t>Distance to attractions (km)</w:t>
            </w:r>
          </w:p>
        </w:tc>
        <w:tc>
          <w:tcPr>
            <w:tcW w:w="0" w:type="auto"/>
            <w:tcBorders>
              <w:top w:val="nil"/>
              <w:left w:val="nil"/>
              <w:bottom w:val="single" w:sz="8" w:space="0" w:color="000000"/>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-0.02(0.01)**</w:t>
            </w:r>
          </w:p>
        </w:tc>
        <w:tc>
          <w:tcPr>
            <w:tcW w:w="0" w:type="auto"/>
            <w:tcBorders>
              <w:top w:val="nil"/>
              <w:left w:val="nil"/>
              <w:bottom w:val="single" w:sz="8" w:space="0" w:color="000000"/>
              <w:right w:val="nil"/>
            </w:tcBorders>
            <w:shd w:val="clear" w:color="auto" w:fill="auto"/>
            <w:tcMar>
              <w:top w:w="10" w:type="dxa"/>
              <w:left w:w="10" w:type="dxa"/>
              <w:bottom w:w="0" w:type="dxa"/>
              <w:right w:w="10" w:type="dxa"/>
            </w:tcMar>
            <w:vAlign w:val="center"/>
          </w:tcPr>
          <w:p w:rsidR="00FC36B1" w:rsidRPr="00463566" w:rsidRDefault="00FC36B1" w:rsidP="004F3A7F">
            <w:pPr>
              <w:spacing w:line="240" w:lineRule="auto"/>
              <w:jc w:val="right"/>
              <w:rPr>
                <w:sz w:val="24"/>
                <w:szCs w:val="24"/>
              </w:rPr>
            </w:pPr>
            <w:r w:rsidRPr="00463566">
              <w:rPr>
                <w:sz w:val="24"/>
                <w:szCs w:val="24"/>
              </w:rPr>
              <w:t>-0.55</w:t>
            </w:r>
          </w:p>
        </w:tc>
      </w:tr>
    </w:tbl>
    <w:p w:rsidR="001D082E" w:rsidRDefault="001D082E" w:rsidP="004F3A7F">
      <w:pPr>
        <w:spacing w:line="240" w:lineRule="auto"/>
        <w:rPr>
          <w:sz w:val="24"/>
          <w:szCs w:val="24"/>
        </w:rPr>
      </w:pPr>
    </w:p>
    <w:p w:rsidR="005E16A6" w:rsidRDefault="001D082E">
      <w:pPr>
        <w:rPr>
          <w:sz w:val="24"/>
          <w:szCs w:val="24"/>
        </w:rPr>
      </w:pPr>
      <w:r>
        <w:rPr>
          <w:sz w:val="24"/>
          <w:szCs w:val="24"/>
        </w:rPr>
        <w:br w:type="page"/>
      </w:r>
    </w:p>
    <w:p w:rsidR="001D082E" w:rsidRPr="00254C85" w:rsidRDefault="005E16A6">
      <w:pPr>
        <w:rPr>
          <w:b/>
          <w:sz w:val="24"/>
          <w:szCs w:val="24"/>
        </w:rPr>
      </w:pPr>
      <w:r w:rsidRPr="00254C85">
        <w:rPr>
          <w:b/>
          <w:sz w:val="24"/>
          <w:szCs w:val="24"/>
        </w:rPr>
        <w:lastRenderedPageBreak/>
        <w:t>Supplemental Figures:</w:t>
      </w:r>
    </w:p>
    <w:p w:rsidR="005E16A6" w:rsidRDefault="005E16A6" w:rsidP="005E16A6">
      <w:pPr>
        <w:spacing w:line="480" w:lineRule="auto"/>
        <w:rPr>
          <w:sz w:val="24"/>
          <w:szCs w:val="24"/>
        </w:rPr>
      </w:pPr>
      <w:r w:rsidRPr="004A16B5">
        <w:rPr>
          <w:sz w:val="24"/>
          <w:szCs w:val="24"/>
        </w:rPr>
        <w:t>Supplemental Figure 1.</w:t>
      </w:r>
      <w:r>
        <w:rPr>
          <w:sz w:val="24"/>
          <w:szCs w:val="24"/>
        </w:rPr>
        <w:t xml:space="preserve"> </w:t>
      </w:r>
      <w:r w:rsidRPr="00463566">
        <w:rPr>
          <w:sz w:val="24"/>
          <w:szCs w:val="24"/>
        </w:rPr>
        <w:t>A sample sub-region</w:t>
      </w:r>
      <w:r>
        <w:rPr>
          <w:sz w:val="24"/>
          <w:szCs w:val="24"/>
        </w:rPr>
        <w:t xml:space="preserve"> </w:t>
      </w:r>
      <w:r w:rsidRPr="00463566">
        <w:rPr>
          <w:sz w:val="24"/>
          <w:szCs w:val="24"/>
        </w:rPr>
        <w:t>depict</w:t>
      </w:r>
      <w:r>
        <w:rPr>
          <w:sz w:val="24"/>
          <w:szCs w:val="24"/>
        </w:rPr>
        <w:t xml:space="preserve">ing carbon sequestration for </w:t>
      </w:r>
      <w:r w:rsidRPr="00463566">
        <w:rPr>
          <w:sz w:val="24"/>
          <w:szCs w:val="24"/>
        </w:rPr>
        <w:t>(</w:t>
      </w:r>
      <w:r w:rsidRPr="00463566">
        <w:rPr>
          <w:i/>
          <w:sz w:val="24"/>
          <w:szCs w:val="24"/>
        </w:rPr>
        <w:t xml:space="preserve">clockwise from top left) </w:t>
      </w:r>
      <w:r>
        <w:rPr>
          <w:sz w:val="24"/>
          <w:szCs w:val="24"/>
        </w:rPr>
        <w:t>(a) initial conditions (2006)</w:t>
      </w:r>
      <w:r w:rsidRPr="00463566">
        <w:rPr>
          <w:sz w:val="24"/>
          <w:szCs w:val="24"/>
        </w:rPr>
        <w:t>, and three simulations of urban growth with different spatial configurations of (b) maintaini</w:t>
      </w:r>
      <w:r>
        <w:rPr>
          <w:sz w:val="24"/>
          <w:szCs w:val="24"/>
        </w:rPr>
        <w:t>ng status quo growth, (c) infill</w:t>
      </w:r>
      <w:r w:rsidRPr="00463566">
        <w:rPr>
          <w:sz w:val="24"/>
          <w:szCs w:val="24"/>
        </w:rPr>
        <w:t xml:space="preserve">, and (d) </w:t>
      </w:r>
      <w:r>
        <w:rPr>
          <w:sz w:val="24"/>
          <w:szCs w:val="24"/>
        </w:rPr>
        <w:t>sprawl</w:t>
      </w:r>
      <w:r w:rsidRPr="00463566">
        <w:rPr>
          <w:sz w:val="24"/>
          <w:szCs w:val="24"/>
        </w:rPr>
        <w:t>. Note that all three scenarios</w:t>
      </w:r>
      <w:r>
        <w:rPr>
          <w:sz w:val="24"/>
          <w:szCs w:val="24"/>
        </w:rPr>
        <w:t xml:space="preserve"> (b-d)</w:t>
      </w:r>
      <w:r w:rsidRPr="00463566">
        <w:rPr>
          <w:sz w:val="24"/>
          <w:szCs w:val="24"/>
        </w:rPr>
        <w:t xml:space="preserve"> have</w:t>
      </w:r>
      <w:r>
        <w:rPr>
          <w:sz w:val="24"/>
          <w:szCs w:val="24"/>
        </w:rPr>
        <w:t xml:space="preserve"> approximately</w:t>
      </w:r>
      <w:r w:rsidRPr="00463566">
        <w:rPr>
          <w:sz w:val="24"/>
          <w:szCs w:val="24"/>
        </w:rPr>
        <w:t xml:space="preserve"> the same amount of land converted but in very different visual configurations that are less obvious from landscape perspectives.</w:t>
      </w:r>
    </w:p>
    <w:p w:rsidR="005E16A6" w:rsidRPr="004A16B5" w:rsidRDefault="005E16A6" w:rsidP="005E16A6">
      <w:pPr>
        <w:spacing w:line="480" w:lineRule="auto"/>
        <w:rPr>
          <w:sz w:val="24"/>
          <w:szCs w:val="24"/>
        </w:rPr>
      </w:pPr>
      <w:r w:rsidRPr="004A16B5">
        <w:rPr>
          <w:sz w:val="24"/>
          <w:szCs w:val="24"/>
        </w:rPr>
        <w:t>Supplemental Figure 2.</w:t>
      </w:r>
      <w:r>
        <w:rPr>
          <w:sz w:val="24"/>
          <w:szCs w:val="24"/>
        </w:rPr>
        <w:t xml:space="preserve"> </w:t>
      </w:r>
      <w:r w:rsidRPr="00463566">
        <w:rPr>
          <w:sz w:val="24"/>
          <w:szCs w:val="24"/>
        </w:rPr>
        <w:t>A sample sub-region</w:t>
      </w:r>
      <w:r>
        <w:rPr>
          <w:sz w:val="24"/>
          <w:szCs w:val="24"/>
        </w:rPr>
        <w:t xml:space="preserve"> </w:t>
      </w:r>
      <w:r w:rsidRPr="00463566">
        <w:rPr>
          <w:sz w:val="24"/>
          <w:szCs w:val="24"/>
        </w:rPr>
        <w:t>depict</w:t>
      </w:r>
      <w:r>
        <w:rPr>
          <w:sz w:val="24"/>
          <w:szCs w:val="24"/>
        </w:rPr>
        <w:t xml:space="preserve">ing surface water runoff for </w:t>
      </w:r>
      <w:r w:rsidRPr="00463566">
        <w:rPr>
          <w:sz w:val="24"/>
          <w:szCs w:val="24"/>
        </w:rPr>
        <w:t>(</w:t>
      </w:r>
      <w:r w:rsidRPr="00463566">
        <w:rPr>
          <w:i/>
          <w:sz w:val="24"/>
          <w:szCs w:val="24"/>
        </w:rPr>
        <w:t xml:space="preserve">clockwise from top left) </w:t>
      </w:r>
      <w:r>
        <w:rPr>
          <w:sz w:val="24"/>
          <w:szCs w:val="24"/>
        </w:rPr>
        <w:t>(a) initial conditions (2006)</w:t>
      </w:r>
      <w:r w:rsidRPr="00463566">
        <w:rPr>
          <w:sz w:val="24"/>
          <w:szCs w:val="24"/>
        </w:rPr>
        <w:t>, and three simulations of urban growth with different spatial configurations of (b) maintaini</w:t>
      </w:r>
      <w:r>
        <w:rPr>
          <w:sz w:val="24"/>
          <w:szCs w:val="24"/>
        </w:rPr>
        <w:t>ng status quo growth, (c) infill</w:t>
      </w:r>
      <w:r w:rsidRPr="00463566">
        <w:rPr>
          <w:sz w:val="24"/>
          <w:szCs w:val="24"/>
        </w:rPr>
        <w:t xml:space="preserve">, and (d) </w:t>
      </w:r>
      <w:r>
        <w:rPr>
          <w:sz w:val="24"/>
          <w:szCs w:val="24"/>
        </w:rPr>
        <w:t>sprawl</w:t>
      </w:r>
      <w:r w:rsidRPr="00463566">
        <w:rPr>
          <w:sz w:val="24"/>
          <w:szCs w:val="24"/>
        </w:rPr>
        <w:t>. Note that all three scenarios</w:t>
      </w:r>
      <w:r>
        <w:rPr>
          <w:sz w:val="24"/>
          <w:szCs w:val="24"/>
        </w:rPr>
        <w:t xml:space="preserve"> (b-d)</w:t>
      </w:r>
      <w:r w:rsidRPr="00463566">
        <w:rPr>
          <w:sz w:val="24"/>
          <w:szCs w:val="24"/>
        </w:rPr>
        <w:t xml:space="preserve"> have</w:t>
      </w:r>
      <w:r>
        <w:rPr>
          <w:sz w:val="24"/>
          <w:szCs w:val="24"/>
        </w:rPr>
        <w:t xml:space="preserve"> approximately</w:t>
      </w:r>
      <w:r w:rsidRPr="00463566">
        <w:rPr>
          <w:sz w:val="24"/>
          <w:szCs w:val="24"/>
        </w:rPr>
        <w:t xml:space="preserve"> the same amount of land converted but in very different visual configu</w:t>
      </w:r>
      <w:r w:rsidRPr="004A16B5">
        <w:rPr>
          <w:sz w:val="24"/>
          <w:szCs w:val="24"/>
        </w:rPr>
        <w:t>rations that are less obvious from landscape perspectives.</w:t>
      </w:r>
    </w:p>
    <w:p w:rsidR="005E16A6" w:rsidRPr="004A16B5" w:rsidRDefault="005E16A6" w:rsidP="005E16A6">
      <w:pPr>
        <w:spacing w:line="480" w:lineRule="auto"/>
        <w:rPr>
          <w:sz w:val="24"/>
          <w:szCs w:val="24"/>
        </w:rPr>
      </w:pPr>
      <w:r w:rsidRPr="004A16B5">
        <w:rPr>
          <w:sz w:val="24"/>
          <w:szCs w:val="24"/>
        </w:rPr>
        <w:t>Supplemental Figure 3. A sample sub-region depicting nitrogen export for (</w:t>
      </w:r>
      <w:r w:rsidRPr="004A16B5">
        <w:rPr>
          <w:i/>
          <w:sz w:val="24"/>
          <w:szCs w:val="24"/>
        </w:rPr>
        <w:t xml:space="preserve">clockwise from top left) </w:t>
      </w:r>
      <w:r w:rsidRPr="004A16B5">
        <w:rPr>
          <w:sz w:val="24"/>
          <w:szCs w:val="24"/>
        </w:rPr>
        <w:t>(a) initial conditions (2006), and three simulations of urban growth with different spatial configurations of (b) maintaining status quo growth, (c) infill, and (d) sprawl. Note that all three scenarios (b-d) have approximately the same amount of land converted but in very different visual configurations that are less obvious from landscape perspectives.</w:t>
      </w:r>
    </w:p>
    <w:p w:rsidR="005E16A6" w:rsidRPr="004A16B5" w:rsidRDefault="005E16A6" w:rsidP="005E16A6">
      <w:pPr>
        <w:spacing w:line="480" w:lineRule="auto"/>
        <w:rPr>
          <w:sz w:val="24"/>
          <w:szCs w:val="24"/>
        </w:rPr>
      </w:pPr>
      <w:r w:rsidRPr="004A16B5">
        <w:rPr>
          <w:sz w:val="24"/>
          <w:szCs w:val="24"/>
        </w:rPr>
        <w:t xml:space="preserve">Supplemental Figure </w:t>
      </w:r>
      <w:r w:rsidR="00254C85" w:rsidRPr="004A16B5">
        <w:rPr>
          <w:sz w:val="24"/>
          <w:szCs w:val="24"/>
        </w:rPr>
        <w:t>4</w:t>
      </w:r>
      <w:r w:rsidRPr="004A16B5">
        <w:rPr>
          <w:sz w:val="24"/>
          <w:szCs w:val="24"/>
        </w:rPr>
        <w:t>. A sample sub-region depicting phosphorus export for (</w:t>
      </w:r>
      <w:r w:rsidRPr="004A16B5">
        <w:rPr>
          <w:i/>
          <w:sz w:val="24"/>
          <w:szCs w:val="24"/>
        </w:rPr>
        <w:t xml:space="preserve">clockwise from top left) </w:t>
      </w:r>
      <w:r w:rsidRPr="004A16B5">
        <w:rPr>
          <w:sz w:val="24"/>
          <w:szCs w:val="24"/>
        </w:rPr>
        <w:t>(a) initial conditions (2006), and three simulations of urban growth with different spatial configurations of (b) maintaining status quo growth, (c) infill, and (d) sprawl. Note that all three scenarios (b-d) have approximately the same amount of land converted but in very different visual configurations that are less obvious from landscape perspectives.</w:t>
      </w:r>
    </w:p>
    <w:p w:rsidR="00254C85" w:rsidRPr="004A16B5" w:rsidRDefault="00254C85" w:rsidP="00254C85">
      <w:pPr>
        <w:spacing w:line="480" w:lineRule="auto"/>
        <w:rPr>
          <w:sz w:val="24"/>
          <w:szCs w:val="24"/>
        </w:rPr>
      </w:pPr>
      <w:r w:rsidRPr="004A16B5">
        <w:rPr>
          <w:sz w:val="24"/>
          <w:szCs w:val="24"/>
        </w:rPr>
        <w:lastRenderedPageBreak/>
        <w:t>Supplemental Figure 5. A sample sub-region depicting site suitability of organic farming for (</w:t>
      </w:r>
      <w:r w:rsidRPr="004A16B5">
        <w:rPr>
          <w:i/>
          <w:sz w:val="24"/>
          <w:szCs w:val="24"/>
        </w:rPr>
        <w:t xml:space="preserve">clockwise from top left) </w:t>
      </w:r>
      <w:r w:rsidRPr="004A16B5">
        <w:rPr>
          <w:sz w:val="24"/>
          <w:szCs w:val="24"/>
        </w:rPr>
        <w:t>(a) initial conditions (2006), and three simulations of urban growth with different spatial configurations of (b) maintaining status quo growth, (c) infill, and (d) sprawl. Note that all three scenarios (b-d) have approximately the same amount of land converted but in very different visual configurations that are less obvious from landscape perspectives.</w:t>
      </w:r>
    </w:p>
    <w:p w:rsidR="00254C85" w:rsidRPr="00463566" w:rsidRDefault="00254C85" w:rsidP="00254C85">
      <w:pPr>
        <w:spacing w:line="480" w:lineRule="auto"/>
        <w:rPr>
          <w:sz w:val="24"/>
          <w:szCs w:val="24"/>
        </w:rPr>
      </w:pPr>
      <w:r w:rsidRPr="004A16B5">
        <w:rPr>
          <w:sz w:val="24"/>
          <w:szCs w:val="24"/>
        </w:rPr>
        <w:t>Supplemental Figure 6. A sample sub-region depicting site suitability of camping for (</w:t>
      </w:r>
      <w:r w:rsidRPr="004A16B5">
        <w:rPr>
          <w:i/>
          <w:sz w:val="24"/>
          <w:szCs w:val="24"/>
        </w:rPr>
        <w:t xml:space="preserve">clockwise from top left) </w:t>
      </w:r>
      <w:r w:rsidRPr="004A16B5">
        <w:rPr>
          <w:sz w:val="24"/>
          <w:szCs w:val="24"/>
        </w:rPr>
        <w:t>(a) initial conditions (2006), and three simulations of urban growth with different spatial configurations of (b) maintaining status quo growth, (c) infill, and (d) sprawl. Note that all three scenarios (b-d) have approximately the same amount of land converted but in very different visual configu</w:t>
      </w:r>
      <w:r w:rsidRPr="00463566">
        <w:rPr>
          <w:sz w:val="24"/>
          <w:szCs w:val="24"/>
        </w:rPr>
        <w:t>rations that are less obvious from landscape perspectives.</w:t>
      </w:r>
    </w:p>
    <w:p w:rsidR="005E16A6" w:rsidRDefault="005E16A6">
      <w:pPr>
        <w:rPr>
          <w:sz w:val="24"/>
          <w:szCs w:val="24"/>
        </w:rPr>
      </w:pPr>
      <w:r>
        <w:rPr>
          <w:sz w:val="24"/>
          <w:szCs w:val="24"/>
        </w:rPr>
        <w:br w:type="page"/>
      </w:r>
    </w:p>
    <w:p w:rsidR="00FC36B1" w:rsidRDefault="001D082E" w:rsidP="004F3A7F">
      <w:pPr>
        <w:spacing w:line="240" w:lineRule="auto"/>
        <w:rPr>
          <w:sz w:val="24"/>
          <w:szCs w:val="24"/>
        </w:rPr>
      </w:pPr>
      <w:r>
        <w:rPr>
          <w:sz w:val="24"/>
          <w:szCs w:val="24"/>
        </w:rPr>
        <w:lastRenderedPageBreak/>
        <w:t xml:space="preserve">Supplemental Figure 1. </w:t>
      </w:r>
    </w:p>
    <w:p w:rsidR="0091770F" w:rsidRDefault="005E16A6" w:rsidP="004F3A7F">
      <w:pPr>
        <w:spacing w:line="240" w:lineRule="auto"/>
        <w:rPr>
          <w:sz w:val="24"/>
          <w:szCs w:val="24"/>
        </w:rPr>
      </w:pPr>
      <w:r>
        <w:rPr>
          <w:noProof/>
          <w:sz w:val="24"/>
          <w:szCs w:val="24"/>
          <w:lang w:val="en-IN" w:eastAsia="en-IN"/>
        </w:rPr>
        <w:drawing>
          <wp:inline distT="0" distB="0" distL="0" distR="0">
            <wp:extent cx="5943600" cy="535907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rbontradeoff.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327"/>
                    <a:stretch/>
                  </pic:blipFill>
                  <pic:spPr bwMode="auto">
                    <a:xfrm>
                      <a:off x="0" y="0"/>
                      <a:ext cx="5943600" cy="5359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16A6" w:rsidRDefault="005E16A6">
      <w:pPr>
        <w:rPr>
          <w:sz w:val="24"/>
          <w:szCs w:val="24"/>
        </w:rPr>
      </w:pPr>
      <w:r>
        <w:rPr>
          <w:sz w:val="24"/>
          <w:szCs w:val="24"/>
        </w:rPr>
        <w:br w:type="page"/>
      </w:r>
    </w:p>
    <w:p w:rsidR="005E16A6" w:rsidRDefault="005E16A6" w:rsidP="0091770F">
      <w:pPr>
        <w:jc w:val="both"/>
        <w:rPr>
          <w:sz w:val="24"/>
          <w:szCs w:val="24"/>
        </w:rPr>
      </w:pPr>
      <w:r>
        <w:rPr>
          <w:sz w:val="24"/>
          <w:szCs w:val="24"/>
        </w:rPr>
        <w:lastRenderedPageBreak/>
        <w:t>Supplemental Figure 2.</w:t>
      </w:r>
    </w:p>
    <w:p w:rsidR="0091770F" w:rsidRDefault="005E16A6" w:rsidP="0091770F">
      <w:pPr>
        <w:jc w:val="both"/>
        <w:rPr>
          <w:sz w:val="24"/>
          <w:szCs w:val="24"/>
        </w:rPr>
      </w:pPr>
      <w:r>
        <w:rPr>
          <w:noProof/>
          <w:sz w:val="24"/>
          <w:szCs w:val="24"/>
          <w:lang w:val="en-IN" w:eastAsia="en-IN"/>
        </w:rPr>
        <w:drawing>
          <wp:inline distT="0" distB="0" distL="0" distR="0">
            <wp:extent cx="5943600" cy="54051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rfacewaterrunoff.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9725"/>
                    <a:stretch/>
                  </pic:blipFill>
                  <pic:spPr bwMode="auto">
                    <a:xfrm>
                      <a:off x="0" y="0"/>
                      <a:ext cx="5943600" cy="5405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16A6" w:rsidRDefault="005E16A6">
      <w:pPr>
        <w:rPr>
          <w:sz w:val="24"/>
          <w:szCs w:val="24"/>
        </w:rPr>
      </w:pPr>
      <w:r>
        <w:rPr>
          <w:sz w:val="24"/>
          <w:szCs w:val="24"/>
        </w:rPr>
        <w:br w:type="page"/>
      </w:r>
    </w:p>
    <w:p w:rsidR="005E16A6" w:rsidRDefault="005E16A6">
      <w:pPr>
        <w:rPr>
          <w:sz w:val="24"/>
          <w:szCs w:val="24"/>
        </w:rPr>
      </w:pPr>
      <w:r>
        <w:rPr>
          <w:sz w:val="24"/>
          <w:szCs w:val="24"/>
        </w:rPr>
        <w:lastRenderedPageBreak/>
        <w:t xml:space="preserve">Supplemental Figure 3. </w:t>
      </w:r>
    </w:p>
    <w:p w:rsidR="0091770F" w:rsidRDefault="005E16A6">
      <w:pPr>
        <w:rPr>
          <w:sz w:val="24"/>
          <w:szCs w:val="24"/>
        </w:rPr>
      </w:pPr>
      <w:r>
        <w:rPr>
          <w:noProof/>
          <w:sz w:val="24"/>
          <w:szCs w:val="24"/>
          <w:lang w:val="en-IN" w:eastAsia="en-IN"/>
        </w:rPr>
        <w:drawing>
          <wp:inline distT="0" distB="0" distL="0" distR="0">
            <wp:extent cx="5943600" cy="53238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trogentradeoff.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779"/>
                    <a:stretch/>
                  </pic:blipFill>
                  <pic:spPr bwMode="auto">
                    <a:xfrm>
                      <a:off x="0" y="0"/>
                      <a:ext cx="5943600" cy="5323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16A6" w:rsidRDefault="005E16A6">
      <w:pPr>
        <w:rPr>
          <w:sz w:val="24"/>
          <w:szCs w:val="24"/>
        </w:rPr>
      </w:pPr>
      <w:r>
        <w:rPr>
          <w:sz w:val="24"/>
          <w:szCs w:val="24"/>
        </w:rPr>
        <w:br w:type="page"/>
      </w:r>
    </w:p>
    <w:p w:rsidR="001C41FB" w:rsidRDefault="005E16A6">
      <w:pPr>
        <w:rPr>
          <w:sz w:val="24"/>
          <w:szCs w:val="24"/>
        </w:rPr>
      </w:pPr>
      <w:r>
        <w:rPr>
          <w:sz w:val="24"/>
          <w:szCs w:val="24"/>
        </w:rPr>
        <w:lastRenderedPageBreak/>
        <w:t>Supplemental Figure 4</w:t>
      </w:r>
      <w:r w:rsidR="001C41FB">
        <w:rPr>
          <w:sz w:val="24"/>
          <w:szCs w:val="24"/>
        </w:rPr>
        <w:t>.</w:t>
      </w:r>
    </w:p>
    <w:p w:rsidR="005E16A6" w:rsidRDefault="005E16A6">
      <w:pPr>
        <w:rPr>
          <w:sz w:val="24"/>
          <w:szCs w:val="24"/>
        </w:rPr>
      </w:pPr>
      <w:r>
        <w:rPr>
          <w:noProof/>
          <w:sz w:val="24"/>
          <w:szCs w:val="24"/>
          <w:lang w:val="en-IN" w:eastAsia="en-IN"/>
        </w:rPr>
        <w:drawing>
          <wp:inline distT="0" distB="0" distL="0" distR="0">
            <wp:extent cx="5943600" cy="5353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sphorustradeoff.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402"/>
                    <a:stretch/>
                  </pic:blipFill>
                  <pic:spPr bwMode="auto">
                    <a:xfrm>
                      <a:off x="0" y="0"/>
                      <a:ext cx="5943600" cy="5353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16A6" w:rsidRDefault="005E16A6">
      <w:pPr>
        <w:rPr>
          <w:sz w:val="24"/>
          <w:szCs w:val="24"/>
        </w:rPr>
      </w:pPr>
      <w:r>
        <w:rPr>
          <w:sz w:val="24"/>
          <w:szCs w:val="24"/>
        </w:rPr>
        <w:br w:type="page"/>
      </w:r>
    </w:p>
    <w:p w:rsidR="005E16A6" w:rsidRDefault="005E16A6">
      <w:pPr>
        <w:rPr>
          <w:sz w:val="24"/>
          <w:szCs w:val="24"/>
        </w:rPr>
      </w:pPr>
      <w:r>
        <w:rPr>
          <w:sz w:val="24"/>
          <w:szCs w:val="24"/>
        </w:rPr>
        <w:lastRenderedPageBreak/>
        <w:t>Supplemental Figure 5.</w:t>
      </w:r>
    </w:p>
    <w:p w:rsidR="005E16A6" w:rsidRDefault="005E16A6">
      <w:pPr>
        <w:rPr>
          <w:sz w:val="24"/>
          <w:szCs w:val="24"/>
        </w:rPr>
      </w:pPr>
      <w:r>
        <w:rPr>
          <w:noProof/>
          <w:sz w:val="24"/>
          <w:szCs w:val="24"/>
          <w:lang w:val="en-IN" w:eastAsia="en-IN"/>
        </w:rPr>
        <w:drawing>
          <wp:inline distT="0" distB="0" distL="0" distR="0">
            <wp:extent cx="5943600" cy="53994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rganicfarmingtradeoff.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9800"/>
                    <a:stretch/>
                  </pic:blipFill>
                  <pic:spPr bwMode="auto">
                    <a:xfrm>
                      <a:off x="0" y="0"/>
                      <a:ext cx="5943600" cy="53994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E16A6" w:rsidRDefault="005E16A6">
      <w:pPr>
        <w:rPr>
          <w:sz w:val="24"/>
          <w:szCs w:val="24"/>
        </w:rPr>
      </w:pPr>
      <w:r>
        <w:rPr>
          <w:sz w:val="24"/>
          <w:szCs w:val="24"/>
        </w:rPr>
        <w:br w:type="page"/>
      </w:r>
    </w:p>
    <w:p w:rsidR="005E16A6" w:rsidRDefault="005E16A6">
      <w:pPr>
        <w:rPr>
          <w:sz w:val="24"/>
          <w:szCs w:val="24"/>
        </w:rPr>
      </w:pPr>
      <w:r>
        <w:rPr>
          <w:sz w:val="24"/>
          <w:szCs w:val="24"/>
        </w:rPr>
        <w:lastRenderedPageBreak/>
        <w:t xml:space="preserve">Supplemental Figure 6. </w:t>
      </w:r>
    </w:p>
    <w:p w:rsidR="001C41FB" w:rsidRDefault="00101D2A">
      <w:pPr>
        <w:rPr>
          <w:sz w:val="24"/>
          <w:szCs w:val="24"/>
        </w:rPr>
      </w:pPr>
      <w:r>
        <w:rPr>
          <w:noProof/>
          <w:sz w:val="24"/>
          <w:szCs w:val="24"/>
          <w:lang w:val="en-IN" w:eastAsia="en-IN"/>
        </w:rPr>
        <w:drawing>
          <wp:inline distT="0" distB="0" distL="0" distR="0">
            <wp:extent cx="5943600" cy="53417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mpingtradeoff.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553"/>
                    <a:stretch/>
                  </pic:blipFill>
                  <pic:spPr bwMode="auto">
                    <a:xfrm>
                      <a:off x="0" y="0"/>
                      <a:ext cx="5943600" cy="53417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C41FB" w:rsidRDefault="001C41FB">
      <w:pPr>
        <w:rPr>
          <w:sz w:val="24"/>
          <w:szCs w:val="24"/>
        </w:rPr>
      </w:pPr>
    </w:p>
    <w:sectPr w:rsidR="001C41FB" w:rsidSect="00C835ED">
      <w:footerReference w:type="default" r:id="rId16"/>
      <w:pgSz w:w="12240" w:h="15840"/>
      <w:pgMar w:top="1440" w:right="1440" w:bottom="1440" w:left="1440" w:header="720" w:footer="720" w:gutter="0"/>
      <w:lnNumType w:countBy="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019" w:rsidRDefault="00543019" w:rsidP="009B3E73">
      <w:pPr>
        <w:spacing w:after="0" w:line="240" w:lineRule="auto"/>
      </w:pPr>
      <w:r>
        <w:separator/>
      </w:r>
    </w:p>
  </w:endnote>
  <w:endnote w:type="continuationSeparator" w:id="0">
    <w:p w:rsidR="00543019" w:rsidRDefault="00543019" w:rsidP="009B3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483634"/>
      <w:docPartObj>
        <w:docPartGallery w:val="Page Numbers (Bottom of Page)"/>
        <w:docPartUnique/>
      </w:docPartObj>
    </w:sdtPr>
    <w:sdtEndPr>
      <w:rPr>
        <w:noProof/>
      </w:rPr>
    </w:sdtEndPr>
    <w:sdtContent>
      <w:p w:rsidR="00F34850" w:rsidRDefault="00503917">
        <w:pPr>
          <w:pStyle w:val="Footer"/>
          <w:jc w:val="right"/>
        </w:pPr>
        <w:r>
          <w:fldChar w:fldCharType="begin"/>
        </w:r>
        <w:r w:rsidR="00F34850">
          <w:instrText xml:space="preserve"> PAGE   \* MERGEFORMAT </w:instrText>
        </w:r>
        <w:r>
          <w:fldChar w:fldCharType="separate"/>
        </w:r>
        <w:r w:rsidR="00565528">
          <w:rPr>
            <w:noProof/>
          </w:rPr>
          <w:t>13</w:t>
        </w:r>
        <w:r>
          <w:rPr>
            <w:noProof/>
          </w:rPr>
          <w:fldChar w:fldCharType="end"/>
        </w:r>
      </w:p>
    </w:sdtContent>
  </w:sdt>
  <w:p w:rsidR="00F34850" w:rsidRDefault="00F348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019" w:rsidRDefault="00543019" w:rsidP="009B3E73">
      <w:pPr>
        <w:spacing w:after="0" w:line="240" w:lineRule="auto"/>
      </w:pPr>
      <w:r>
        <w:separator/>
      </w:r>
    </w:p>
  </w:footnote>
  <w:footnote w:type="continuationSeparator" w:id="0">
    <w:p w:rsidR="00543019" w:rsidRDefault="00543019" w:rsidP="009B3E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9744C"/>
    <w:multiLevelType w:val="multilevel"/>
    <w:tmpl w:val="CA98A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4544CC"/>
    <w:multiLevelType w:val="multilevel"/>
    <w:tmpl w:val="EF2E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D07874"/>
    <w:multiLevelType w:val="hybridMultilevel"/>
    <w:tmpl w:val="7436C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9B3E73"/>
    <w:rsid w:val="00005FD0"/>
    <w:rsid w:val="000221B0"/>
    <w:rsid w:val="00030278"/>
    <w:rsid w:val="000332CE"/>
    <w:rsid w:val="000371D0"/>
    <w:rsid w:val="000418D2"/>
    <w:rsid w:val="00064925"/>
    <w:rsid w:val="00072630"/>
    <w:rsid w:val="00077FB7"/>
    <w:rsid w:val="0009173F"/>
    <w:rsid w:val="000A768E"/>
    <w:rsid w:val="000B2E6C"/>
    <w:rsid w:val="000C79F9"/>
    <w:rsid w:val="000D230A"/>
    <w:rsid w:val="000D2BED"/>
    <w:rsid w:val="000D6137"/>
    <w:rsid w:val="000E0737"/>
    <w:rsid w:val="00101D2A"/>
    <w:rsid w:val="00126BDC"/>
    <w:rsid w:val="00134872"/>
    <w:rsid w:val="00136404"/>
    <w:rsid w:val="00157753"/>
    <w:rsid w:val="00193BE3"/>
    <w:rsid w:val="001A2B98"/>
    <w:rsid w:val="001A4D60"/>
    <w:rsid w:val="001A5E53"/>
    <w:rsid w:val="001B4EB5"/>
    <w:rsid w:val="001C41FB"/>
    <w:rsid w:val="001D082E"/>
    <w:rsid w:val="001E03F4"/>
    <w:rsid w:val="001E3107"/>
    <w:rsid w:val="00212C20"/>
    <w:rsid w:val="00213401"/>
    <w:rsid w:val="00223829"/>
    <w:rsid w:val="0023300A"/>
    <w:rsid w:val="00236860"/>
    <w:rsid w:val="00236B53"/>
    <w:rsid w:val="00244AAB"/>
    <w:rsid w:val="00246010"/>
    <w:rsid w:val="00254C85"/>
    <w:rsid w:val="0026737B"/>
    <w:rsid w:val="00271907"/>
    <w:rsid w:val="002923F3"/>
    <w:rsid w:val="00293840"/>
    <w:rsid w:val="00294185"/>
    <w:rsid w:val="002F1A19"/>
    <w:rsid w:val="00312168"/>
    <w:rsid w:val="00314766"/>
    <w:rsid w:val="00317110"/>
    <w:rsid w:val="003365C7"/>
    <w:rsid w:val="0035098E"/>
    <w:rsid w:val="00376A9D"/>
    <w:rsid w:val="00385F61"/>
    <w:rsid w:val="00387066"/>
    <w:rsid w:val="00394E2F"/>
    <w:rsid w:val="003A2539"/>
    <w:rsid w:val="003A7C32"/>
    <w:rsid w:val="003B3593"/>
    <w:rsid w:val="003C1587"/>
    <w:rsid w:val="003C218C"/>
    <w:rsid w:val="003D7603"/>
    <w:rsid w:val="003E6BB7"/>
    <w:rsid w:val="003F6CDC"/>
    <w:rsid w:val="0042247E"/>
    <w:rsid w:val="004265F2"/>
    <w:rsid w:val="00433134"/>
    <w:rsid w:val="0043757A"/>
    <w:rsid w:val="00450E25"/>
    <w:rsid w:val="0045499E"/>
    <w:rsid w:val="004554A3"/>
    <w:rsid w:val="00463566"/>
    <w:rsid w:val="00464C57"/>
    <w:rsid w:val="00472531"/>
    <w:rsid w:val="004969CF"/>
    <w:rsid w:val="004A16B5"/>
    <w:rsid w:val="004A5CB0"/>
    <w:rsid w:val="004A7EFF"/>
    <w:rsid w:val="004B2607"/>
    <w:rsid w:val="004C57B5"/>
    <w:rsid w:val="004E03B1"/>
    <w:rsid w:val="004E5B38"/>
    <w:rsid w:val="004F3A7F"/>
    <w:rsid w:val="00503917"/>
    <w:rsid w:val="00516630"/>
    <w:rsid w:val="00533B5B"/>
    <w:rsid w:val="00543019"/>
    <w:rsid w:val="00546E79"/>
    <w:rsid w:val="00565528"/>
    <w:rsid w:val="005700B0"/>
    <w:rsid w:val="00584868"/>
    <w:rsid w:val="00584AC0"/>
    <w:rsid w:val="005925D6"/>
    <w:rsid w:val="005A7997"/>
    <w:rsid w:val="005B7A44"/>
    <w:rsid w:val="005C06B2"/>
    <w:rsid w:val="005C7D69"/>
    <w:rsid w:val="005D59E4"/>
    <w:rsid w:val="005D7390"/>
    <w:rsid w:val="005E16A6"/>
    <w:rsid w:val="005F7A9E"/>
    <w:rsid w:val="00611F83"/>
    <w:rsid w:val="00631785"/>
    <w:rsid w:val="00636C6E"/>
    <w:rsid w:val="006667FE"/>
    <w:rsid w:val="00673AA4"/>
    <w:rsid w:val="00677878"/>
    <w:rsid w:val="006940DE"/>
    <w:rsid w:val="0069545D"/>
    <w:rsid w:val="0069568C"/>
    <w:rsid w:val="00695860"/>
    <w:rsid w:val="0069729E"/>
    <w:rsid w:val="006C0E9F"/>
    <w:rsid w:val="006D0F2F"/>
    <w:rsid w:val="00700919"/>
    <w:rsid w:val="007014F2"/>
    <w:rsid w:val="0070516C"/>
    <w:rsid w:val="0072135C"/>
    <w:rsid w:val="00733F35"/>
    <w:rsid w:val="00734F9B"/>
    <w:rsid w:val="00737FB7"/>
    <w:rsid w:val="00741338"/>
    <w:rsid w:val="0074274F"/>
    <w:rsid w:val="0075117E"/>
    <w:rsid w:val="00753869"/>
    <w:rsid w:val="007555E5"/>
    <w:rsid w:val="00761E0A"/>
    <w:rsid w:val="007748C3"/>
    <w:rsid w:val="00777683"/>
    <w:rsid w:val="007854BB"/>
    <w:rsid w:val="00791DA2"/>
    <w:rsid w:val="00793150"/>
    <w:rsid w:val="007951C5"/>
    <w:rsid w:val="007961B0"/>
    <w:rsid w:val="007C051C"/>
    <w:rsid w:val="007C0AA5"/>
    <w:rsid w:val="007D2B06"/>
    <w:rsid w:val="007D5AB7"/>
    <w:rsid w:val="007D5BCA"/>
    <w:rsid w:val="007E367D"/>
    <w:rsid w:val="008253C1"/>
    <w:rsid w:val="008413A3"/>
    <w:rsid w:val="00851EAA"/>
    <w:rsid w:val="00860388"/>
    <w:rsid w:val="00872876"/>
    <w:rsid w:val="008916EF"/>
    <w:rsid w:val="00896388"/>
    <w:rsid w:val="008A08C8"/>
    <w:rsid w:val="008D65F9"/>
    <w:rsid w:val="008F0A78"/>
    <w:rsid w:val="008F1C8B"/>
    <w:rsid w:val="009014F4"/>
    <w:rsid w:val="0090687A"/>
    <w:rsid w:val="0091770F"/>
    <w:rsid w:val="00921AE4"/>
    <w:rsid w:val="00981950"/>
    <w:rsid w:val="00991B52"/>
    <w:rsid w:val="009B2CD0"/>
    <w:rsid w:val="009B3E73"/>
    <w:rsid w:val="009E0CC0"/>
    <w:rsid w:val="009F2AEE"/>
    <w:rsid w:val="00A018B3"/>
    <w:rsid w:val="00A018B5"/>
    <w:rsid w:val="00A235FF"/>
    <w:rsid w:val="00A44566"/>
    <w:rsid w:val="00A46EA1"/>
    <w:rsid w:val="00A54526"/>
    <w:rsid w:val="00A62860"/>
    <w:rsid w:val="00A76F66"/>
    <w:rsid w:val="00A97D49"/>
    <w:rsid w:val="00AA604E"/>
    <w:rsid w:val="00AB3043"/>
    <w:rsid w:val="00AB394C"/>
    <w:rsid w:val="00AD19E8"/>
    <w:rsid w:val="00B0125A"/>
    <w:rsid w:val="00B32AA5"/>
    <w:rsid w:val="00B4075D"/>
    <w:rsid w:val="00B63250"/>
    <w:rsid w:val="00BC642F"/>
    <w:rsid w:val="00BC6982"/>
    <w:rsid w:val="00C010DE"/>
    <w:rsid w:val="00C1591E"/>
    <w:rsid w:val="00C2721C"/>
    <w:rsid w:val="00C30000"/>
    <w:rsid w:val="00C317EF"/>
    <w:rsid w:val="00C5319E"/>
    <w:rsid w:val="00C56EF4"/>
    <w:rsid w:val="00C66D55"/>
    <w:rsid w:val="00C67129"/>
    <w:rsid w:val="00C70753"/>
    <w:rsid w:val="00C7709A"/>
    <w:rsid w:val="00C81A5E"/>
    <w:rsid w:val="00C81ECC"/>
    <w:rsid w:val="00C835ED"/>
    <w:rsid w:val="00C845B3"/>
    <w:rsid w:val="00CB4F3F"/>
    <w:rsid w:val="00CC16C6"/>
    <w:rsid w:val="00CD60A7"/>
    <w:rsid w:val="00CE0C16"/>
    <w:rsid w:val="00D00B74"/>
    <w:rsid w:val="00D02A47"/>
    <w:rsid w:val="00D04368"/>
    <w:rsid w:val="00D07173"/>
    <w:rsid w:val="00D246DA"/>
    <w:rsid w:val="00D27EE2"/>
    <w:rsid w:val="00D431EE"/>
    <w:rsid w:val="00D477AA"/>
    <w:rsid w:val="00D542C2"/>
    <w:rsid w:val="00D56CAA"/>
    <w:rsid w:val="00DB5285"/>
    <w:rsid w:val="00DB73C6"/>
    <w:rsid w:val="00DC3556"/>
    <w:rsid w:val="00DE13C1"/>
    <w:rsid w:val="00DE4EF2"/>
    <w:rsid w:val="00E00021"/>
    <w:rsid w:val="00E051E9"/>
    <w:rsid w:val="00E20027"/>
    <w:rsid w:val="00E63483"/>
    <w:rsid w:val="00E66057"/>
    <w:rsid w:val="00E6734A"/>
    <w:rsid w:val="00E74553"/>
    <w:rsid w:val="00E930EC"/>
    <w:rsid w:val="00E945E2"/>
    <w:rsid w:val="00EA3C3D"/>
    <w:rsid w:val="00EA6C7B"/>
    <w:rsid w:val="00EB70B5"/>
    <w:rsid w:val="00EC4F61"/>
    <w:rsid w:val="00EE18B3"/>
    <w:rsid w:val="00F1046B"/>
    <w:rsid w:val="00F31AFB"/>
    <w:rsid w:val="00F34850"/>
    <w:rsid w:val="00F60982"/>
    <w:rsid w:val="00F75294"/>
    <w:rsid w:val="00F84240"/>
    <w:rsid w:val="00F86D46"/>
    <w:rsid w:val="00FB0255"/>
    <w:rsid w:val="00FC36B1"/>
    <w:rsid w:val="00FE3CD6"/>
    <w:rsid w:val="00FF2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3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E73"/>
    <w:rPr>
      <w:sz w:val="20"/>
      <w:szCs w:val="20"/>
    </w:rPr>
  </w:style>
  <w:style w:type="character" w:styleId="FootnoteReference">
    <w:name w:val="footnote reference"/>
    <w:basedOn w:val="DefaultParagraphFont"/>
    <w:uiPriority w:val="99"/>
    <w:semiHidden/>
    <w:unhideWhenUsed/>
    <w:rsid w:val="009B3E73"/>
    <w:rPr>
      <w:vertAlign w:val="superscript"/>
    </w:rPr>
  </w:style>
  <w:style w:type="paragraph" w:styleId="ListParagraph">
    <w:name w:val="List Paragraph"/>
    <w:basedOn w:val="Normal"/>
    <w:uiPriority w:val="34"/>
    <w:qFormat/>
    <w:rsid w:val="00FC36B1"/>
    <w:pPr>
      <w:ind w:left="720"/>
      <w:contextualSpacing/>
    </w:pPr>
  </w:style>
  <w:style w:type="character" w:styleId="Hyperlink">
    <w:name w:val="Hyperlink"/>
    <w:basedOn w:val="DefaultParagraphFont"/>
    <w:uiPriority w:val="99"/>
    <w:unhideWhenUsed/>
    <w:rsid w:val="007D5AB7"/>
    <w:rPr>
      <w:color w:val="0563C1" w:themeColor="hyperlink"/>
      <w:u w:val="single"/>
    </w:rPr>
  </w:style>
  <w:style w:type="paragraph" w:styleId="BalloonText">
    <w:name w:val="Balloon Text"/>
    <w:basedOn w:val="Normal"/>
    <w:link w:val="BalloonTextChar"/>
    <w:uiPriority w:val="99"/>
    <w:semiHidden/>
    <w:unhideWhenUsed/>
    <w:rsid w:val="000C7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9F9"/>
    <w:rPr>
      <w:rFonts w:ascii="Tahoma" w:hAnsi="Tahoma" w:cs="Tahoma"/>
      <w:sz w:val="16"/>
      <w:szCs w:val="16"/>
    </w:rPr>
  </w:style>
  <w:style w:type="character" w:styleId="CommentReference">
    <w:name w:val="annotation reference"/>
    <w:basedOn w:val="DefaultParagraphFont"/>
    <w:uiPriority w:val="99"/>
    <w:semiHidden/>
    <w:unhideWhenUsed/>
    <w:rsid w:val="000C79F9"/>
    <w:rPr>
      <w:sz w:val="16"/>
      <w:szCs w:val="16"/>
    </w:rPr>
  </w:style>
  <w:style w:type="paragraph" w:styleId="CommentText">
    <w:name w:val="annotation text"/>
    <w:basedOn w:val="Normal"/>
    <w:link w:val="CommentTextChar"/>
    <w:uiPriority w:val="99"/>
    <w:semiHidden/>
    <w:unhideWhenUsed/>
    <w:rsid w:val="000C79F9"/>
    <w:pPr>
      <w:spacing w:line="240" w:lineRule="auto"/>
    </w:pPr>
    <w:rPr>
      <w:sz w:val="20"/>
      <w:szCs w:val="20"/>
    </w:rPr>
  </w:style>
  <w:style w:type="character" w:customStyle="1" w:styleId="CommentTextChar">
    <w:name w:val="Comment Text Char"/>
    <w:basedOn w:val="DefaultParagraphFont"/>
    <w:link w:val="CommentText"/>
    <w:uiPriority w:val="99"/>
    <w:semiHidden/>
    <w:rsid w:val="000C79F9"/>
    <w:rPr>
      <w:sz w:val="20"/>
      <w:szCs w:val="20"/>
    </w:rPr>
  </w:style>
  <w:style w:type="paragraph" w:styleId="CommentSubject">
    <w:name w:val="annotation subject"/>
    <w:basedOn w:val="CommentText"/>
    <w:next w:val="CommentText"/>
    <w:link w:val="CommentSubjectChar"/>
    <w:uiPriority w:val="99"/>
    <w:semiHidden/>
    <w:unhideWhenUsed/>
    <w:rsid w:val="000C79F9"/>
    <w:rPr>
      <w:b/>
      <w:bCs/>
    </w:rPr>
  </w:style>
  <w:style w:type="character" w:customStyle="1" w:styleId="CommentSubjectChar">
    <w:name w:val="Comment Subject Char"/>
    <w:basedOn w:val="CommentTextChar"/>
    <w:link w:val="CommentSubject"/>
    <w:uiPriority w:val="99"/>
    <w:semiHidden/>
    <w:rsid w:val="000C79F9"/>
    <w:rPr>
      <w:b/>
      <w:bCs/>
      <w:sz w:val="20"/>
      <w:szCs w:val="20"/>
    </w:rPr>
  </w:style>
  <w:style w:type="character" w:styleId="LineNumber">
    <w:name w:val="line number"/>
    <w:basedOn w:val="DefaultParagraphFont"/>
    <w:uiPriority w:val="99"/>
    <w:semiHidden/>
    <w:unhideWhenUsed/>
    <w:rsid w:val="00C835ED"/>
  </w:style>
  <w:style w:type="paragraph" w:styleId="Header">
    <w:name w:val="header"/>
    <w:basedOn w:val="Normal"/>
    <w:link w:val="HeaderChar"/>
    <w:uiPriority w:val="99"/>
    <w:unhideWhenUsed/>
    <w:rsid w:val="00C835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5ED"/>
  </w:style>
  <w:style w:type="paragraph" w:styleId="Footer">
    <w:name w:val="footer"/>
    <w:basedOn w:val="Normal"/>
    <w:link w:val="FooterChar"/>
    <w:uiPriority w:val="99"/>
    <w:unhideWhenUsed/>
    <w:rsid w:val="00C83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5ED"/>
  </w:style>
  <w:style w:type="character" w:customStyle="1" w:styleId="apple-converted-space">
    <w:name w:val="apple-converted-space"/>
    <w:basedOn w:val="DefaultParagraphFont"/>
    <w:rsid w:val="007D2B06"/>
  </w:style>
  <w:style w:type="paragraph" w:styleId="NormalWeb">
    <w:name w:val="Normal (Web)"/>
    <w:basedOn w:val="Normal"/>
    <w:uiPriority w:val="99"/>
    <w:semiHidden/>
    <w:unhideWhenUsed/>
    <w:rsid w:val="00AB39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55448">
      <w:bodyDiv w:val="1"/>
      <w:marLeft w:val="0"/>
      <w:marRight w:val="0"/>
      <w:marTop w:val="0"/>
      <w:marBottom w:val="0"/>
      <w:divBdr>
        <w:top w:val="none" w:sz="0" w:space="0" w:color="auto"/>
        <w:left w:val="none" w:sz="0" w:space="0" w:color="auto"/>
        <w:bottom w:val="none" w:sz="0" w:space="0" w:color="auto"/>
        <w:right w:val="none" w:sz="0" w:space="0" w:color="auto"/>
      </w:divBdr>
    </w:div>
    <w:div w:id="447745673">
      <w:bodyDiv w:val="1"/>
      <w:marLeft w:val="0"/>
      <w:marRight w:val="0"/>
      <w:marTop w:val="0"/>
      <w:marBottom w:val="0"/>
      <w:divBdr>
        <w:top w:val="none" w:sz="0" w:space="0" w:color="auto"/>
        <w:left w:val="none" w:sz="0" w:space="0" w:color="auto"/>
        <w:bottom w:val="none" w:sz="0" w:space="0" w:color="auto"/>
        <w:right w:val="none" w:sz="0" w:space="0" w:color="auto"/>
      </w:divBdr>
    </w:div>
    <w:div w:id="1001472255">
      <w:bodyDiv w:val="1"/>
      <w:marLeft w:val="0"/>
      <w:marRight w:val="0"/>
      <w:marTop w:val="0"/>
      <w:marBottom w:val="0"/>
      <w:divBdr>
        <w:top w:val="none" w:sz="0" w:space="0" w:color="auto"/>
        <w:left w:val="none" w:sz="0" w:space="0" w:color="auto"/>
        <w:bottom w:val="none" w:sz="0" w:space="0" w:color="auto"/>
        <w:right w:val="none" w:sz="0" w:space="0" w:color="auto"/>
      </w:divBdr>
    </w:div>
    <w:div w:id="1413819030">
      <w:bodyDiv w:val="1"/>
      <w:marLeft w:val="0"/>
      <w:marRight w:val="0"/>
      <w:marTop w:val="0"/>
      <w:marBottom w:val="0"/>
      <w:divBdr>
        <w:top w:val="none" w:sz="0" w:space="0" w:color="auto"/>
        <w:left w:val="none" w:sz="0" w:space="0" w:color="auto"/>
        <w:bottom w:val="none" w:sz="0" w:space="0" w:color="auto"/>
        <w:right w:val="none" w:sz="0" w:space="0" w:color="auto"/>
      </w:divBdr>
    </w:div>
    <w:div w:id="159069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16720-5BC0-4D77-86F1-71E213C4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Pickard</dc:creator>
  <cp:lastModifiedBy>0010494</cp:lastModifiedBy>
  <cp:revision>6</cp:revision>
  <cp:lastPrinted>2016-10-19T14:53:00Z</cp:lastPrinted>
  <dcterms:created xsi:type="dcterms:W3CDTF">2016-10-19T17:31:00Z</dcterms:created>
  <dcterms:modified xsi:type="dcterms:W3CDTF">2016-11-10T09:42:00Z</dcterms:modified>
</cp:coreProperties>
</file>