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14B" w:rsidRPr="004F414B" w:rsidRDefault="004F414B" w:rsidP="004F414B">
      <w:pPr>
        <w:pStyle w:val="Heading2"/>
        <w:jc w:val="both"/>
        <w:rPr>
          <w:rFonts w:ascii="Times New Roman" w:hAnsi="Times New Roman" w:cs="Times New Roman"/>
          <w:color w:val="auto"/>
        </w:rPr>
      </w:pPr>
      <w:r w:rsidRPr="004F414B">
        <w:rPr>
          <w:rFonts w:ascii="Times New Roman" w:hAnsi="Times New Roman" w:cs="Times New Roman"/>
          <w:color w:val="auto"/>
        </w:rPr>
        <w:t>Linking Ecosystem Services, Urban Form and Green Space Configuration Using Multivariate Landscape Metric Analysis</w:t>
      </w:r>
    </w:p>
    <w:p w:rsidR="004F414B" w:rsidRPr="004F414B" w:rsidRDefault="004F414B" w:rsidP="004F414B">
      <w:pPr>
        <w:pStyle w:val="Subtitle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4F414B">
        <w:rPr>
          <w:rFonts w:ascii="Times New Roman" w:hAnsi="Times New Roman" w:cs="Times New Roman"/>
          <w:color w:val="auto"/>
        </w:rPr>
        <w:t xml:space="preserve">Darren R. Grafius, Ron </w:t>
      </w:r>
      <w:proofErr w:type="spellStart"/>
      <w:r w:rsidRPr="004F414B">
        <w:rPr>
          <w:rFonts w:ascii="Times New Roman" w:hAnsi="Times New Roman" w:cs="Times New Roman"/>
          <w:color w:val="auto"/>
        </w:rPr>
        <w:t>Corstanje</w:t>
      </w:r>
      <w:proofErr w:type="spellEnd"/>
      <w:r w:rsidRPr="004F414B">
        <w:rPr>
          <w:rFonts w:ascii="Times New Roman" w:hAnsi="Times New Roman" w:cs="Times New Roman"/>
          <w:color w:val="auto"/>
        </w:rPr>
        <w:t>, and Jim A. Harris</w:t>
      </w:r>
    </w:p>
    <w:p w:rsidR="004F414B" w:rsidRDefault="004F414B">
      <w:pPr>
        <w:rPr>
          <w:rFonts w:ascii="Times New Roman" w:hAnsi="Times New Roman" w:cs="Times New Roman"/>
          <w:b/>
          <w:sz w:val="28"/>
        </w:rPr>
      </w:pPr>
      <w:r w:rsidRPr="004F414B">
        <w:rPr>
          <w:rFonts w:ascii="Times New Roman" w:hAnsi="Times New Roman" w:cs="Times New Roman"/>
          <w:b/>
          <w:sz w:val="28"/>
        </w:rPr>
        <w:t>Appendix</w:t>
      </w:r>
      <w:r w:rsidR="00952D51">
        <w:rPr>
          <w:rFonts w:ascii="Times New Roman" w:hAnsi="Times New Roman" w:cs="Times New Roman"/>
          <w:b/>
          <w:sz w:val="28"/>
        </w:rPr>
        <w:t xml:space="preserve"> - Tables</w:t>
      </w:r>
    </w:p>
    <w:p w:rsidR="004F414B" w:rsidRDefault="004F414B" w:rsidP="004F414B">
      <w:pPr>
        <w:rPr>
          <w:rFonts w:ascii="Times New Roman" w:hAnsi="Times New Roman" w:cs="Times New Roman"/>
        </w:rPr>
      </w:pPr>
    </w:p>
    <w:p w:rsidR="004F414B" w:rsidRPr="00BC3150" w:rsidRDefault="004F414B" w:rsidP="004F414B">
      <w:pPr>
        <w:spacing w:line="48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Table A</w:t>
      </w:r>
      <w:r w:rsidRPr="00BC3150">
        <w:rPr>
          <w:rFonts w:ascii="Times New Roman" w:hAnsi="Times New Roman" w:cs="Times New Roman"/>
          <w:i/>
        </w:rPr>
        <w:t>1: Landscape metrics used in analysis with acronyms, units (where applicable) and notes on interpretation. Metrics are patch level unless otherwise noted.</w:t>
      </w:r>
    </w:p>
    <w:tbl>
      <w:tblPr>
        <w:tblW w:w="4933" w:type="pct"/>
        <w:tblLayout w:type="fixed"/>
        <w:tblLook w:val="04A0"/>
      </w:tblPr>
      <w:tblGrid>
        <w:gridCol w:w="1102"/>
        <w:gridCol w:w="2695"/>
        <w:gridCol w:w="5321"/>
      </w:tblGrid>
      <w:tr w:rsidR="004F414B" w:rsidRPr="00BC3150" w:rsidTr="00173951">
        <w:trPr>
          <w:trHeight w:val="300"/>
        </w:trPr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Acronym</w:t>
            </w:r>
          </w:p>
        </w:tc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Metric (units)</w:t>
            </w:r>
          </w:p>
        </w:tc>
        <w:tc>
          <w:tcPr>
            <w:tcW w:w="29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Notes</w:t>
            </w:r>
          </w:p>
        </w:tc>
      </w:tr>
      <w:tr w:rsidR="004F414B" w:rsidRPr="00BC3150" w:rsidTr="00173951">
        <w:trPr>
          <w:trHeight w:val="300"/>
        </w:trPr>
        <w:tc>
          <w:tcPr>
            <w:tcW w:w="60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 AREA </w:t>
            </w:r>
          </w:p>
        </w:tc>
        <w:tc>
          <w:tcPr>
            <w:tcW w:w="147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Patch area (ha)</w:t>
            </w:r>
          </w:p>
        </w:tc>
        <w:tc>
          <w:tcPr>
            <w:tcW w:w="291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</w:tr>
      <w:tr w:rsidR="004F414B" w:rsidRPr="00BC3150" w:rsidTr="00173951">
        <w:trPr>
          <w:trHeight w:val="300"/>
        </w:trPr>
        <w:tc>
          <w:tcPr>
            <w:tcW w:w="604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 PERIM </w:t>
            </w:r>
          </w:p>
        </w:tc>
        <w:tc>
          <w:tcPr>
            <w:tcW w:w="1478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Patch perimeter (m)</w:t>
            </w:r>
          </w:p>
        </w:tc>
        <w:tc>
          <w:tcPr>
            <w:tcW w:w="2918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Indicative of shape complexity but highly sensitive to patch size.</w:t>
            </w:r>
          </w:p>
        </w:tc>
      </w:tr>
      <w:tr w:rsidR="004F414B" w:rsidRPr="00BC3150" w:rsidTr="00173951">
        <w:trPr>
          <w:trHeight w:val="300"/>
        </w:trPr>
        <w:tc>
          <w:tcPr>
            <w:tcW w:w="604" w:type="pct"/>
            <w:shd w:val="clear" w:color="auto" w:fill="auto"/>
            <w:noWrap/>
          </w:tcPr>
          <w:p w:rsidR="004F414B" w:rsidRPr="00BC3150" w:rsidDel="00B42E65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PARA</w:t>
            </w:r>
          </w:p>
        </w:tc>
        <w:tc>
          <w:tcPr>
            <w:tcW w:w="1478" w:type="pct"/>
            <w:shd w:val="clear" w:color="auto" w:fill="auto"/>
            <w:noWrap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Perimeter-Area Ratio</w:t>
            </w:r>
          </w:p>
        </w:tc>
        <w:tc>
          <w:tcPr>
            <w:tcW w:w="2918" w:type="pct"/>
            <w:shd w:val="clear" w:color="auto" w:fill="auto"/>
            <w:noWrap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Simple ratio of the length of a patch’s perimeter to its area.</w:t>
            </w:r>
          </w:p>
        </w:tc>
      </w:tr>
      <w:tr w:rsidR="004F414B" w:rsidRPr="00BC3150" w:rsidTr="00173951">
        <w:trPr>
          <w:trHeight w:val="300"/>
        </w:trPr>
        <w:tc>
          <w:tcPr>
            <w:tcW w:w="604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GYRATE </w:t>
            </w:r>
          </w:p>
        </w:tc>
        <w:tc>
          <w:tcPr>
            <w:tcW w:w="1478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Radius of Gyration (m)</w:t>
            </w:r>
          </w:p>
        </w:tc>
        <w:tc>
          <w:tcPr>
            <w:tcW w:w="2918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Mean distance between patch cells and patch centroid. Sensitive to patch area.</w:t>
            </w:r>
          </w:p>
        </w:tc>
      </w:tr>
      <w:tr w:rsidR="004F414B" w:rsidRPr="00BC3150" w:rsidTr="00173951">
        <w:trPr>
          <w:trHeight w:val="300"/>
        </w:trPr>
        <w:tc>
          <w:tcPr>
            <w:tcW w:w="604" w:type="pct"/>
            <w:shd w:val="clear" w:color="auto" w:fill="auto"/>
            <w:noWrap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SHAPE</w:t>
            </w:r>
          </w:p>
        </w:tc>
        <w:tc>
          <w:tcPr>
            <w:tcW w:w="1478" w:type="pct"/>
            <w:shd w:val="clear" w:color="auto" w:fill="auto"/>
            <w:noWrap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Shape index</w:t>
            </w:r>
          </w:p>
        </w:tc>
        <w:tc>
          <w:tcPr>
            <w:tcW w:w="2918" w:type="pct"/>
            <w:shd w:val="clear" w:color="auto" w:fill="auto"/>
            <w:noWrap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A metric of shape complexity that aims for simplicity while adjusting for patch size sensitivity.</w:t>
            </w:r>
          </w:p>
        </w:tc>
      </w:tr>
      <w:tr w:rsidR="004F414B" w:rsidRPr="00BC3150" w:rsidTr="00173951">
        <w:trPr>
          <w:trHeight w:val="300"/>
        </w:trPr>
        <w:tc>
          <w:tcPr>
            <w:tcW w:w="604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 FRAC </w:t>
            </w:r>
          </w:p>
        </w:tc>
        <w:tc>
          <w:tcPr>
            <w:tcW w:w="1478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Fractal dimension index</w:t>
            </w:r>
          </w:p>
        </w:tc>
        <w:tc>
          <w:tcPr>
            <w:tcW w:w="2918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Another metric of shape complexity that reduces sensitivity to patch size and scale.</w:t>
            </w:r>
          </w:p>
        </w:tc>
      </w:tr>
      <w:tr w:rsidR="004F414B" w:rsidRPr="00BC3150" w:rsidTr="00173951">
        <w:trPr>
          <w:trHeight w:val="300"/>
        </w:trPr>
        <w:tc>
          <w:tcPr>
            <w:tcW w:w="604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 CONTIG </w:t>
            </w:r>
          </w:p>
        </w:tc>
        <w:tc>
          <w:tcPr>
            <w:tcW w:w="1478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Contiguity index</w:t>
            </w:r>
          </w:p>
        </w:tc>
        <w:tc>
          <w:tcPr>
            <w:tcW w:w="2918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Favours large, contiguous patches.</w:t>
            </w:r>
          </w:p>
        </w:tc>
      </w:tr>
      <w:tr w:rsidR="004F414B" w:rsidRPr="00BC3150" w:rsidTr="00173951">
        <w:trPr>
          <w:trHeight w:val="300"/>
        </w:trPr>
        <w:tc>
          <w:tcPr>
            <w:tcW w:w="604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 CORE </w:t>
            </w:r>
          </w:p>
        </w:tc>
        <w:tc>
          <w:tcPr>
            <w:tcW w:w="1478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Core area (ha)</w:t>
            </w:r>
          </w:p>
        </w:tc>
        <w:tc>
          <w:tcPr>
            <w:tcW w:w="2918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Area unaffected by edges, defined here as area &lt;5m from patch edge.</w:t>
            </w:r>
          </w:p>
        </w:tc>
      </w:tr>
      <w:tr w:rsidR="004F414B" w:rsidRPr="00BC3150" w:rsidTr="00173951">
        <w:trPr>
          <w:trHeight w:val="300"/>
        </w:trPr>
        <w:tc>
          <w:tcPr>
            <w:tcW w:w="604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 NCORE </w:t>
            </w:r>
          </w:p>
        </w:tc>
        <w:tc>
          <w:tcPr>
            <w:tcW w:w="1478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Number of core areas</w:t>
            </w:r>
          </w:p>
        </w:tc>
        <w:tc>
          <w:tcPr>
            <w:tcW w:w="2918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Indication of shape complexity.</w:t>
            </w:r>
          </w:p>
        </w:tc>
      </w:tr>
      <w:tr w:rsidR="004F414B" w:rsidRPr="00BC3150" w:rsidTr="00173951">
        <w:trPr>
          <w:trHeight w:val="300"/>
        </w:trPr>
        <w:tc>
          <w:tcPr>
            <w:tcW w:w="604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 CAI </w:t>
            </w:r>
          </w:p>
        </w:tc>
        <w:tc>
          <w:tcPr>
            <w:tcW w:w="1478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Core area index (%)</w:t>
            </w:r>
          </w:p>
        </w:tc>
        <w:tc>
          <w:tcPr>
            <w:tcW w:w="2918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Patch core area divided by total patch area.</w:t>
            </w:r>
          </w:p>
        </w:tc>
      </w:tr>
      <w:tr w:rsidR="004F414B" w:rsidRPr="00BC3150" w:rsidTr="00173951">
        <w:trPr>
          <w:trHeight w:val="300"/>
        </w:trPr>
        <w:tc>
          <w:tcPr>
            <w:tcW w:w="604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 ENN</w:t>
            </w:r>
          </w:p>
        </w:tc>
        <w:tc>
          <w:tcPr>
            <w:tcW w:w="1478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Euclidean nearest-neighbour distance (m)</w:t>
            </w:r>
          </w:p>
        </w:tc>
        <w:tc>
          <w:tcPr>
            <w:tcW w:w="2918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Distance to nearest patch of the same type.</w:t>
            </w:r>
          </w:p>
        </w:tc>
      </w:tr>
      <w:tr w:rsidR="004F414B" w:rsidRPr="00BC3150" w:rsidTr="00173951">
        <w:trPr>
          <w:trHeight w:val="300"/>
        </w:trPr>
        <w:tc>
          <w:tcPr>
            <w:tcW w:w="604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 PD </w:t>
            </w:r>
          </w:p>
        </w:tc>
        <w:tc>
          <w:tcPr>
            <w:tcW w:w="1478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Patch density</w:t>
            </w:r>
          </w:p>
        </w:tc>
        <w:tc>
          <w:tcPr>
            <w:tcW w:w="2918" w:type="pct"/>
            <w:shd w:val="clear" w:color="auto" w:fill="auto"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Class metric - Number of patches per 100 ha.</w:t>
            </w:r>
          </w:p>
        </w:tc>
      </w:tr>
      <w:tr w:rsidR="004F414B" w:rsidRPr="00BC3150" w:rsidTr="00173951">
        <w:trPr>
          <w:trHeight w:val="138"/>
        </w:trPr>
        <w:tc>
          <w:tcPr>
            <w:tcW w:w="604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lastRenderedPageBreak/>
              <w:t xml:space="preserve"> LPI </w:t>
            </w:r>
          </w:p>
        </w:tc>
        <w:tc>
          <w:tcPr>
            <w:tcW w:w="1478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Largest patch index (%)</w:t>
            </w:r>
          </w:p>
        </w:tc>
        <w:tc>
          <w:tcPr>
            <w:tcW w:w="2918" w:type="pct"/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Class metric - Area of largest patch divided by total class area.</w:t>
            </w:r>
          </w:p>
        </w:tc>
      </w:tr>
      <w:tr w:rsidR="004F414B" w:rsidRPr="00BC3150" w:rsidTr="00173951">
        <w:trPr>
          <w:trHeight w:val="138"/>
        </w:trPr>
        <w:tc>
          <w:tcPr>
            <w:tcW w:w="60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CPLAND</w:t>
            </w:r>
          </w:p>
        </w:tc>
        <w:tc>
          <w:tcPr>
            <w:tcW w:w="147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Core area percentage of landscape (%)</w:t>
            </w:r>
          </w:p>
        </w:tc>
        <w:tc>
          <w:tcPr>
            <w:tcW w:w="291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F414B" w:rsidRPr="00BC3150" w:rsidRDefault="004F414B" w:rsidP="00173951">
            <w:pPr>
              <w:spacing w:before="120"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Class metric</w:t>
            </w:r>
          </w:p>
        </w:tc>
      </w:tr>
    </w:tbl>
    <w:p w:rsidR="004F414B" w:rsidRPr="00BC3150" w:rsidRDefault="004F414B" w:rsidP="004F414B">
      <w:pPr>
        <w:spacing w:line="480" w:lineRule="auto"/>
        <w:rPr>
          <w:rFonts w:ascii="Times New Roman" w:hAnsi="Times New Roman" w:cs="Times New Roman"/>
        </w:rPr>
      </w:pPr>
    </w:p>
    <w:p w:rsidR="00952D51" w:rsidRDefault="00952D51" w:rsidP="004F414B">
      <w:pPr>
        <w:rPr>
          <w:rFonts w:ascii="Times New Roman" w:hAnsi="Times New Roman" w:cs="Times New Roman"/>
        </w:rPr>
        <w:sectPr w:rsidR="00952D51" w:rsidSect="00F613DF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52D51" w:rsidRPr="00BC3150" w:rsidRDefault="00952D51" w:rsidP="00952D51">
      <w:pPr>
        <w:spacing w:line="48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Table A</w:t>
      </w:r>
      <w:r w:rsidRPr="00BC3150">
        <w:rPr>
          <w:rFonts w:ascii="Times New Roman" w:hAnsi="Times New Roman" w:cs="Times New Roman"/>
          <w:i/>
        </w:rPr>
        <w:t>2: Mean values for tested landscape metrics of green space patches in seven sampled urban forms. Blue shading</w:t>
      </w:r>
      <w:r>
        <w:rPr>
          <w:rFonts w:ascii="Times New Roman" w:hAnsi="Times New Roman" w:cs="Times New Roman"/>
          <w:i/>
        </w:rPr>
        <w:t xml:space="preserve"> with italicised values</w:t>
      </w:r>
      <w:r w:rsidRPr="00BC3150">
        <w:rPr>
          <w:rFonts w:ascii="Times New Roman" w:hAnsi="Times New Roman" w:cs="Times New Roman"/>
          <w:i/>
        </w:rPr>
        <w:t xml:space="preserve"> highlights relatively high mean values in a given metric for each urban form; red shading highlights relatively low values. ENN is stated as </w:t>
      </w:r>
      <w:proofErr w:type="gramStart"/>
      <w:r w:rsidRPr="00BC3150">
        <w:rPr>
          <w:rFonts w:ascii="Times New Roman" w:hAnsi="Times New Roman" w:cs="Times New Roman"/>
          <w:i/>
        </w:rPr>
        <w:t>n/a</w:t>
      </w:r>
      <w:proofErr w:type="gramEnd"/>
      <w:r w:rsidRPr="00BC3150">
        <w:rPr>
          <w:rFonts w:ascii="Times New Roman" w:hAnsi="Times New Roman" w:cs="Times New Roman"/>
          <w:i/>
        </w:rPr>
        <w:t xml:space="preserve"> for urban woodland because each sample consisted of a single woodland patch.</w:t>
      </w:r>
    </w:p>
    <w:tbl>
      <w:tblPr>
        <w:tblW w:w="5000" w:type="pct"/>
        <w:tblLook w:val="04A0"/>
      </w:tblPr>
      <w:tblGrid>
        <w:gridCol w:w="1794"/>
        <w:gridCol w:w="854"/>
        <w:gridCol w:w="883"/>
        <w:gridCol w:w="1072"/>
        <w:gridCol w:w="883"/>
        <w:gridCol w:w="796"/>
        <w:gridCol w:w="1028"/>
        <w:gridCol w:w="855"/>
        <w:gridCol w:w="939"/>
        <w:gridCol w:w="855"/>
        <w:gridCol w:w="855"/>
        <w:gridCol w:w="1455"/>
        <w:gridCol w:w="855"/>
        <w:gridCol w:w="1050"/>
      </w:tblGrid>
      <w:tr w:rsidR="00952D51" w:rsidRPr="00BC3150" w:rsidTr="00173951">
        <w:trPr>
          <w:trHeight w:val="300"/>
        </w:trPr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Urban Form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AREA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PERIM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GYRATE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SHAPE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FRAC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CONTIG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CORE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NCORE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CAI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ENN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PD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LPI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CPLAND</w:t>
            </w:r>
          </w:p>
        </w:tc>
      </w:tr>
      <w:tr w:rsidR="00952D51" w:rsidRPr="00BC3150" w:rsidTr="00173951">
        <w:trPr>
          <w:trHeight w:val="300"/>
        </w:trPr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Units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ha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m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m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n/a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n/a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n/a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ha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n/a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m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Patches/100 ha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%</w:t>
            </w:r>
          </w:p>
        </w:tc>
      </w:tr>
      <w:tr w:rsidR="00952D51" w:rsidRPr="00BC3150" w:rsidTr="00173951">
        <w:trPr>
          <w:trHeight w:val="300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City Centre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0.05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139.70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7.64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1.48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88ABD7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1.12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6E70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0.27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0.01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0.43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3.34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12.71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2457.87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16.90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25.05</w:t>
            </w:r>
          </w:p>
        </w:tc>
      </w:tr>
      <w:tr w:rsidR="00952D51" w:rsidRPr="00BC3150" w:rsidTr="00173951">
        <w:trPr>
          <w:trHeight w:val="300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Detached Housing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0.31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543.50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BEFF2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9.25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ABDB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1.47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7C7E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1.09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9A6A8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0.27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0.15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A1BCDF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1.68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7577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3.55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10.63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385.01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B6CBE7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69.78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44.48</w:t>
            </w:r>
          </w:p>
        </w:tc>
      </w:tr>
      <w:tr w:rsidR="00952D51" w:rsidRPr="00BC3150" w:rsidTr="00173951">
        <w:trPr>
          <w:trHeight w:val="300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Industrial Estate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99396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0.12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888A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226.88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BF1F4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9.27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1.46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1.11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0.26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9979A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0.05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AC5C7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0.71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7678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3.57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6894CB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12.62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B3C9E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1319.80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46.33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AC1C4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36.80</w:t>
            </w:r>
          </w:p>
        </w:tc>
      </w:tr>
      <w:tr w:rsidR="00952D51" w:rsidRPr="00BC3150" w:rsidTr="00173951">
        <w:trPr>
          <w:trHeight w:val="300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Major Road Verges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BFB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0.58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9FAFE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622.00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ECF1FA"/>
            <w:noWrap/>
            <w:vAlign w:val="bottom"/>
            <w:hideMark/>
          </w:tcPr>
          <w:p w:rsidR="00952D51" w:rsidRPr="00D337B7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D337B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33.10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C5D6EC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1.73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89ABD7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1.12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0.28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BFB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0.39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BDFE2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0.78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EFF3FB"/>
            <w:noWrap/>
            <w:vAlign w:val="bottom"/>
            <w:hideMark/>
          </w:tcPr>
          <w:p w:rsidR="00952D51" w:rsidRPr="00D337B7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D337B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13.21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ABEC1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11.19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9ABAE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177.37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BE0E3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40.90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B4CAE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65.94</w:t>
            </w:r>
          </w:p>
        </w:tc>
      </w:tr>
      <w:tr w:rsidR="00952D51" w:rsidRPr="00BC3150" w:rsidTr="00173951">
        <w:trPr>
          <w:trHeight w:val="300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Terrace Housing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797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0.07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797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185.41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9.40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AC4C6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1.47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BE4E7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1.10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0.29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7577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0.87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5.86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EAF0F9"/>
            <w:noWrap/>
            <w:vAlign w:val="bottom"/>
            <w:hideMark/>
          </w:tcPr>
          <w:p w:rsidR="00952D51" w:rsidRPr="00D337B7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D337B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11.71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A6C0E1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1491.20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6B6D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17.41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99597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30.90</w:t>
            </w:r>
          </w:p>
        </w:tc>
      </w:tr>
      <w:tr w:rsidR="00952D51" w:rsidRPr="00BC3150" w:rsidTr="00173951">
        <w:trPr>
          <w:trHeight w:val="300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Urban Park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D8E3F3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5.54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BED0E9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1934.74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DCE6F4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55.20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ADC4E3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1.85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1.09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D5E1F2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0.45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DAE4F3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4.82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2.32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D2DFF1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28.50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BE8E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11.46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86E70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18.54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6894CB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95.63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719ACE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86.04</w:t>
            </w:r>
          </w:p>
        </w:tc>
      </w:tr>
      <w:tr w:rsidR="00952D51" w:rsidRPr="00BC3150" w:rsidTr="00173951">
        <w:trPr>
          <w:trHeight w:val="300"/>
        </w:trPr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Urban Woodland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23.42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4130.00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239.57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2.22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1.13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0.97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21.90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3BEE0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1.67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92.70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n/a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5.09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100.00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92.70</w:t>
            </w:r>
          </w:p>
        </w:tc>
      </w:tr>
    </w:tbl>
    <w:p w:rsidR="00952D51" w:rsidRDefault="00952D51" w:rsidP="00952D51">
      <w:pPr>
        <w:spacing w:line="480" w:lineRule="auto"/>
        <w:rPr>
          <w:rFonts w:ascii="Times New Roman" w:hAnsi="Times New Roman" w:cs="Times New Roman"/>
          <w:i/>
        </w:rPr>
      </w:pPr>
    </w:p>
    <w:p w:rsidR="00952D51" w:rsidRDefault="00952D51">
      <w:pPr>
        <w:jc w:val="lef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 w:type="page"/>
      </w:r>
    </w:p>
    <w:p w:rsidR="00952D51" w:rsidRPr="00BC3150" w:rsidRDefault="00952D51" w:rsidP="00952D51">
      <w:pPr>
        <w:spacing w:line="48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Table A</w:t>
      </w:r>
      <w:r w:rsidRPr="00BC3150">
        <w:rPr>
          <w:rFonts w:ascii="Times New Roman" w:hAnsi="Times New Roman" w:cs="Times New Roman"/>
          <w:i/>
        </w:rPr>
        <w:t xml:space="preserve">3: Standard deviations for tested landscape metrics of green space patches in seven sampled urban forms. Blue shading </w:t>
      </w:r>
      <w:r>
        <w:rPr>
          <w:rFonts w:ascii="Times New Roman" w:hAnsi="Times New Roman" w:cs="Times New Roman"/>
          <w:i/>
        </w:rPr>
        <w:t>with italicised values</w:t>
      </w:r>
      <w:r w:rsidRPr="00BC3150">
        <w:rPr>
          <w:rFonts w:ascii="Times New Roman" w:hAnsi="Times New Roman" w:cs="Times New Roman"/>
          <w:i/>
        </w:rPr>
        <w:t xml:space="preserve"> highlights relatively high standard deviations in a given metric for each urban form; red shading highlights relatively low values. Note that PD, LPI and CPLAND are class metrics and thus variability is only calculated across n=3 samples. ENN is stated as </w:t>
      </w:r>
      <w:proofErr w:type="gramStart"/>
      <w:r w:rsidRPr="00BC3150">
        <w:rPr>
          <w:rFonts w:ascii="Times New Roman" w:hAnsi="Times New Roman" w:cs="Times New Roman"/>
          <w:i/>
        </w:rPr>
        <w:t>n/a</w:t>
      </w:r>
      <w:proofErr w:type="gramEnd"/>
      <w:r w:rsidRPr="00BC3150">
        <w:rPr>
          <w:rFonts w:ascii="Times New Roman" w:hAnsi="Times New Roman" w:cs="Times New Roman"/>
          <w:i/>
        </w:rPr>
        <w:t xml:space="preserve"> for urban woodland because each sample consisted of a single woodland patch.</w:t>
      </w:r>
    </w:p>
    <w:tbl>
      <w:tblPr>
        <w:tblW w:w="5000" w:type="pct"/>
        <w:tblLook w:val="04A0"/>
      </w:tblPr>
      <w:tblGrid>
        <w:gridCol w:w="1794"/>
        <w:gridCol w:w="854"/>
        <w:gridCol w:w="883"/>
        <w:gridCol w:w="1072"/>
        <w:gridCol w:w="883"/>
        <w:gridCol w:w="796"/>
        <w:gridCol w:w="1028"/>
        <w:gridCol w:w="855"/>
        <w:gridCol w:w="939"/>
        <w:gridCol w:w="855"/>
        <w:gridCol w:w="855"/>
        <w:gridCol w:w="1455"/>
        <w:gridCol w:w="855"/>
        <w:gridCol w:w="1050"/>
      </w:tblGrid>
      <w:tr w:rsidR="00952D51" w:rsidRPr="00BC3150" w:rsidTr="00173951">
        <w:trPr>
          <w:trHeight w:val="300"/>
        </w:trPr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Urban Form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AREA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PERIM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GYRATE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SHAPE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FRAC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CONTIG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CORE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NCORE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CAI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ENN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PD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LPI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CPLAND</w:t>
            </w:r>
          </w:p>
        </w:tc>
      </w:tr>
      <w:tr w:rsidR="00952D51" w:rsidRPr="00BC3150" w:rsidTr="00173951">
        <w:trPr>
          <w:trHeight w:val="300"/>
        </w:trPr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Units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ha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m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m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n/a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n/a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n/a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ha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n/a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m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Patches/100 ha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%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</w:rPr>
              <w:t>%</w:t>
            </w:r>
          </w:p>
        </w:tc>
      </w:tr>
      <w:tr w:rsidR="00952D51" w:rsidRPr="00BC3150" w:rsidTr="00173951">
        <w:trPr>
          <w:trHeight w:val="300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City Centre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0.25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605.55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11.29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AD4D7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0.91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B7CBE7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0.11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BF6F9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0.21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0.09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9A4A6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2.18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BE0E3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9.50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90B0D9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4.66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CFDCEF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507.89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BECE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6.00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2.07</w:t>
            </w:r>
          </w:p>
        </w:tc>
      </w:tr>
      <w:tr w:rsidR="00952D51" w:rsidRPr="00BC3150" w:rsidTr="00173951">
        <w:trPr>
          <w:trHeight w:val="300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Detached Housing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E6ECF7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3.71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6071.25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EAF0F9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30.84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2.10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BEEF1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0.10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BF3F6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0.20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9FAFE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1.75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20.33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1.41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281.62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33.25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ECF1FA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6.38</w:t>
            </w:r>
          </w:p>
        </w:tc>
      </w:tr>
      <w:tr w:rsidR="00952D51" w:rsidRPr="00BC3150" w:rsidTr="00173951">
        <w:trPr>
          <w:trHeight w:val="300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Industrial Estate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AC0C3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1.38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1747.18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21.30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1.13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D6E1F2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0.11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0.21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9ACAE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0.75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EEF2FA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5.16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BEAED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10.06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5.78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1082.28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6F99CE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29.86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15.94</w:t>
            </w:r>
          </w:p>
        </w:tc>
      </w:tr>
      <w:tr w:rsidR="00952D51" w:rsidRPr="00BC3150" w:rsidTr="00173951">
        <w:trPr>
          <w:trHeight w:val="300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Major Road Verges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2.15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2F5FC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2036.20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7AA1D2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90.23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C1D3EB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1.48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0.12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A0BCDF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0.31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1.53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9A9A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2.26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9AB7DD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25.48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888A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1.62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AD2D5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202.39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ABCB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3.81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5.32</w:t>
            </w:r>
          </w:p>
        </w:tc>
      </w:tr>
      <w:tr w:rsidR="00952D51" w:rsidRPr="00BC3150" w:rsidTr="00173951">
        <w:trPr>
          <w:trHeight w:val="300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Terrace Housing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6D6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0.31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7274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680.16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99FA2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15.02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BE4E7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1.00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0.10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EBF0F9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0.23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86A6C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0.10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3.69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2F5FC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12.50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DDE6F4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3.06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709ACE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974.96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C2D3EB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16.32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C3D4EB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9.10</w:t>
            </w:r>
          </w:p>
        </w:tc>
      </w:tr>
      <w:tr w:rsidR="00952D51" w:rsidRPr="00BC3150" w:rsidTr="00173951">
        <w:trPr>
          <w:trHeight w:val="300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Urban Park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5C8CC7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13.11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A5BFE1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4080.35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106.72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BDD0E9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1.50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BEEF1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0.10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0.38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6B96CC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11.71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2F5FC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4.76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34.86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9989A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1.72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2.53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6.68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FBF5F8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5.17</w:t>
            </w:r>
          </w:p>
        </w:tc>
      </w:tr>
      <w:tr w:rsidR="00952D51" w:rsidRPr="00BC3150" w:rsidTr="00173951">
        <w:trPr>
          <w:trHeight w:val="300"/>
        </w:trPr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Urban Woodland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13.22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8B8D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872.75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BBE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16.93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0.01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A8AC6"/>
            <w:noWrap/>
            <w:vAlign w:val="bottom"/>
            <w:hideMark/>
          </w:tcPr>
          <w:p w:rsidR="00952D51" w:rsidRPr="00CE654E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CE65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18"/>
              </w:rPr>
              <w:t>12.89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1.15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2.88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n/a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2.18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0.00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8D8F"/>
            <w:noWrap/>
            <w:vAlign w:val="bottom"/>
            <w:hideMark/>
          </w:tcPr>
          <w:p w:rsidR="00952D51" w:rsidRPr="00BC3150" w:rsidRDefault="00952D51" w:rsidP="00173951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C315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2.88</w:t>
            </w:r>
          </w:p>
        </w:tc>
      </w:tr>
    </w:tbl>
    <w:p w:rsidR="004F414B" w:rsidRPr="004F414B" w:rsidRDefault="004F414B" w:rsidP="004F414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F414B" w:rsidRPr="004F414B" w:rsidSect="00F613DF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F414B"/>
    <w:rsid w:val="000864B1"/>
    <w:rsid w:val="004D0108"/>
    <w:rsid w:val="004F414B"/>
    <w:rsid w:val="00952D51"/>
    <w:rsid w:val="00C93BF8"/>
    <w:rsid w:val="00CB2169"/>
    <w:rsid w:val="00F61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108"/>
    <w:pPr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414B"/>
    <w:pPr>
      <w:keepNext/>
      <w:keepLines/>
      <w:spacing w:before="200" w:after="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D0108"/>
    <w:pPr>
      <w:spacing w:after="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1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4F414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14B"/>
    <w:pPr>
      <w:numPr>
        <w:ilvl w:val="1"/>
      </w:numPr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4F414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Darren Grafius</dc:creator>
  <cp:keywords/>
  <dc:description/>
  <cp:lastModifiedBy>0013926</cp:lastModifiedBy>
  <cp:revision>3</cp:revision>
  <dcterms:created xsi:type="dcterms:W3CDTF">2017-12-13T11:23:00Z</dcterms:created>
  <dcterms:modified xsi:type="dcterms:W3CDTF">2018-02-09T14:11:00Z</dcterms:modified>
</cp:coreProperties>
</file>