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0C8" w:rsidRDefault="00EB30C8" w:rsidP="00EB30C8">
      <w:pPr>
        <w:rPr>
          <w:lang w:val="en-US"/>
        </w:rPr>
      </w:pPr>
      <w:proofErr w:type="spellStart"/>
      <w:r>
        <w:rPr>
          <w:lang w:val="en-US"/>
        </w:rPr>
        <w:t>Bobiec</w:t>
      </w:r>
      <w:proofErr w:type="spellEnd"/>
      <w:r>
        <w:rPr>
          <w:lang w:val="en-US"/>
        </w:rPr>
        <w:t xml:space="preserve"> et al. Landscape Ecology – Supplementary material</w:t>
      </w:r>
      <w:bookmarkStart w:id="0" w:name="_GoBack"/>
      <w:bookmarkEnd w:id="0"/>
    </w:p>
    <w:p w:rsidR="00EB30C8" w:rsidRDefault="00EB30C8" w:rsidP="00EB30C8">
      <w:pPr>
        <w:rPr>
          <w:lang w:val="en-US"/>
        </w:rPr>
      </w:pPr>
    </w:p>
    <w:p w:rsidR="00EB30C8" w:rsidRDefault="00EB30C8" w:rsidP="00EB30C8">
      <w:pPr>
        <w:rPr>
          <w:lang w:val="en-US"/>
        </w:rPr>
      </w:pPr>
      <w:r>
        <w:rPr>
          <w:lang w:val="en-US"/>
        </w:rPr>
        <w:t>Captions of supplementary figures</w:t>
      </w:r>
    </w:p>
    <w:p w:rsid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t>Fig. 1.</w:t>
      </w:r>
      <w:proofErr w:type="gramEnd"/>
      <w:r w:rsidRPr="00EB30C8">
        <w:rPr>
          <w:lang w:val="en-US"/>
        </w:rPr>
        <w:t xml:space="preserve"> Processes and factors influencing oak stands establishment in mesic deciduous/mixed forest communities; round shapes – developmental stages; rectangles – processes; diamonds – turning point moments; solid lines and text in grey area pertain to processes leading to oak stand development; dashed lines – pathways seldom resulting in oak regeneration.</w:t>
      </w:r>
    </w:p>
    <w:p w:rsidR="008E1F28" w:rsidRPr="00EB30C8" w:rsidRDefault="008E1F28" w:rsidP="00EB30C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6156325" cy="7559675"/>
            <wp:effectExtent l="19050" t="0" r="0" b="0"/>
            <wp:docPr id="1" name="Picture 1" descr="H:\journals\Springer\Space\10980\619\Stage200\Author\Bobiec et al_LandEcol_Suppl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0980\619\Stage200\Author\Bobiec et al_LandEcol_Suppl_Fig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755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t>Fig. 2.</w:t>
      </w:r>
      <w:proofErr w:type="gramEnd"/>
      <w:r w:rsidRPr="00EB30C8">
        <w:rPr>
          <w:lang w:val="en-US"/>
        </w:rPr>
        <w:t xml:space="preserve"> Processes and factors influencing oak </w:t>
      </w:r>
      <w:proofErr w:type="gramStart"/>
      <w:r w:rsidRPr="00EB30C8">
        <w:rPr>
          <w:lang w:val="en-US"/>
        </w:rPr>
        <w:t>stands</w:t>
      </w:r>
      <w:proofErr w:type="gramEnd"/>
      <w:r w:rsidRPr="00EB30C8">
        <w:rPr>
          <w:lang w:val="en-US"/>
        </w:rPr>
        <w:t xml:space="preserve"> establishment extra-zonal habitats; see Fig. 1 for symbolization.</w:t>
      </w:r>
    </w:p>
    <w:p w:rsidR="008E1F28" w:rsidRPr="00EB30C8" w:rsidRDefault="008E1F28" w:rsidP="00EB30C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944620" cy="4805680"/>
            <wp:effectExtent l="19050" t="0" r="0" b="0"/>
            <wp:docPr id="2" name="Picture 2" descr="H:\journals\Springer\Space\10980\619\Stage200\Author\Bobiec et al_LandEcol_Suppl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0980\619\Stage200\Author\Bobiec et al_LandEcol_Suppl_Fig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480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t>Fig. 3.</w:t>
      </w:r>
      <w:proofErr w:type="gramEnd"/>
      <w:r w:rsidRPr="00EB30C8">
        <w:rPr>
          <w:lang w:val="en-US"/>
        </w:rPr>
        <w:t xml:space="preserve"> Processes and factors influencing oak stands establishment in ecotonal zones between mesic deciduous/mix forests and agricultural land; see Fig. 1 for symbolization.</w:t>
      </w:r>
    </w:p>
    <w:p w:rsidR="008E1F28" w:rsidRPr="00EB30C8" w:rsidRDefault="008E1F28" w:rsidP="00EB30C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125085" cy="4423410"/>
            <wp:effectExtent l="19050" t="0" r="0" b="0"/>
            <wp:docPr id="3" name="Picture 3" descr="H:\journals\Springer\Space\10980\619\Stage200\Author\Bobiec et al_LandEcol_Suppl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journals\Springer\Space\10980\619\Stage200\Author\Bobiec et al_LandEcol_Suppl_Fig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442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t>Fig. 4.</w:t>
      </w:r>
      <w:proofErr w:type="gramEnd"/>
      <w:r w:rsidRPr="00EB30C8">
        <w:rPr>
          <w:lang w:val="en-US"/>
        </w:rPr>
        <w:t xml:space="preserve"> Processes and factors influencing oak stands establishment in non-forest anthropogenic habitats; see Fig. 1 for symbolization.</w:t>
      </w:r>
    </w:p>
    <w:p w:rsidR="008E1F28" w:rsidRPr="00EB30C8" w:rsidRDefault="008E1F28" w:rsidP="00EB30C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060950" cy="5241925"/>
            <wp:effectExtent l="19050" t="0" r="6350" b="0"/>
            <wp:docPr id="4" name="Picture 4" descr="H:\journals\Springer\Space\10980\619\Stage200\Author\Bobiec et al_LandEcol_Suppl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journals\Springer\Space\10980\619\Stage200\Author\Bobiec et al_LandEcol_Suppl_Fig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524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t>Fig. 5.</w:t>
      </w:r>
      <w:proofErr w:type="gramEnd"/>
      <w:r w:rsidRPr="00EB30C8">
        <w:rPr>
          <w:lang w:val="en-US"/>
        </w:rPr>
        <w:t xml:space="preserve"> Processes and factors influencing oak regeneration in wood-pasture systems; see Fig. 1 for symbolization.</w:t>
      </w:r>
    </w:p>
    <w:p w:rsidR="008E1F28" w:rsidRPr="00EB30C8" w:rsidRDefault="008E1F28" w:rsidP="00EB30C8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3657600" cy="3317240"/>
            <wp:effectExtent l="19050" t="0" r="0" b="0"/>
            <wp:docPr id="5" name="Picture 5" descr="H:\journals\Springer\Space\10980\619\Stage200\Author\Bobiec et al_LandEcol_Suppl_Fi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journals\Springer\Space\10980\619\Stage200\Author\Bobiec et al_LandEcol_Suppl_Fig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31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AF" w:rsidRPr="00EB30C8" w:rsidRDefault="00EB30C8" w:rsidP="00EB30C8">
      <w:pPr>
        <w:rPr>
          <w:lang w:val="en-US"/>
        </w:rPr>
      </w:pPr>
      <w:proofErr w:type="gramStart"/>
      <w:r w:rsidRPr="00EB30C8">
        <w:rPr>
          <w:lang w:val="en-US"/>
        </w:rPr>
        <w:lastRenderedPageBreak/>
        <w:t>Fig. 6.</w:t>
      </w:r>
      <w:proofErr w:type="gramEnd"/>
      <w:r w:rsidRPr="00EB30C8">
        <w:rPr>
          <w:lang w:val="en-US"/>
        </w:rPr>
        <w:t xml:space="preserve"> Processes and factors influencing oak wood development from undergrowth in pine forests; see Fig. 1 for symbolization.</w:t>
      </w:r>
      <w:r w:rsidR="008E1F28">
        <w:rPr>
          <w:noProof/>
          <w:lang w:val="en-IN" w:eastAsia="en-IN"/>
        </w:rPr>
        <w:lastRenderedPageBreak/>
        <w:drawing>
          <wp:inline distT="0" distB="0" distL="0" distR="0">
            <wp:extent cx="5964555" cy="7910830"/>
            <wp:effectExtent l="19050" t="0" r="0" b="0"/>
            <wp:docPr id="6" name="Picture 6" descr="H:\journals\Springer\Space\10980\619\Stage200\Author\Bobiec et al_LandEcol_Suppl_Fi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journals\Springer\Space\10980\619\Stage200\Author\Bobiec et al_LandEcol_Suppl_Fig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555" cy="791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5AF" w:rsidRPr="00EB30C8" w:rsidSect="008E1F28">
      <w:pgSz w:w="12240" w:h="15840"/>
      <w:pgMar w:top="1418" w:right="1418" w:bottom="1418" w:left="1134" w:header="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/>
  <w:rsids>
    <w:rsidRoot w:val="00EB30C8"/>
    <w:rsid w:val="001A2BD7"/>
    <w:rsid w:val="002A5CEF"/>
    <w:rsid w:val="008E1F28"/>
    <w:rsid w:val="00BB35AF"/>
    <w:rsid w:val="00EB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5C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F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L530</dc:creator>
  <cp:lastModifiedBy>0013926</cp:lastModifiedBy>
  <cp:revision>2</cp:revision>
  <dcterms:created xsi:type="dcterms:W3CDTF">2018-02-08T13:12:00Z</dcterms:created>
  <dcterms:modified xsi:type="dcterms:W3CDTF">2018-02-08T13:12:00Z</dcterms:modified>
</cp:coreProperties>
</file>