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204" w:rsidRPr="0047209F" w:rsidRDefault="00F26204" w:rsidP="00F26204">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Appendix</w:t>
      </w:r>
      <w:r w:rsidRPr="0047209F">
        <w:rPr>
          <w:rFonts w:ascii="Times New Roman" w:hAnsi="Times New Roman" w:cs="Times New Roman"/>
          <w:b/>
          <w:sz w:val="24"/>
          <w:szCs w:val="24"/>
        </w:rPr>
        <w:t xml:space="preserve"> </w:t>
      </w:r>
      <w:r>
        <w:rPr>
          <w:rFonts w:ascii="Times New Roman" w:hAnsi="Times New Roman" w:cs="Times New Roman"/>
          <w:b/>
          <w:sz w:val="24"/>
          <w:szCs w:val="24"/>
        </w:rPr>
        <w:t>1</w:t>
      </w:r>
    </w:p>
    <w:p w:rsidR="00F26204" w:rsidRPr="00C92AE4" w:rsidRDefault="00F26204" w:rsidP="00F26204">
      <w:pPr>
        <w:pStyle w:val="NoSpacing"/>
        <w:spacing w:line="276" w:lineRule="auto"/>
        <w:rPr>
          <w:rFonts w:ascii="Times New Roman" w:hAnsi="Times New Roman" w:cs="Times New Roman"/>
          <w:color w:val="FF0000"/>
          <w:sz w:val="24"/>
          <w:szCs w:val="24"/>
        </w:rPr>
      </w:pPr>
    </w:p>
    <w:p w:rsidR="00F26204" w:rsidRPr="00F12240" w:rsidRDefault="00F26204" w:rsidP="00F26204">
      <w:pPr>
        <w:pStyle w:val="NoSpacing"/>
        <w:spacing w:line="276" w:lineRule="auto"/>
        <w:rPr>
          <w:rFonts w:ascii="Times New Roman" w:hAnsi="Times New Roman" w:cs="Times New Roman"/>
          <w:sz w:val="24"/>
          <w:szCs w:val="24"/>
        </w:rPr>
      </w:pPr>
      <w:r w:rsidRPr="00F12240">
        <w:rPr>
          <w:rFonts w:ascii="Times New Roman" w:hAnsi="Times New Roman" w:cs="Times New Roman"/>
          <w:sz w:val="24"/>
          <w:szCs w:val="24"/>
        </w:rPr>
        <w:t xml:space="preserve">Since the methodology we used for classifying habitats in the later periods (1990 and 2015 used the Land Cover Maps), was quite different from the previous time points, we performed validation to assess the accuracy and consistency of the time series across all periods. We used a number of spatial datasets, including Natural England’s Priority Habitats Inventory (PHI)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{"citationItems":[{"id":"ITEM-1","itemData":{"URL":"http://www.gis.naturalengland.org.uk/pubs/gis/gis_register.asp","accessed":{"date-parts":[["2018","1","6"]]},"author":[{"dropping-particle":"","family":"Natural England","given":"","non-dropping-particle":"","parse-names":false,"suffix":""}],"id":"ITEM-1","issued":{"date-parts":[["2015"]]},"title":"Priority Habitats’ Inventory version 2.1","type":"webpage"},"uris":["http://www.mendeley.com/documents/?uuid=62bd4305-f80c-4d90-b5c2-436bf7e9f229"]}],"mendeley":{"formattedCitation":"(Natural England 2015)","plainTextFormattedCitation":"(Natural England 2015)","previouslyFormattedCitation":"(Natural England, 2015)"},"properties":{"noteIndex":0},"schema":"https://github.com/citation-style-language/schema/raw/master/csl-citation.json"}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(Natural England 2015)</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recent aerial photography (© ESRI World Imagery), OS 1:25,000 Colour Raster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{"citationItems":[{"id":"ITEM-1","itemData":{"author":[{"dropping-particle":"","family":"Ordnance Survey","given":"","non-dropping-particle":"","parse-names":false,"suffix":""}],"id":"ITEM-1","issued":{"date-parts":[["2017"]]},"publisher-place":"Crown copyright and database right 2017 OS 100017572. Downloaded December 2017","title":"1:250,000 Scale Colour Raster","type":"report"},"uris":["http://www.mendeley.com/documents/?uuid=e7310c12-4897-43f0-99fa-44c0aae6ddfb"]}],"mendeley":{"formattedCitation":"(Ordnance Survey 2017)","plainTextFormattedCitation":"(Ordnance Survey 2017)","previouslyFormattedCitation":"(Ordnance Survey, 2017)"},"properties":{"noteIndex":0},"schema":"https://github.com/citation-style-language/schema/raw/master/csl-citation.json"}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(Ordnance Survey 2017)</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as well as survey data from the 2000s. The PHI is a spatial dataset that describes the geographic extent and location of Natural Environment and Rural Communities Act (2006) Section 41 habitats of principal importance in England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{"citationItems":[{"id":"ITEM-1","itemData":{"URL":"http://www.gis.naturalengland.org.uk/pubs/gis/gis_register.asp","accessed":{"date-parts":[["2018","1","6"]]},"author":[{"dropping-particle":"","family":"Natural England","given":"","non-dropping-particle":"","parse-names":false,"suffix":""}],"id":"ITEM-1","issued":{"date-parts":[["2015"]]},"title":"Priority Habitats’ Inventory version 2.1","type":"webpage"},"uris":["http://www.mendeley.com/documents/?uuid=62bd4305-f80c-4d90-b5c2-436bf7e9f229"]}],"mendeley":{"formattedCitation":"(Natural England 2015)","plainTextFormattedCitation":"(Natural England 2015)","previouslyFormattedCitation":"(Natural England, 2015)"},"properties":{"noteIndex":0},"schema":"https://github.com/citation-style-language/schema/raw/master/csl-citation.json"}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(Natural England 2015)</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Firstly, site locations were intersected with the PHI layer, to identify the priority habitat present, if any. Over 70% of sites had consistent habitat allocations across both the LCM2015 and PHI, as determined by matching the</w:t>
      </w:r>
      <w:r>
        <w:rPr>
          <w:rFonts w:ascii="Times New Roman" w:hAnsi="Times New Roman" w:cs="Times New Roman"/>
          <w:sz w:val="24"/>
          <w:szCs w:val="24"/>
        </w:rPr>
        <w:t xml:space="preserve"> datasets using Table A1</w:t>
      </w:r>
      <w:r w:rsidRPr="00F12240">
        <w:rPr>
          <w:rFonts w:ascii="Times New Roman" w:hAnsi="Times New Roman" w:cs="Times New Roman"/>
          <w:sz w:val="24"/>
          <w:szCs w:val="24"/>
        </w:rPr>
        <w:t xml:space="preserve">. For sites which didn’t match, we manually checked through individual sites using a mixture of aerial photography (© ESRI World Imagery) and the OS 1:25,000 Colour Raster. The OS 1:25,000 Colour Raster was particularly useful for checking ponds and rivers which were not detected by the LCM2015, whilst the aerial photography highlighted small areas of woodland often found on the edges of fields and were thus classified incorrectly as improved grassland or arable in the LCM2015. The remaining 250 sites which were not consistent across the two datasets, were assigned improved grassland by the LCM2015, however the LCM2015 is known to have some difficulty differentiating between improved grassland, calcareous grassland and neutral grassland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10.5285/6c6c9203-7333-4d96-88ab-78925e7a4e73","author":[{"dropping-particle":"","family":"Rowland","given":"C.S.","non-dropping-particle":"","parse-names":false,"suffix":""},{"dropping-particle":"","family":"Morton","given":"R.D","non-dropping-particle":"","parse-names":false,"suffix":""},{"dropping-particle":"","family":"Carrasco","given":"L.","non-dropping-particle":"","parse-names":false,"suffix":""},{"dropping-particle":"","family":"McShane","given":"G.","non-dropping-particle":"","parse-names":false,"suffix":""},{"dropping-particle":"","family":"O’Neil","given":"A.W.","non-dropping-particle":"","parse-names":false,"suffix":""},{"dropping-particle":"","family":"Wood","given":"C.M.","non-dropping-particle":"","parse-names":false,"suffix":""}],"container-title":"NERC Environmental Information Data Centre","id":"ITEM-1","issued":{"date-parts":[["2017"]]},"title":"Land Cover Map 2015 (vector, GB)","type":"report"},"uris":["http://www.mendeley.com/documents/?uuid=8369292f-7abe-4577-bd77-5a4fbd4de6b7"]}],"mendeley":{"formattedCitation":"(Rowland et al. 2017a)","plainTextFormattedCitation":"(Rowland et al. 2017a)","previouslyFormattedCitation":"(Rowland et al., 2017a)"},"properties":{"noteIndex":0},"schema":"https://github.com/citation-style-language/schema/raw/master/csl-citation.json"}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(Rowland et al. 2017a)</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Where aerial photos could not be used to distinguish the habitat of these 250 sites, we used Natural England’s Designated Sites database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{"citationItems":[{"id":"ITEM-1","itemData":{"URL":"https://designatedsites.naturalengland.org.uk/","accessed":{"date-parts":[["2018","1","9"]]},"author":[{"dropping-particle":"","family":"Natural England","given":"","non-dropping-particle":"","parse-names":false,"suffix":""}],"id":"ITEM-1","issued":{"date-parts":[["2017"]]},"title":"Designated Sites View","type":"webpage"},"uris":["http://www.mendeley.com/documents/?uuid=cbe0743b-d304-4c26-9900-7f85437cadf5"]}],"mendeley":{"formattedCitation":"(Natural England 2017)","plainTextFormattedCitation":"(Natural England 2017)","previouslyFormattedCitation":"(Natural England, 2017)"},"properties":{"noteIndex":0},"schema":"https://github.com/citation-style-language/schema/raw/master/csl-citation.json"}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(Natural England 2017)</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to reveal the broad habitat for these individual sites. Only 112 sites were not consistent across the LCM2015 and PHI, </w:t>
      </w:r>
      <w:proofErr w:type="gramStart"/>
      <w:r w:rsidRPr="00F12240">
        <w:rPr>
          <w:rFonts w:ascii="Times New Roman" w:hAnsi="Times New Roman" w:cs="Times New Roman"/>
          <w:sz w:val="24"/>
          <w:szCs w:val="24"/>
        </w:rPr>
        <w:t>nor</w:t>
      </w:r>
      <w:proofErr w:type="gramEnd"/>
      <w:r w:rsidRPr="00F12240">
        <w:rPr>
          <w:rFonts w:ascii="Times New Roman" w:hAnsi="Times New Roman" w:cs="Times New Roman"/>
          <w:sz w:val="24"/>
          <w:szCs w:val="24"/>
        </w:rPr>
        <w:t xml:space="preserve"> could they be identified using the OS maps, aerial photography or SSSI data. For these 112 sites we used the PHI habitat where the coverage was greater than 50%, whilst those with less than 50% remained as improved grassland. </w:t>
      </w:r>
    </w:p>
    <w:p w:rsidR="00F26204" w:rsidRPr="00F12240" w:rsidRDefault="00F26204" w:rsidP="00F26204">
      <w:pPr>
        <w:pStyle w:val="NoSpacing"/>
        <w:spacing w:line="276" w:lineRule="auto"/>
        <w:rPr>
          <w:rFonts w:ascii="Times New Roman" w:hAnsi="Times New Roman" w:cs="Times New Roman"/>
          <w:sz w:val="24"/>
          <w:szCs w:val="24"/>
        </w:rPr>
      </w:pPr>
    </w:p>
    <w:p w:rsidR="00F26204" w:rsidRPr="00F12240" w:rsidRDefault="00F26204" w:rsidP="00F26204">
      <w:pPr>
        <w:pStyle w:val="NoSpacing"/>
        <w:spacing w:line="276" w:lineRule="auto"/>
        <w:rPr>
          <w:rFonts w:ascii="Times New Roman" w:hAnsi="Times New Roman" w:cs="Times New Roman"/>
          <w:sz w:val="24"/>
          <w:szCs w:val="24"/>
        </w:rPr>
      </w:pPr>
      <w:r w:rsidRPr="00F12240">
        <w:rPr>
          <w:rFonts w:ascii="Times New Roman" w:hAnsi="Times New Roman" w:cs="Times New Roman"/>
          <w:sz w:val="24"/>
          <w:szCs w:val="24"/>
        </w:rPr>
        <w:t xml:space="preserve">We also utilised re-survey data for three habitat types; calcareous grassland, heathland and woodland, which were re-surveyed in 2009, 2010 and 2008, respectively, see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{"citationItems":[{"id":"ITEM-1","itemData":{"DOI":"10.1111/j.1365-2745.2011.01923.x","author":[{"dropping-particle":"","family":"Newton","given":"Adrian C","non-dropping-particle":"","parse-names":false,"suffix":""},{"dropping-particle":"","family":"Walls","given":"Robin M","non-dropping-particle":"","parse-names":false,"suffix":""},{"dropping-particle":"","family":"Golicher","given":"Duncan","non-dropping-particle":"","parse-names":false,"suffix":""},{"dropping-particle":"","family":"Keith","given":"Sally A","non-dropping-particle":"","parse-names":false,"suffix":""},{"dropping-particle":"","family":"Diaz","given":"Anita","non-dropping-particle":"","parse-names":false,"suffix":""},{"dropping-particle":"","family":"Bullock","given":"James M","non-dropping-particle":"","parse-names":false,"suffix":""}],"container-title":"Journal of Ecology","id":"ITEM-1","issued":{"date-parts":[["2012"]]},"page":"196-209","title":"Structure, composition and dynamics of a calcareous grassland metacommunity over a 70-year interval","type":"article-journal","volume":"100"},"uris":["http://www.mendeley.com/documents/?uuid=9cf33857-fda1-4e71-bfe3-9b9a2405effa"]}],"mendeley":{"formattedCitation":"(Newton et al. 2012)","manualFormatting":"Newton et al. (2012)","plainTextFormattedCitation":"(Newton et al. 2012)","previouslyFormattedCitation":"(Newton et al., 2012)"},"properties":{"noteIndex":0},"schema":"https://github.com/citation-style-language/schema/raw/master/csl-citation.json"}</w:instrText>
      </w:r>
      <w:r w:rsidRPr="00F12240">
        <w:rPr>
          <w:rFonts w:ascii="Times New Roman" w:hAnsi="Times New Roman" w:cs="Times New Roman"/>
          <w:sz w:val="24"/>
          <w:szCs w:val="24"/>
        </w:rPr>
        <w:fldChar w:fldCharType="separate"/>
      </w:r>
      <w:r w:rsidRPr="00F12240">
        <w:rPr>
          <w:rFonts w:ascii="Times New Roman" w:hAnsi="Times New Roman" w:cs="Times New Roman"/>
          <w:sz w:val="24"/>
          <w:szCs w:val="24"/>
        </w:rPr>
        <w:t>Newton et al. (2012)</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{"citationItems":[{"id":"ITEM-1","itemData":{"DOI":"10.1016/j.biocon.2013.08.018","ISBN":"0006-3207","ISSN":"00063207","abstract":"Conservation management that is focused on the scale of individual habitat patches rarely considers the implications for conservation of metacommunities at the regional scale. Here we examine the conservation implications of long-term changes identified in a vascular plant metacommunity associated with lowland heathland in Dorset, UK. This was achieved by re-surveying 150 patches that were first surveyed in the 1930s and assessing changes in species distributions, diversity, community composition and metacommunity structure. Results were compared for two sets: (i) all remaining heathland patches and (ii) intact heaths, excluding partly degraded sites. Overall, patterns of change were similar for the two sets. Values of γ- and α-diversity both decreased over time as individual patches shifted towards either woodland or improved grassland communities. However, only the intact heaths set exhibited a significant decrease in β-diversity. Both sets lost metacommunity structure over time, suggesting a change in underlying processes. These changes were attributable both to management regimes adopted at local sites, relating to their differing ownership, and to wider processes of environmental change. These results highlight the need to place site-based conservation actions in the context of regional-scale processes, to ensure the long-term conservation of metacommunity structure and function. © 2013 Elsevier Ltd.","author":[{"dropping-particle":"","family":"Diaz","given":"Anita","non-dropping-particle":"","parse-names":false,"suffix":""},{"dropping-particle":"","family":"Keith","given":"Sally A.","non-dropping-particle":"","parse-names":false,"suffix":""},{"dropping-particle":"","family":"Bullock","given":"James M.","non-dropping-particle":"","parse-names":false,"suffix":""},{"dropping-particle":"","family":"Hooftman","given":"Danny A P","non-dropping-particle":"","parse-names":false,"suffix":""},{"dropping-particle":"","family":"Newton","given":"Adrian C.","non-dropping-particle":"","parse-names":false,"suffix":""}],"container-title":"Biological Conservation","id":"ITEM-1","issued":{"date-parts":[["2013"]]},"page":"325-333","publisher":"Elsevier Ltd","title":"Conservation implications of long-term changes detected in a lowland heath plant metacommunity","type":"article-journal","volume":"167"},"uris":["http://www.mendeley.com/documents/?uuid=75cb0fb2-2e55-4d99-a9f4-e9675f93d811"]}],"mendeley":{"formattedCitation":"(Diaz et al. 2013)","manualFormatting":"Diaz et al., (2013)","plainTextFormattedCitation":"(Diaz et al. 2013)","previouslyFormattedCitation":"(Diaz et al., 2013)"},"properties":{"noteIndex":0},"schema":"https://github.com/citation-style-language/schema/raw/master/csl-citation.json"}</w:instrText>
      </w:r>
      <w:r w:rsidRPr="00F12240">
        <w:rPr>
          <w:rFonts w:ascii="Times New Roman" w:hAnsi="Times New Roman" w:cs="Times New Roman"/>
          <w:sz w:val="24"/>
          <w:szCs w:val="24"/>
        </w:rPr>
        <w:fldChar w:fldCharType="separate"/>
      </w:r>
      <w:r w:rsidRPr="00F12240">
        <w:rPr>
          <w:rFonts w:ascii="Times New Roman" w:hAnsi="Times New Roman" w:cs="Times New Roman"/>
          <w:sz w:val="24"/>
          <w:szCs w:val="24"/>
        </w:rPr>
        <w:t>Diaz et al., (2013)</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{"citationItems":[{"id":"ITEM-1","itemData":{"DOI":"10.1111/j.1600-0706.2010.18775.x","ISBN":"0030-1299","ISSN":"00301299","abstract":"The metacommunity concept provides important insights into large-scale patterns and dynamics of distributions of interacting species. However, temporal change of metacommunity structure is little studied and has not been previously analysed in the context of biodiversity change. As metacommunity structure is determined by multiple species distributions, it is expected to change as a result of biodiversity loss. To examine this process, we analysed structural change of a southern English woodland metacommunity at two points in time, seven decades apart. During this interval, the metacommunity lost beta-diversity through taxonomic homogenization. We performed an 'elements of metacommunity structure' (EMS) analysis to examine metacommunity structure, based upon three structural elements: coherence (i.e. gaps in species range along a structuring gradient), spatial turnover (replacements), and species range boundary clumping. We predicted that metacommunity structure would decrease in spatial turnover and thus become more nested over time. We tested for change in individual structural elements with z-scores and examined the role of spatial and environmental variables as potential structuring mechanisms through correlation with EMS ordination axes. Our results demonstrated that the metacommunity had a Clementsian structure that was maintained over time. Despite no change in broad structure, coherence and species range boundary clumping increased. Spatial turnover increased along the first structuring gradient but decreased on the second gradient. We hypothesise that this difference between gradients may reflect the presence of competing processes affecting spatial turnover. The mechanisms of biological structuring involved both environmental and spatial factors at the scale of the individual woodland. Therefore, our results suggest that broad metacommunity structure would not be a good landscape-scale indicator for conservation status. Conversely, knowledge that metacommunity structure does not change over time could assist in long-term conservation strategy because fundamental metacommunity structural processes are resistant to environmental change.","author":[{"dropping-particle":"","family":"Keith","given":"Sally A.","non-dropping-particle":"","parse-names":false,"suffix":""},{"dropping-particle":"","family":"Newton","given":"Adrian C.","non-dropping-particle":"","parse-names":false,"suffix":""},{"dropping-particle":"","family":"Morecroft","given":"Michael D.","non-dropping-particle":"","parse-names":false,"suffix":""},{"dropping-particle":"","family":"Golicher","given":"Duncan J.","non-dropping-particle":"","parse-names":false,"suffix":""},{"dropping-particle":"","family":"Bullock","given":"James M.","non-dropping-particle":"","parse-names":false,"suffix":""}],"container-title":"Oikos","id":"ITEM-1","issue":"2","issued":{"date-parts":[["2011"]]},"page":"302-310","title":"Plant metacommunity structure remains unchanged during biodiversity loss in English woodlands","type":"article-journal","volume":"120"},"uris":["http://www.mendeley.com/documents/?uuid=3e12263b-503d-4222-a8e0-75ce22813f13"]},{"id":"ITEM-2","itemData":{"DOI":"10.1098/rspb.2009.0938","ISBN":"0962-8452","ISSN":"0962-8452","PMID":"19625318","abstract":"Taxonomic homogenization (TH) is the increasing similarity of the species composition of ecological communities over time. Such homogenization represents a form of biodiversity loss and can result from local species turnover. Evidence for TH is limited, reflecting a lack of suitable historical datasets, and previous analyses have generated contrasting conclusions. We present an analysis of woodland patches across a southern English county (Dorset) in which we quantified 70 years of change in the composition of vascular plant communities. We tested the hypotheses that over this time patches decreased in species richness, homogenized, or shifted towards novel communities. Although mean species richness at the patch scale did not change, we found increased similarity in species composition among woodlands over time. We concluded that the woodlands have undergone TH without experiencing declines in local diversity or shifts towards novel communities. Analysis of species characteristics suggested that these changes were not driven by non-native species invasions or climate change, but instead reflected reorganization of the native plant communities in response to eutrophication and increasingly shaded conditions. These analyses provide, to our knowledge, the first direct evidence of TH in the UK and highlight the potential importance of this phenomenon as a contributor to biodiversity loss.","author":[{"dropping-particle":"","family":"Keith","given":"S. A.","non-dropping-particle":"","parse-names":false,"suffix":""},{"dropping-particle":"","family":"Newton","given":"A. C.","non-dropping-particle":"","parse-names":false,"suffix":""},{"dropping-particle":"","family":"Morecroft","given":"M. D.","non-dropping-particle":"","parse-names":false,"suffix":""},{"dropping-particle":"","family":"Bealey","given":"C. E.","non-dropping-particle":"","parse-names":false,"suffix":""},{"dropping-particle":"","family":"Bullock","given":"J. M.","non-dropping-particle":"","parse-names":false,"suffix":""}],"container-title":"Proceedings of the Royal Society B: Biological Sciences","id":"ITEM-2","issue":"1672","issued":{"date-parts":[["2009"]]},"page":"3539-3544","title":"Taxonomic homogenization of woodland plant communities over 70 years","type":"article-journal","volume":"276"},"uris":["http://www.mendeley.com/documents/?uuid=a8cbd6e6-36be-4ed8-abec-f4925c12fa17"]}],"mendeley":{"formattedCitation":"(Keith et al. 2009, 2011)","manualFormatting":"Keith et al. (2011, 2009)","plainTextFormattedCitation":"(Keith et al. 2009, 2011)","previouslyFormattedCitation":"(Keith et al., 2011, 2009)"},"properties":{"noteIndex":0},"schema":"https://github.com/citation-style-language/schema/raw/master/csl-citation.json"}</w:instrText>
      </w:r>
      <w:r w:rsidRPr="00F12240">
        <w:rPr>
          <w:rFonts w:ascii="Times New Roman" w:hAnsi="Times New Roman" w:cs="Times New Roman"/>
          <w:sz w:val="24"/>
          <w:szCs w:val="24"/>
        </w:rPr>
        <w:fldChar w:fldCharType="separate"/>
      </w:r>
      <w:r w:rsidRPr="00F12240">
        <w:rPr>
          <w:rFonts w:ascii="Times New Roman" w:hAnsi="Times New Roman" w:cs="Times New Roman"/>
          <w:sz w:val="24"/>
          <w:szCs w:val="24"/>
        </w:rPr>
        <w:t>Keith et al. (2011, 2009)</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for further details. Over 90% of the 84 woodland re-survey sites matched the classification designated by the LCM2015. For the few sites where this was not the case, these were adjusted to reflect the woodland re-survey habitat, because these were physically visited in 2008, which is thus more reliable than the LCM. Over 76% of the 131 heathland sites were consistent with the classification assigned by the LCM2015. Similarly, for those which didn’t match the re-survey data, these were changed to reflect the heathland re-survey habitat. Note that not all heathland sites re-surveyed in 2010 remained as heathland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{"citationItems":[{"id":"ITEM-1","itemData":{"DOI":"10.1016/j.biocon.2013.08.018","ISBN":"0006-3207","ISSN":"00063207","abstract":"Conservation management that is focused on the scale of individual habitat patches rarely considers the implications for conservation of metacommunities at the regional scale. Here we examine the conservation implications of long-term changes identified in a vascular plant metacommunity associated with lowland heathland in Dorset, UK. This was achieved by re-surveying 150 patches that were first surveyed in the 1930s and assessing changes in species distributions, diversity, community composition and metacommunity structure. Results were compared for two sets: (i) all remaining heathland patches and (ii) intact heaths, excluding partly degraded sites. Overall, patterns of change were similar for the two sets. Values of γ- and α-diversity both decreased over time as individual patches shifted towards either woodland or improved grassland communities. However, only the intact heaths set exhibited a significant decrease in β-diversity. Both sets lost metacommunity structure over time, suggesting a change in underlying processes. These changes were attributable both to management regimes adopted at local sites, relating to their differing ownership, and to wider processes of environmental change. These results highlight the need to place site-based conservation actions in the context of regional-scale processes, to ensure the long-term conservation of metacommunity structure and function. © 2013 Elsevier Ltd.","author":[{"dropping-particle":"","family":"Diaz","given":"Anita","non-dropping-particle":"","parse-names":false,"suffix":""},{"dropping-particle":"","family":"Keith","given":"Sally A.","non-dropping-particle":"","parse-names":false,"suffix":""},{"dropping-particle":"","family":"Bullock","given":"James M.","non-dropping-particle":"","parse-names":false,"suffix":""},{"dropping-particle":"","family":"Hooftman","given":"Danny A P","non-dropping-particle":"","parse-names":false,"suffix":""},{"dropping-particle":"","family":"Newton","given":"Adrian C.","non-dropping-particle":"","parse-names":false,"suffix":""}],"container-title":"Biological Conservation","id":"ITEM-1","issued":{"date-parts":[["2013"]]},"page":"325-333","publisher":"Elsevier Ltd","title":"Conservation implications of long-term changes detected in a lowland heath plant metacommunity","type":"article-journal","volume":"167"},"uris":["http://www.mendeley.com/documents/?uuid=75cb0fb2-2e55-4d99-a9f4-e9675f93d811"]}],"mendeley":{"formattedCitation":"(Diaz et al. 2013)","plainTextFormattedCitation":"(Diaz et al. 2013)","previouslyFormattedCitation":"(Diaz et al., 2013)"},"properties":{"noteIndex":0},"schema":"https://github.com/citation-style-language/schema/raw/master/csl-citation.json"}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(Diaz et al. 2013)</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Unless otherwise stated, for example “recent restoration/clearance of scrub” etc, the re-survey habitat was also presumed for 1990. For the calcareous grassland re-survey, only 30% of 83 sites were consistent with the LCM2015, however this was later explained by the fact that although sites were identified as calcareous grassland in 2009, many of the sites had reduced dramatically in size, to such a point where the main habitat was in actual fact the habitat classified by the LCM2015. This </w:t>
      </w:r>
      <w:r w:rsidRPr="00F12240">
        <w:rPr>
          <w:rFonts w:ascii="Times New Roman" w:hAnsi="Times New Roman" w:cs="Times New Roman"/>
          <w:sz w:val="24"/>
          <w:szCs w:val="24"/>
        </w:rPr>
        <w:lastRenderedPageBreak/>
        <w:t xml:space="preserve">was checked using recent aerial photography (© ESRI World Imagery) and consequently these sites remained assigned to the habitat first identified using the LCM2015. Additionally, many of the calcareous grassland sites which were resurveyed in 2009, had seen an increase in more competitive species typical of mesotrophic grasslands due to eutrophication and management changes </w:t>
      </w:r>
      <w:r w:rsidRPr="00F1224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{"citationItems":[{"id":"ITEM-1","itemData":{"DOI":"10.1111/j.1365-2745.2011.01923.x","author":[{"dropping-particle":"","family":"Newton","given":"Adrian C","non-dropping-particle":"","parse-names":false,"suffix":""},{"dropping-particle":"","family":"Walls","given":"Robin M","non-dropping-particle":"","parse-names":false,"suffix":""},{"dropping-particle":"","family":"Golicher","given":"Duncan","non-dropping-particle":"","parse-names":false,"suffix":""},{"dropping-particle":"","family":"Keith","given":"Sally A","non-dropping-particle":"","parse-names":false,"suffix":""},{"dropping-particle":"","family":"Diaz","given":"Anita","non-dropping-particle":"","parse-names":false,"suffix":""},{"dropping-particle":"","family":"Bullock","given":"James M","non-dropping-particle":"","parse-names":false,"suffix":""}],"container-title":"Journal of Ecology","id":"ITEM-1","issued":{"date-parts":[["2012"]]},"page":"196-209","title":"Structure, composition and dynamics of a calcareous grassland metacommunity over a 70-year interval","type":"article-journal","volume":"100"},"uris":["http://www.mendeley.com/documents/?uuid=9cf33857-fda1-4e71-bfe3-9b9a2405effa"]}],"mendeley":{"formattedCitation":"(Newton et al. 2012)","plainTextFormattedCitation":"(Newton et al. 2012)","previouslyFormattedCitation":"(Newton et al., 2012)"},"properties":{"noteIndex":0},"schema":"https://github.com/citation-style-language/schema/raw/master/csl-citation.json"}</w:instrText>
      </w:r>
      <w:r w:rsidRPr="00F12240">
        <w:rPr>
          <w:rFonts w:ascii="Times New Roman" w:hAnsi="Times New Roman" w:cs="Times New Roman"/>
          <w:sz w:val="24"/>
          <w:szCs w:val="24"/>
        </w:rPr>
        <w:fldChar w:fldCharType="separate"/>
      </w:r>
      <w:r w:rsidRPr="00AA63DA">
        <w:rPr>
          <w:rFonts w:ascii="Times New Roman" w:hAnsi="Times New Roman" w:cs="Times New Roman"/>
          <w:sz w:val="24"/>
          <w:szCs w:val="24"/>
        </w:rPr>
        <w:t>(Newton et al. 2012)</w:t>
      </w:r>
      <w:r w:rsidRPr="00F12240">
        <w:rPr>
          <w:rFonts w:ascii="Times New Roman" w:hAnsi="Times New Roman" w:cs="Times New Roman"/>
          <w:sz w:val="24"/>
          <w:szCs w:val="24"/>
        </w:rPr>
        <w:fldChar w:fldCharType="end"/>
      </w:r>
      <w:r w:rsidRPr="00F12240">
        <w:rPr>
          <w:rFonts w:ascii="Times New Roman" w:hAnsi="Times New Roman" w:cs="Times New Roman"/>
          <w:sz w:val="24"/>
          <w:szCs w:val="24"/>
        </w:rPr>
        <w:t xml:space="preserve"> and would therefore be classified as improved grassland in the LCM2015. Where sites were not consistent between the two datasets, but clearly only one main habitat existed, these sites were adjusted to reflect the calcareous grassland resurvey designation. </w:t>
      </w:r>
    </w:p>
    <w:p w:rsidR="00F26204" w:rsidRDefault="00F26204" w:rsidP="00F26204">
      <w:pPr>
        <w:pStyle w:val="NoSpacing"/>
        <w:spacing w:line="276" w:lineRule="auto"/>
        <w:rPr>
          <w:rFonts w:ascii="Times New Roman" w:hAnsi="Times New Roman" w:cs="Times New Roman"/>
          <w:b/>
          <w:szCs w:val="24"/>
        </w:rPr>
      </w:pPr>
    </w:p>
    <w:p w:rsidR="00F26204" w:rsidRDefault="00F26204" w:rsidP="00F26204">
      <w:pPr>
        <w:pStyle w:val="NoSpacing"/>
        <w:spacing w:line="276" w:lineRule="auto"/>
        <w:rPr>
          <w:rFonts w:ascii="Times New Roman" w:hAnsi="Times New Roman" w:cs="Times New Roman"/>
          <w:b/>
          <w:szCs w:val="24"/>
        </w:rPr>
      </w:pPr>
    </w:p>
    <w:p w:rsidR="00F26204" w:rsidRPr="0047209F" w:rsidRDefault="00F26204" w:rsidP="00F26204">
      <w:pPr>
        <w:pStyle w:val="NoSpacing"/>
        <w:spacing w:line="276" w:lineRule="auto"/>
        <w:rPr>
          <w:rFonts w:ascii="Times New Roman" w:hAnsi="Times New Roman" w:cs="Times New Roman"/>
          <w:b/>
          <w:sz w:val="20"/>
          <w:szCs w:val="24"/>
        </w:rPr>
      </w:pPr>
      <w:r w:rsidRPr="0047209F">
        <w:rPr>
          <w:rFonts w:ascii="Times New Roman" w:hAnsi="Times New Roman" w:cs="Times New Roman"/>
          <w:b/>
          <w:sz w:val="20"/>
          <w:szCs w:val="24"/>
        </w:rPr>
        <w:t xml:space="preserve">Table </w:t>
      </w:r>
      <w:r>
        <w:rPr>
          <w:rFonts w:ascii="Times New Roman" w:hAnsi="Times New Roman" w:cs="Times New Roman"/>
          <w:b/>
          <w:sz w:val="20"/>
          <w:szCs w:val="24"/>
        </w:rPr>
        <w:t>A1</w:t>
      </w:r>
      <w:r w:rsidRPr="0047209F">
        <w:rPr>
          <w:rFonts w:ascii="Times New Roman" w:hAnsi="Times New Roman" w:cs="Times New Roman"/>
          <w:b/>
          <w:sz w:val="20"/>
          <w:szCs w:val="24"/>
        </w:rPr>
        <w:t xml:space="preserve">. </w:t>
      </w:r>
      <w:proofErr w:type="gramStart"/>
      <w:r w:rsidRPr="00757CDD">
        <w:rPr>
          <w:rFonts w:ascii="Times New Roman" w:hAnsi="Times New Roman" w:cs="Times New Roman"/>
          <w:sz w:val="20"/>
          <w:szCs w:val="24"/>
        </w:rPr>
        <w:t>Broad habitat type matching with the Land Cover Map 2015 and Natural England’s Priority Habitats Inventory.</w:t>
      </w:r>
      <w:proofErr w:type="gramEnd"/>
      <w:r w:rsidRPr="0047209F">
        <w:rPr>
          <w:rFonts w:ascii="Times New Roman" w:hAnsi="Times New Roman" w:cs="Times New Roman"/>
          <w:b/>
          <w:sz w:val="20"/>
          <w:szCs w:val="24"/>
        </w:rPr>
        <w:t xml:space="preserve"> </w:t>
      </w:r>
    </w:p>
    <w:p w:rsidR="00F26204" w:rsidRDefault="00F26204" w:rsidP="00F26204">
      <w:pPr>
        <w:pStyle w:val="NoSpacing"/>
        <w:spacing w:line="276" w:lineRule="auto"/>
        <w:rPr>
          <w:rFonts w:ascii="Times New Roman" w:hAnsi="Times New Roman" w:cs="Times New Roman"/>
          <w:b/>
          <w:szCs w:val="24"/>
        </w:rPr>
      </w:pPr>
    </w:p>
    <w:tbl>
      <w:tblPr>
        <w:tblStyle w:val="TableGridLight1"/>
        <w:tblW w:w="9454" w:type="dxa"/>
        <w:tblLook w:val="04A0"/>
      </w:tblPr>
      <w:tblGrid>
        <w:gridCol w:w="3823"/>
        <w:gridCol w:w="5631"/>
      </w:tblGrid>
      <w:tr w:rsidR="00F26204" w:rsidRPr="007B3164" w:rsidTr="00DB710E">
        <w:trPr>
          <w:trHeight w:val="103"/>
        </w:trPr>
        <w:tc>
          <w:tcPr>
            <w:tcW w:w="3823" w:type="dxa"/>
            <w:tcBorders>
              <w:top w:val="single" w:sz="4" w:space="0" w:color="auto"/>
              <w:bottom w:val="single" w:sz="4" w:space="0" w:color="auto"/>
            </w:tcBorders>
          </w:tcPr>
          <w:p w:rsidR="00F26204" w:rsidRPr="00E35444" w:rsidRDefault="00F26204" w:rsidP="00DB710E">
            <w:pPr>
              <w:rPr>
                <w:rFonts w:ascii="Times New Roman" w:hAnsi="Times New Roman" w:cs="Times New Roman"/>
                <w:b/>
                <w:szCs w:val="20"/>
              </w:rPr>
            </w:pPr>
            <w:r w:rsidRPr="00E35444">
              <w:rPr>
                <w:rFonts w:ascii="Times New Roman" w:hAnsi="Times New Roman" w:cs="Times New Roman"/>
                <w:b/>
                <w:szCs w:val="20"/>
              </w:rPr>
              <w:t>Land Cover Map Habitat</w:t>
            </w:r>
          </w:p>
        </w:tc>
        <w:tc>
          <w:tcPr>
            <w:tcW w:w="5631" w:type="dxa"/>
            <w:tcBorders>
              <w:top w:val="single" w:sz="4" w:space="0" w:color="auto"/>
              <w:bottom w:val="single" w:sz="4" w:space="0" w:color="auto"/>
            </w:tcBorders>
          </w:tcPr>
          <w:p w:rsidR="00F26204" w:rsidRPr="00E35444" w:rsidRDefault="00F26204" w:rsidP="00DB710E">
            <w:pPr>
              <w:rPr>
                <w:rFonts w:ascii="Times New Roman" w:hAnsi="Times New Roman" w:cs="Times New Roman"/>
                <w:b/>
                <w:szCs w:val="20"/>
              </w:rPr>
            </w:pPr>
            <w:r w:rsidRPr="00E35444">
              <w:rPr>
                <w:rFonts w:ascii="Times New Roman" w:hAnsi="Times New Roman" w:cs="Times New Roman"/>
                <w:b/>
                <w:szCs w:val="20"/>
              </w:rPr>
              <w:t>Priority Habitats</w:t>
            </w:r>
          </w:p>
        </w:tc>
      </w:tr>
      <w:tr w:rsidR="00F26204" w:rsidTr="00DB710E">
        <w:trPr>
          <w:trHeight w:val="240"/>
        </w:trPr>
        <w:tc>
          <w:tcPr>
            <w:tcW w:w="3823" w:type="dxa"/>
            <w:tcBorders>
              <w:top w:val="single" w:sz="4" w:space="0" w:color="auto"/>
            </w:tcBorders>
            <w:vAlign w:val="center"/>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Freshwater</w:t>
            </w:r>
          </w:p>
        </w:tc>
        <w:tc>
          <w:tcPr>
            <w:tcW w:w="5631" w:type="dxa"/>
            <w:tcBorders>
              <w:top w:val="single" w:sz="4" w:space="0" w:color="auto"/>
            </w:tcBorders>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Validated by OS maps</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Arable and horticulture</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Fen, marsh and swamp</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Lowland fens, Reedbeds, Coastal saltmarsh</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Acid grassland</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Lowland dry acid grassland</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Calcareous grassland</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Lowland calcareous grassland</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Improved grassland</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 Good quality semi-improved grassland</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Neutral grassland</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Lowland meadows</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Dwarf Shrub Heath</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Lowland heathland</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Inland rock</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Saltwater</w:t>
            </w:r>
          </w:p>
        </w:tc>
        <w:tc>
          <w:tcPr>
            <w:tcW w:w="5631" w:type="dxa"/>
          </w:tcPr>
          <w:p w:rsidR="00F26204" w:rsidRPr="00E35444" w:rsidRDefault="00F26204" w:rsidP="00DB710E">
            <w:pPr>
              <w:rPr>
                <w:rFonts w:ascii="Times New Roman" w:hAnsi="Times New Roman" w:cs="Times New Roman"/>
                <w:szCs w:val="20"/>
              </w:rPr>
            </w:pPr>
            <w:r>
              <w:rPr>
                <w:rFonts w:ascii="Times New Roman" w:hAnsi="Times New Roman" w:cs="Times New Roman"/>
                <w:szCs w:val="20"/>
              </w:rPr>
              <w:t>M</w:t>
            </w:r>
            <w:r w:rsidRPr="00E35444">
              <w:rPr>
                <w:rFonts w:ascii="Times New Roman" w:hAnsi="Times New Roman" w:cs="Times New Roman"/>
                <w:szCs w:val="20"/>
              </w:rPr>
              <w:t xml:space="preserve">udflats, coastal </w:t>
            </w:r>
            <w:r>
              <w:rPr>
                <w:rFonts w:ascii="Times New Roman" w:hAnsi="Times New Roman" w:cs="Times New Roman"/>
                <w:szCs w:val="20"/>
              </w:rPr>
              <w:t>saltmarsh, NA</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Littoral sediment</w:t>
            </w:r>
          </w:p>
        </w:tc>
        <w:tc>
          <w:tcPr>
            <w:tcW w:w="5631" w:type="dxa"/>
          </w:tcPr>
          <w:p w:rsidR="00F26204" w:rsidRPr="00E35444" w:rsidRDefault="00F26204" w:rsidP="00DB710E">
            <w:pPr>
              <w:rPr>
                <w:rFonts w:ascii="Times New Roman" w:hAnsi="Times New Roman" w:cs="Times New Roman"/>
                <w:szCs w:val="20"/>
              </w:rPr>
            </w:pPr>
            <w:r>
              <w:rPr>
                <w:rFonts w:ascii="Times New Roman" w:hAnsi="Times New Roman" w:cs="Times New Roman"/>
                <w:szCs w:val="20"/>
              </w:rPr>
              <w:t>Coastal vegetated shingle, Coastal sand dunes, M</w:t>
            </w:r>
            <w:r w:rsidRPr="00E35444">
              <w:rPr>
                <w:rFonts w:ascii="Times New Roman" w:hAnsi="Times New Roman" w:cs="Times New Roman"/>
                <w:szCs w:val="20"/>
              </w:rPr>
              <w:t>aritime cliff and slope</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Saltmarsh</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Coastal saltmarsh, Reedbeds, Mudflats</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Supra-littoral rock</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Maritime cliff and slope</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Supra-littoral sediment</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Maritime cliff and slope</w:t>
            </w:r>
          </w:p>
        </w:tc>
      </w:tr>
      <w:tr w:rsidR="00F26204" w:rsidTr="00DB710E">
        <w:trPr>
          <w:trHeight w:val="103"/>
        </w:trPr>
        <w:tc>
          <w:tcPr>
            <w:tcW w:w="3823" w:type="dxa"/>
            <w:vAlign w:val="center"/>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Urban</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w:t>
            </w:r>
          </w:p>
        </w:tc>
      </w:tr>
      <w:tr w:rsidR="00F26204" w:rsidTr="00DB710E">
        <w:trPr>
          <w:trHeight w:val="103"/>
        </w:trPr>
        <w:tc>
          <w:tcPr>
            <w:tcW w:w="3823"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Suburban</w:t>
            </w:r>
          </w:p>
        </w:tc>
        <w:tc>
          <w:tcPr>
            <w:tcW w:w="5631" w:type="dxa"/>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w:t>
            </w:r>
          </w:p>
        </w:tc>
      </w:tr>
      <w:tr w:rsidR="00F26204" w:rsidTr="00DB710E">
        <w:trPr>
          <w:trHeight w:val="103"/>
        </w:trPr>
        <w:tc>
          <w:tcPr>
            <w:tcW w:w="3823" w:type="dxa"/>
            <w:tcBorders>
              <w:bottom w:val="single" w:sz="4" w:space="0" w:color="BFBFBF" w:themeColor="background1" w:themeShade="BF"/>
            </w:tcBorders>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Broadleaved, mixed and yew woodland</w:t>
            </w:r>
          </w:p>
        </w:tc>
        <w:tc>
          <w:tcPr>
            <w:tcW w:w="5631" w:type="dxa"/>
            <w:tcBorders>
              <w:bottom w:val="single" w:sz="4" w:space="0" w:color="BFBFBF" w:themeColor="background1" w:themeShade="BF"/>
            </w:tcBorders>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Deciduous woodland</w:t>
            </w:r>
          </w:p>
        </w:tc>
      </w:tr>
      <w:tr w:rsidR="00F26204" w:rsidTr="00DB710E">
        <w:trPr>
          <w:trHeight w:val="103"/>
        </w:trPr>
        <w:tc>
          <w:tcPr>
            <w:tcW w:w="3823" w:type="dxa"/>
            <w:tcBorders>
              <w:bottom w:val="single" w:sz="4" w:space="0" w:color="auto"/>
            </w:tcBorders>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Coniferous woodland</w:t>
            </w:r>
          </w:p>
        </w:tc>
        <w:tc>
          <w:tcPr>
            <w:tcW w:w="5631" w:type="dxa"/>
            <w:tcBorders>
              <w:bottom w:val="single" w:sz="4" w:space="0" w:color="auto"/>
            </w:tcBorders>
          </w:tcPr>
          <w:p w:rsidR="00F26204" w:rsidRPr="00E35444" w:rsidRDefault="00F26204" w:rsidP="00DB710E">
            <w:pPr>
              <w:rPr>
                <w:rFonts w:ascii="Times New Roman" w:hAnsi="Times New Roman" w:cs="Times New Roman"/>
                <w:szCs w:val="20"/>
              </w:rPr>
            </w:pPr>
            <w:r w:rsidRPr="00E35444">
              <w:rPr>
                <w:rFonts w:ascii="Times New Roman" w:hAnsi="Times New Roman" w:cs="Times New Roman"/>
                <w:szCs w:val="20"/>
              </w:rPr>
              <w:t>NA</w:t>
            </w:r>
            <w:r>
              <w:rPr>
                <w:rFonts w:ascii="Times New Roman" w:hAnsi="Times New Roman" w:cs="Times New Roman"/>
                <w:szCs w:val="20"/>
              </w:rPr>
              <w:t>, Deciduous woodland (when mixed)</w:t>
            </w:r>
            <w:r w:rsidRPr="00E35444">
              <w:rPr>
                <w:rFonts w:ascii="Times New Roman" w:hAnsi="Times New Roman" w:cs="Times New Roman"/>
                <w:szCs w:val="20"/>
              </w:rPr>
              <w:t xml:space="preserve"> </w:t>
            </w:r>
          </w:p>
        </w:tc>
      </w:tr>
    </w:tbl>
    <w:p w:rsidR="00F26204" w:rsidRDefault="00F26204" w:rsidP="00F26204">
      <w:pPr>
        <w:pStyle w:val="NoSpacing"/>
        <w:spacing w:line="276" w:lineRule="auto"/>
        <w:rPr>
          <w:rFonts w:ascii="Times New Roman" w:hAnsi="Times New Roman" w:cs="Times New Roman"/>
          <w:b/>
          <w:szCs w:val="24"/>
        </w:rPr>
      </w:pPr>
    </w:p>
    <w:p w:rsidR="00F26204" w:rsidRDefault="00F26204" w:rsidP="00F26204">
      <w:pPr>
        <w:pStyle w:val="NoSpacing"/>
        <w:spacing w:line="276" w:lineRule="auto"/>
        <w:rPr>
          <w:rFonts w:ascii="Times New Roman" w:hAnsi="Times New Roman" w:cs="Times New Roman"/>
          <w:b/>
          <w:sz w:val="24"/>
          <w:szCs w:val="24"/>
        </w:rPr>
      </w:pPr>
    </w:p>
    <w:p w:rsidR="00F26204" w:rsidRDefault="00F26204" w:rsidP="00F26204"/>
    <w:p w:rsidR="00F26204" w:rsidRDefault="00F26204" w:rsidP="00F26204"/>
    <w:p w:rsidR="00F26204" w:rsidRDefault="00F26204" w:rsidP="00F26204"/>
    <w:p w:rsidR="00F26204" w:rsidRDefault="00F26204" w:rsidP="00F26204"/>
    <w:p w:rsidR="00F26204" w:rsidRDefault="00F26204" w:rsidP="00F26204"/>
    <w:p w:rsidR="00F26204" w:rsidRDefault="00F26204" w:rsidP="00F26204"/>
    <w:p w:rsidR="00F26204" w:rsidRDefault="00F26204" w:rsidP="00F26204"/>
    <w:p w:rsidR="00F26204" w:rsidRDefault="00F26204" w:rsidP="00F26204"/>
    <w:p w:rsidR="00F26204" w:rsidRDefault="00F26204" w:rsidP="00F26204"/>
    <w:p w:rsidR="00F26204" w:rsidRPr="0047209F" w:rsidRDefault="00F26204" w:rsidP="00F26204">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Appendix</w:t>
      </w:r>
      <w:r w:rsidRPr="0047209F">
        <w:rPr>
          <w:rFonts w:ascii="Times New Roman" w:hAnsi="Times New Roman" w:cs="Times New Roman"/>
          <w:b/>
          <w:sz w:val="24"/>
          <w:szCs w:val="24"/>
        </w:rPr>
        <w:t xml:space="preserve"> </w:t>
      </w:r>
      <w:r>
        <w:rPr>
          <w:rFonts w:ascii="Times New Roman" w:hAnsi="Times New Roman" w:cs="Times New Roman"/>
          <w:b/>
          <w:sz w:val="24"/>
          <w:szCs w:val="24"/>
        </w:rPr>
        <w:t>2</w:t>
      </w:r>
    </w:p>
    <w:p w:rsidR="00F26204" w:rsidRPr="00C92AE4" w:rsidRDefault="00F26204" w:rsidP="00F26204">
      <w:pPr>
        <w:pStyle w:val="NoSpacing"/>
        <w:spacing w:line="276" w:lineRule="auto"/>
        <w:rPr>
          <w:rFonts w:ascii="Times New Roman" w:hAnsi="Times New Roman" w:cs="Times New Roman"/>
          <w:color w:val="FF0000"/>
          <w:sz w:val="24"/>
          <w:szCs w:val="24"/>
        </w:rPr>
      </w:pPr>
    </w:p>
    <w:p w:rsidR="00F26204" w:rsidRDefault="00F26204" w:rsidP="00F26204">
      <w:pPr>
        <w:rPr>
          <w:rFonts w:ascii="Times New Roman" w:hAnsi="Times New Roman" w:cs="Times New Roman"/>
          <w:sz w:val="24"/>
          <w:szCs w:val="24"/>
        </w:rPr>
      </w:pPr>
      <w:r>
        <w:rPr>
          <w:rFonts w:ascii="Times New Roman" w:hAnsi="Times New Roman" w:cs="Times New Roman"/>
          <w:sz w:val="24"/>
          <w:szCs w:val="24"/>
        </w:rPr>
        <w:t xml:space="preserve">The size variation for sites which remained and those that were lost in Dorset between 1930 and 2015 in each semi-natural habitat type can be seen in Fig A2. To determine if stand size influenced whether a site was likely to remain or not in Dorset between 1930 and 2015, we performed a </w:t>
      </w:r>
      <w:r w:rsidRPr="00E2572D">
        <w:rPr>
          <w:rFonts w:ascii="Times New Roman" w:hAnsi="Times New Roman" w:cs="Times New Roman"/>
          <w:sz w:val="24"/>
          <w:szCs w:val="24"/>
        </w:rPr>
        <w:t>Mann-Whitney U</w:t>
      </w:r>
      <w:r>
        <w:rPr>
          <w:rFonts w:ascii="Times New Roman" w:hAnsi="Times New Roman" w:cs="Times New Roman"/>
          <w:sz w:val="24"/>
          <w:szCs w:val="24"/>
        </w:rPr>
        <w:t xml:space="preserve"> test for each of the six habitat types. We found significant differences in the area of sites which were lost versus those which remained for </w:t>
      </w:r>
      <w:r w:rsidRPr="00887E61">
        <w:rPr>
          <w:rFonts w:ascii="Times New Roman" w:hAnsi="Times New Roman" w:cs="Times New Roman"/>
          <w:sz w:val="24"/>
          <w:szCs w:val="24"/>
        </w:rPr>
        <w:t>broadleaved woodland, calcareous grassland, fen,</w:t>
      </w:r>
      <w:r>
        <w:rPr>
          <w:rFonts w:ascii="Times New Roman" w:hAnsi="Times New Roman" w:cs="Times New Roman"/>
          <w:sz w:val="24"/>
          <w:szCs w:val="24"/>
        </w:rPr>
        <w:t xml:space="preserve"> marsh and swamp and heathland (Table A2). The difference however was variable between habitat types. In broadleaved woodland and calcareous grassland sites, sites which were lost tended to be larger than those which remained, whereas for fen, marsh and swamp and heathland it was the smaller sites which were lost. </w:t>
      </w:r>
    </w:p>
    <w:p w:rsidR="00F26204" w:rsidRDefault="00F26204" w:rsidP="00F2620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72050" cy="5238750"/>
            <wp:effectExtent l="19050" t="0" r="0" b="0"/>
            <wp:docPr id="1" name="Picture 1" descr="Final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Plot"/>
                    <pic:cNvPicPr>
                      <a:picLocks noChangeAspect="1" noChangeArrowheads="1"/>
                    </pic:cNvPicPr>
                  </pic:nvPicPr>
                  <pic:blipFill>
                    <a:blip r:embed="rId4" cstate="print"/>
                    <a:srcRect r="11363"/>
                    <a:stretch>
                      <a:fillRect/>
                    </a:stretch>
                  </pic:blipFill>
                  <pic:spPr bwMode="auto">
                    <a:xfrm>
                      <a:off x="0" y="0"/>
                      <a:ext cx="4972050" cy="5238750"/>
                    </a:xfrm>
                    <a:prstGeom prst="rect">
                      <a:avLst/>
                    </a:prstGeom>
                    <a:noFill/>
                    <a:ln w="9525">
                      <a:noFill/>
                      <a:miter lim="800000"/>
                      <a:headEnd/>
                      <a:tailEnd/>
                    </a:ln>
                  </pic:spPr>
                </pic:pic>
              </a:graphicData>
            </a:graphic>
          </wp:inline>
        </w:drawing>
      </w:r>
    </w:p>
    <w:p w:rsidR="00F26204" w:rsidRPr="0025205D" w:rsidRDefault="00F26204" w:rsidP="00F26204">
      <w:pPr>
        <w:rPr>
          <w:rFonts w:ascii="Times New Roman" w:hAnsi="Times New Roman" w:cs="Times New Roman"/>
          <w:b/>
          <w:sz w:val="20"/>
          <w:szCs w:val="20"/>
        </w:rPr>
      </w:pPr>
      <w:proofErr w:type="gramStart"/>
      <w:r w:rsidRPr="0025205D">
        <w:rPr>
          <w:rFonts w:ascii="Times New Roman" w:hAnsi="Times New Roman" w:cs="Times New Roman"/>
          <w:b/>
          <w:sz w:val="20"/>
          <w:szCs w:val="20"/>
        </w:rPr>
        <w:t>Fig A2.</w:t>
      </w:r>
      <w:proofErr w:type="gramEnd"/>
      <w:r w:rsidRPr="0025205D">
        <w:rPr>
          <w:rFonts w:ascii="Times New Roman" w:hAnsi="Times New Roman" w:cs="Times New Roman"/>
          <w:b/>
          <w:sz w:val="20"/>
          <w:szCs w:val="20"/>
        </w:rPr>
        <w:t xml:space="preserve"> </w:t>
      </w:r>
      <w:r w:rsidRPr="00757CDD">
        <w:rPr>
          <w:rFonts w:ascii="Times New Roman" w:hAnsi="Times New Roman" w:cs="Times New Roman"/>
          <w:sz w:val="20"/>
          <w:szCs w:val="20"/>
        </w:rPr>
        <w:t>Histograms of site size for remaining and lost sites for each semi-natural habitat type (acid grassland, broadleaved woodland, calcareous grassland, fen, marsh and swamp, heathland, neutral grassland) in Dorset between 1930 and 2015.</w:t>
      </w:r>
      <w:r w:rsidRPr="0025205D">
        <w:rPr>
          <w:rFonts w:ascii="Times New Roman" w:hAnsi="Times New Roman" w:cs="Times New Roman"/>
          <w:b/>
          <w:sz w:val="20"/>
          <w:szCs w:val="20"/>
        </w:rPr>
        <w:t xml:space="preserve"> </w:t>
      </w:r>
    </w:p>
    <w:p w:rsidR="00F26204" w:rsidRDefault="00F26204" w:rsidP="00F26204">
      <w:pPr>
        <w:pStyle w:val="NoSpacing"/>
        <w:spacing w:line="276" w:lineRule="auto"/>
        <w:rPr>
          <w:rFonts w:ascii="Times New Roman" w:hAnsi="Times New Roman" w:cs="Times New Roman"/>
          <w:b/>
          <w:sz w:val="20"/>
          <w:szCs w:val="24"/>
        </w:rPr>
      </w:pPr>
    </w:p>
    <w:p w:rsidR="00F26204" w:rsidRPr="004F2BDA" w:rsidRDefault="00F26204" w:rsidP="00F26204">
      <w:pPr>
        <w:pStyle w:val="NoSpacing"/>
        <w:spacing w:line="276" w:lineRule="auto"/>
        <w:rPr>
          <w:rFonts w:ascii="Times New Roman" w:hAnsi="Times New Roman" w:cs="Times New Roman"/>
          <w:sz w:val="20"/>
          <w:szCs w:val="24"/>
        </w:rPr>
      </w:pPr>
      <w:r>
        <w:rPr>
          <w:rFonts w:ascii="Times New Roman" w:hAnsi="Times New Roman" w:cs="Times New Roman"/>
          <w:b/>
          <w:sz w:val="20"/>
          <w:szCs w:val="24"/>
        </w:rPr>
        <w:t>Table A2.</w:t>
      </w:r>
      <w:r w:rsidRPr="00897FD6">
        <w:rPr>
          <w:rFonts w:ascii="Times New Roman" w:hAnsi="Times New Roman" w:cs="Times New Roman"/>
          <w:b/>
          <w:sz w:val="20"/>
          <w:szCs w:val="24"/>
        </w:rPr>
        <w:t xml:space="preserve"> </w:t>
      </w:r>
      <w:r>
        <w:rPr>
          <w:rFonts w:ascii="Times New Roman" w:hAnsi="Times New Roman" w:cs="Times New Roman"/>
          <w:sz w:val="20"/>
          <w:szCs w:val="24"/>
        </w:rPr>
        <w:t xml:space="preserve">Mean ± </w:t>
      </w:r>
      <w:r w:rsidRPr="004F2BDA">
        <w:rPr>
          <w:rFonts w:ascii="Times New Roman" w:hAnsi="Times New Roman" w:cs="Times New Roman"/>
          <w:sz w:val="20"/>
          <w:szCs w:val="24"/>
        </w:rPr>
        <w:t>S.E.</w:t>
      </w:r>
      <w:r>
        <w:rPr>
          <w:rFonts w:ascii="Times New Roman" w:hAnsi="Times New Roman" w:cs="Times New Roman"/>
          <w:sz w:val="20"/>
          <w:szCs w:val="24"/>
        </w:rPr>
        <w:t xml:space="preserve"> area for sites which have remained and were lost in Dorset between 1930 and 2015, with Mann-Whitney U </w:t>
      </w:r>
      <w:r w:rsidRPr="00757CDD">
        <w:rPr>
          <w:rFonts w:ascii="Times New Roman" w:hAnsi="Times New Roman" w:cs="Times New Roman"/>
          <w:sz w:val="20"/>
          <w:szCs w:val="24"/>
        </w:rPr>
        <w:t xml:space="preserve">test </w:t>
      </w:r>
      <w:r w:rsidRPr="00304189">
        <w:rPr>
          <w:rFonts w:ascii="Times New Roman" w:hAnsi="Times New Roman" w:cs="Times New Roman"/>
          <w:sz w:val="20"/>
          <w:szCs w:val="24"/>
        </w:rPr>
        <w:t xml:space="preserve">results for acid grassland, </w:t>
      </w:r>
      <w:r>
        <w:rPr>
          <w:rFonts w:ascii="Times New Roman" w:hAnsi="Times New Roman" w:cs="Times New Roman"/>
          <w:sz w:val="20"/>
          <w:szCs w:val="24"/>
        </w:rPr>
        <w:t xml:space="preserve">broadleaved woodland, </w:t>
      </w:r>
      <w:r w:rsidRPr="00304189">
        <w:rPr>
          <w:rFonts w:ascii="Times New Roman" w:hAnsi="Times New Roman" w:cs="Times New Roman"/>
          <w:sz w:val="20"/>
          <w:szCs w:val="24"/>
        </w:rPr>
        <w:t>calcareous grassland, fen, marsh and swamp, heathland and neutral</w:t>
      </w:r>
      <w:r>
        <w:rPr>
          <w:rFonts w:ascii="Times New Roman" w:hAnsi="Times New Roman" w:cs="Times New Roman"/>
          <w:sz w:val="20"/>
          <w:szCs w:val="24"/>
        </w:rPr>
        <w:t xml:space="preserve"> grassland.</w:t>
      </w:r>
    </w:p>
    <w:p w:rsidR="00F26204" w:rsidRDefault="00F26204" w:rsidP="00F26204">
      <w:pPr>
        <w:pStyle w:val="NoSpacing"/>
        <w:spacing w:line="276" w:lineRule="auto"/>
        <w:rPr>
          <w:rFonts w:ascii="Times New Roman" w:hAnsi="Times New Roman" w:cs="Times New Roman"/>
          <w:b/>
          <w:sz w:val="24"/>
          <w:szCs w:val="24"/>
        </w:rPr>
      </w:pPr>
    </w:p>
    <w:tbl>
      <w:tblPr>
        <w:tblStyle w:val="TableGrid"/>
        <w:tblW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1134"/>
        <w:gridCol w:w="1275"/>
        <w:gridCol w:w="851"/>
        <w:gridCol w:w="709"/>
      </w:tblGrid>
      <w:tr w:rsidR="00F26204" w:rsidTr="00DB710E">
        <w:trPr>
          <w:trHeight w:val="279"/>
        </w:trPr>
        <w:tc>
          <w:tcPr>
            <w:tcW w:w="2122" w:type="dxa"/>
            <w:tcBorders>
              <w:top w:val="single" w:sz="4" w:space="0" w:color="auto"/>
              <w:bottom w:val="single" w:sz="4" w:space="0" w:color="auto"/>
            </w:tcBorders>
          </w:tcPr>
          <w:p w:rsidR="00F26204" w:rsidRPr="00897FD6" w:rsidRDefault="00F26204" w:rsidP="00DB710E">
            <w:pPr>
              <w:pStyle w:val="NoSpacing"/>
              <w:spacing w:line="276" w:lineRule="auto"/>
              <w:rPr>
                <w:rFonts w:ascii="Times New Roman" w:hAnsi="Times New Roman" w:cs="Times New Roman"/>
                <w:sz w:val="20"/>
                <w:szCs w:val="20"/>
              </w:rPr>
            </w:pPr>
          </w:p>
        </w:tc>
        <w:tc>
          <w:tcPr>
            <w:tcW w:w="1134" w:type="dxa"/>
            <w:tcBorders>
              <w:top w:val="single" w:sz="4" w:space="0" w:color="auto"/>
              <w:bottom w:val="single" w:sz="4" w:space="0" w:color="auto"/>
            </w:tcBorders>
          </w:tcPr>
          <w:p w:rsidR="00F26204" w:rsidRPr="00F42BC7" w:rsidRDefault="00F26204" w:rsidP="00DB710E">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Remain</w:t>
            </w:r>
          </w:p>
        </w:tc>
        <w:tc>
          <w:tcPr>
            <w:tcW w:w="1275" w:type="dxa"/>
            <w:tcBorders>
              <w:top w:val="single" w:sz="4" w:space="0" w:color="auto"/>
              <w:bottom w:val="single" w:sz="4" w:space="0" w:color="auto"/>
            </w:tcBorders>
          </w:tcPr>
          <w:p w:rsidR="00F26204" w:rsidRPr="00F42BC7" w:rsidRDefault="00F26204" w:rsidP="00DB710E">
            <w:pPr>
              <w:pStyle w:val="NoSpacing"/>
              <w:spacing w:line="276" w:lineRule="auto"/>
              <w:jc w:val="center"/>
              <w:rPr>
                <w:rFonts w:ascii="Times New Roman" w:hAnsi="Times New Roman" w:cs="Times New Roman"/>
                <w:sz w:val="20"/>
                <w:szCs w:val="20"/>
              </w:rPr>
            </w:pPr>
            <w:r>
              <w:rPr>
                <w:rFonts w:ascii="Times New Roman" w:hAnsi="Times New Roman" w:cs="Times New Roman"/>
                <w:sz w:val="20"/>
                <w:szCs w:val="20"/>
              </w:rPr>
              <w:t>Lost</w:t>
            </w:r>
          </w:p>
        </w:tc>
        <w:tc>
          <w:tcPr>
            <w:tcW w:w="851" w:type="dxa"/>
            <w:tcBorders>
              <w:top w:val="single" w:sz="4" w:space="0" w:color="auto"/>
              <w:bottom w:val="single" w:sz="4" w:space="0" w:color="auto"/>
            </w:tcBorders>
          </w:tcPr>
          <w:p w:rsidR="00F26204" w:rsidRPr="00F42BC7" w:rsidRDefault="00F26204" w:rsidP="00DB710E">
            <w:pPr>
              <w:pStyle w:val="NoSpacing"/>
              <w:spacing w:line="276" w:lineRule="auto"/>
              <w:jc w:val="center"/>
              <w:rPr>
                <w:rFonts w:ascii="Times New Roman" w:hAnsi="Times New Roman" w:cs="Times New Roman"/>
                <w:sz w:val="20"/>
                <w:szCs w:val="20"/>
              </w:rPr>
            </w:pPr>
            <w:r w:rsidRPr="00F42BC7">
              <w:rPr>
                <w:rFonts w:ascii="Times New Roman" w:hAnsi="Times New Roman" w:cs="Times New Roman"/>
                <w:sz w:val="20"/>
                <w:szCs w:val="20"/>
              </w:rPr>
              <w:t>W</w:t>
            </w:r>
          </w:p>
        </w:tc>
        <w:tc>
          <w:tcPr>
            <w:tcW w:w="709" w:type="dxa"/>
            <w:tcBorders>
              <w:top w:val="single" w:sz="4" w:space="0" w:color="auto"/>
              <w:bottom w:val="single" w:sz="4" w:space="0" w:color="auto"/>
            </w:tcBorders>
          </w:tcPr>
          <w:p w:rsidR="00F26204" w:rsidRPr="002704BB" w:rsidRDefault="00F26204" w:rsidP="00DB710E">
            <w:pPr>
              <w:pStyle w:val="NoSpacing"/>
              <w:spacing w:line="276" w:lineRule="auto"/>
              <w:jc w:val="center"/>
              <w:rPr>
                <w:rFonts w:ascii="Times New Roman" w:hAnsi="Times New Roman" w:cs="Times New Roman"/>
                <w:i/>
                <w:sz w:val="20"/>
                <w:szCs w:val="20"/>
              </w:rPr>
            </w:pPr>
            <w:r w:rsidRPr="002704BB">
              <w:rPr>
                <w:rFonts w:ascii="Times New Roman" w:hAnsi="Times New Roman" w:cs="Times New Roman"/>
                <w:i/>
                <w:sz w:val="20"/>
                <w:szCs w:val="20"/>
              </w:rPr>
              <w:t>p</w:t>
            </w:r>
          </w:p>
        </w:tc>
      </w:tr>
      <w:tr w:rsidR="00F26204" w:rsidTr="00DB710E">
        <w:trPr>
          <w:trHeight w:val="295"/>
        </w:trPr>
        <w:tc>
          <w:tcPr>
            <w:tcW w:w="2122" w:type="dxa"/>
            <w:tcBorders>
              <w:top w:val="single" w:sz="4" w:space="0" w:color="auto"/>
            </w:tcBorders>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Acid grassland</w:t>
            </w:r>
          </w:p>
        </w:tc>
        <w:tc>
          <w:tcPr>
            <w:tcW w:w="1134" w:type="dxa"/>
            <w:tcBorders>
              <w:top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8.64 ± 4.14</w:t>
            </w:r>
          </w:p>
        </w:tc>
        <w:tc>
          <w:tcPr>
            <w:tcW w:w="1275" w:type="dxa"/>
            <w:tcBorders>
              <w:top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2.48 ± 0.24</w:t>
            </w:r>
          </w:p>
        </w:tc>
        <w:tc>
          <w:tcPr>
            <w:tcW w:w="851" w:type="dxa"/>
            <w:tcBorders>
              <w:top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108</w:t>
            </w:r>
          </w:p>
        </w:tc>
        <w:tc>
          <w:tcPr>
            <w:tcW w:w="709" w:type="dxa"/>
            <w:tcBorders>
              <w:top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0.434</w:t>
            </w:r>
          </w:p>
        </w:tc>
      </w:tr>
      <w:tr w:rsidR="00F26204" w:rsidTr="00DB710E">
        <w:trPr>
          <w:trHeight w:val="279"/>
        </w:trPr>
        <w:tc>
          <w:tcPr>
            <w:tcW w:w="2122"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Broadleaved woodland</w:t>
            </w:r>
          </w:p>
        </w:tc>
        <w:tc>
          <w:tcPr>
            <w:tcW w:w="1134"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3.65 ± 0.10</w:t>
            </w:r>
          </w:p>
        </w:tc>
        <w:tc>
          <w:tcPr>
            <w:tcW w:w="1275"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4.83 ± 0.40</w:t>
            </w:r>
          </w:p>
        </w:tc>
        <w:tc>
          <w:tcPr>
            <w:tcW w:w="851"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120149</w:t>
            </w:r>
          </w:p>
        </w:tc>
        <w:tc>
          <w:tcPr>
            <w:tcW w:w="709"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0.027</w:t>
            </w:r>
          </w:p>
        </w:tc>
      </w:tr>
      <w:tr w:rsidR="00F26204" w:rsidTr="00DB710E">
        <w:trPr>
          <w:trHeight w:val="279"/>
        </w:trPr>
        <w:tc>
          <w:tcPr>
            <w:tcW w:w="2122" w:type="dxa"/>
          </w:tcPr>
          <w:p w:rsidR="00F26204" w:rsidRPr="00897FD6" w:rsidRDefault="00F26204" w:rsidP="00DB710E">
            <w:pPr>
              <w:pStyle w:val="NoSpacing"/>
              <w:spacing w:line="276" w:lineRule="auto"/>
              <w:rPr>
                <w:rFonts w:ascii="Times New Roman" w:hAnsi="Times New Roman" w:cs="Times New Roman"/>
                <w:sz w:val="20"/>
                <w:szCs w:val="20"/>
              </w:rPr>
            </w:pPr>
            <w:r w:rsidRPr="00897FD6">
              <w:rPr>
                <w:rFonts w:ascii="Times New Roman" w:hAnsi="Times New Roman" w:cs="Times New Roman"/>
                <w:sz w:val="20"/>
                <w:szCs w:val="20"/>
              </w:rPr>
              <w:t>Calcareous</w:t>
            </w:r>
            <w:r>
              <w:rPr>
                <w:rFonts w:ascii="Times New Roman" w:hAnsi="Times New Roman" w:cs="Times New Roman"/>
                <w:sz w:val="20"/>
                <w:szCs w:val="20"/>
              </w:rPr>
              <w:t xml:space="preserve"> grassland</w:t>
            </w:r>
          </w:p>
        </w:tc>
        <w:tc>
          <w:tcPr>
            <w:tcW w:w="1134" w:type="dxa"/>
          </w:tcPr>
          <w:p w:rsidR="00F26204" w:rsidRPr="00F42BC7"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4.53 ± 0.31</w:t>
            </w:r>
          </w:p>
        </w:tc>
        <w:tc>
          <w:tcPr>
            <w:tcW w:w="1275" w:type="dxa"/>
          </w:tcPr>
          <w:p w:rsidR="00F26204" w:rsidRPr="00F42BC7"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5.53 ± 0.25</w:t>
            </w:r>
          </w:p>
        </w:tc>
        <w:tc>
          <w:tcPr>
            <w:tcW w:w="851" w:type="dxa"/>
          </w:tcPr>
          <w:p w:rsidR="00F26204" w:rsidRPr="00897FD6" w:rsidRDefault="00F26204" w:rsidP="00DB710E">
            <w:pPr>
              <w:pStyle w:val="NoSpacing"/>
              <w:spacing w:line="276" w:lineRule="auto"/>
              <w:rPr>
                <w:rFonts w:ascii="Times New Roman" w:hAnsi="Times New Roman" w:cs="Times New Roman"/>
                <w:sz w:val="20"/>
                <w:szCs w:val="20"/>
              </w:rPr>
            </w:pPr>
            <w:r w:rsidRPr="00F42BC7">
              <w:rPr>
                <w:rFonts w:ascii="Times New Roman" w:hAnsi="Times New Roman" w:cs="Times New Roman"/>
                <w:sz w:val="20"/>
                <w:szCs w:val="20"/>
              </w:rPr>
              <w:t>45696</w:t>
            </w:r>
          </w:p>
        </w:tc>
        <w:tc>
          <w:tcPr>
            <w:tcW w:w="709"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0.017</w:t>
            </w:r>
          </w:p>
        </w:tc>
      </w:tr>
      <w:tr w:rsidR="00F26204" w:rsidTr="00DB710E">
        <w:trPr>
          <w:trHeight w:val="279"/>
        </w:trPr>
        <w:tc>
          <w:tcPr>
            <w:tcW w:w="2122"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Fen, marsh, swamp</w:t>
            </w:r>
          </w:p>
        </w:tc>
        <w:tc>
          <w:tcPr>
            <w:tcW w:w="1134"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2.99 ± 0.41</w:t>
            </w:r>
          </w:p>
        </w:tc>
        <w:tc>
          <w:tcPr>
            <w:tcW w:w="1275"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2.02 ± 0.16</w:t>
            </w:r>
          </w:p>
        </w:tc>
        <w:tc>
          <w:tcPr>
            <w:tcW w:w="851"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6013</w:t>
            </w:r>
          </w:p>
        </w:tc>
        <w:tc>
          <w:tcPr>
            <w:tcW w:w="709"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0.020</w:t>
            </w:r>
          </w:p>
        </w:tc>
      </w:tr>
      <w:tr w:rsidR="00F26204" w:rsidTr="00DB710E">
        <w:trPr>
          <w:trHeight w:val="279"/>
        </w:trPr>
        <w:tc>
          <w:tcPr>
            <w:tcW w:w="2122" w:type="dxa"/>
          </w:tcPr>
          <w:p w:rsidR="00F26204" w:rsidRPr="00897FD6" w:rsidRDefault="00F26204" w:rsidP="00DB710E">
            <w:pPr>
              <w:pStyle w:val="NoSpacing"/>
              <w:spacing w:line="276" w:lineRule="auto"/>
              <w:rPr>
                <w:rFonts w:ascii="Times New Roman" w:hAnsi="Times New Roman" w:cs="Times New Roman"/>
                <w:sz w:val="20"/>
                <w:szCs w:val="20"/>
              </w:rPr>
            </w:pPr>
            <w:r w:rsidRPr="00897FD6">
              <w:rPr>
                <w:rFonts w:ascii="Times New Roman" w:hAnsi="Times New Roman" w:cs="Times New Roman"/>
                <w:sz w:val="20"/>
                <w:szCs w:val="20"/>
              </w:rPr>
              <w:t>Heath</w:t>
            </w:r>
            <w:r>
              <w:rPr>
                <w:rFonts w:ascii="Times New Roman" w:hAnsi="Times New Roman" w:cs="Times New Roman"/>
                <w:sz w:val="20"/>
                <w:szCs w:val="20"/>
              </w:rPr>
              <w:t>land</w:t>
            </w:r>
          </w:p>
        </w:tc>
        <w:tc>
          <w:tcPr>
            <w:tcW w:w="1134"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7.26 ± 0.74</w:t>
            </w:r>
          </w:p>
        </w:tc>
        <w:tc>
          <w:tcPr>
            <w:tcW w:w="1275" w:type="dxa"/>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5.41 ± 0.39</w:t>
            </w:r>
          </w:p>
        </w:tc>
        <w:tc>
          <w:tcPr>
            <w:tcW w:w="851"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10222</w:t>
            </w:r>
          </w:p>
        </w:tc>
        <w:tc>
          <w:tcPr>
            <w:tcW w:w="709" w:type="dxa"/>
          </w:tcPr>
          <w:p w:rsidR="00F26204" w:rsidRPr="00897FD6"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0.010</w:t>
            </w:r>
          </w:p>
        </w:tc>
      </w:tr>
      <w:tr w:rsidR="00F26204" w:rsidTr="00DB710E">
        <w:trPr>
          <w:trHeight w:val="279"/>
        </w:trPr>
        <w:tc>
          <w:tcPr>
            <w:tcW w:w="2122" w:type="dxa"/>
            <w:tcBorders>
              <w:bottom w:val="single" w:sz="4" w:space="0" w:color="auto"/>
            </w:tcBorders>
          </w:tcPr>
          <w:p w:rsidR="00F26204" w:rsidRPr="00897FD6" w:rsidRDefault="00F26204" w:rsidP="00DB710E">
            <w:pPr>
              <w:pStyle w:val="NoSpacing"/>
              <w:spacing w:line="276" w:lineRule="auto"/>
              <w:rPr>
                <w:rFonts w:ascii="Times New Roman" w:hAnsi="Times New Roman" w:cs="Times New Roman"/>
                <w:sz w:val="20"/>
                <w:szCs w:val="20"/>
              </w:rPr>
            </w:pPr>
            <w:r w:rsidRPr="00897FD6">
              <w:rPr>
                <w:rFonts w:ascii="Times New Roman" w:hAnsi="Times New Roman" w:cs="Times New Roman"/>
                <w:sz w:val="20"/>
                <w:szCs w:val="20"/>
              </w:rPr>
              <w:t>Neutral</w:t>
            </w:r>
            <w:r>
              <w:rPr>
                <w:rFonts w:ascii="Times New Roman" w:hAnsi="Times New Roman" w:cs="Times New Roman"/>
                <w:sz w:val="20"/>
                <w:szCs w:val="20"/>
              </w:rPr>
              <w:t xml:space="preserve"> grassland</w:t>
            </w:r>
          </w:p>
        </w:tc>
        <w:tc>
          <w:tcPr>
            <w:tcW w:w="1134" w:type="dxa"/>
            <w:tcBorders>
              <w:bottom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2.45 ± 0.72</w:t>
            </w:r>
          </w:p>
        </w:tc>
        <w:tc>
          <w:tcPr>
            <w:tcW w:w="1275" w:type="dxa"/>
            <w:tcBorders>
              <w:bottom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2.96 ± 0.11</w:t>
            </w:r>
          </w:p>
        </w:tc>
        <w:tc>
          <w:tcPr>
            <w:tcW w:w="851" w:type="dxa"/>
            <w:tcBorders>
              <w:bottom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2363</w:t>
            </w:r>
          </w:p>
        </w:tc>
        <w:tc>
          <w:tcPr>
            <w:tcW w:w="709" w:type="dxa"/>
            <w:tcBorders>
              <w:bottom w:val="single" w:sz="4" w:space="0" w:color="auto"/>
            </w:tcBorders>
          </w:tcPr>
          <w:p w:rsidR="00F26204" w:rsidRDefault="00F26204" w:rsidP="00DB710E">
            <w:pPr>
              <w:pStyle w:val="NoSpacing"/>
              <w:spacing w:line="276" w:lineRule="auto"/>
              <w:rPr>
                <w:rFonts w:ascii="Times New Roman" w:hAnsi="Times New Roman" w:cs="Times New Roman"/>
                <w:sz w:val="20"/>
                <w:szCs w:val="20"/>
              </w:rPr>
            </w:pPr>
            <w:r>
              <w:rPr>
                <w:rFonts w:ascii="Times New Roman" w:hAnsi="Times New Roman" w:cs="Times New Roman"/>
                <w:sz w:val="20"/>
                <w:szCs w:val="20"/>
              </w:rPr>
              <w:t>0.260</w:t>
            </w:r>
          </w:p>
        </w:tc>
      </w:tr>
    </w:tbl>
    <w:p w:rsidR="00F26204" w:rsidRDefault="00F26204" w:rsidP="00F26204">
      <w:pPr>
        <w:rPr>
          <w:rFonts w:ascii="Times New Roman" w:hAnsi="Times New Roman" w:cs="Times New Roman"/>
          <w:sz w:val="24"/>
          <w:szCs w:val="24"/>
        </w:rPr>
      </w:pPr>
    </w:p>
    <w:p w:rsidR="000E4D1D" w:rsidRDefault="000E4D1D"/>
    <w:sectPr w:rsidR="000E4D1D" w:rsidSect="00F2620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F26204"/>
    <w:rsid w:val="000E4D1D"/>
    <w:rsid w:val="000F4A68"/>
    <w:rsid w:val="00252BC5"/>
    <w:rsid w:val="00296EE5"/>
    <w:rsid w:val="00F26204"/>
    <w:rsid w:val="00FE3B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D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6204"/>
    <w:pPr>
      <w:spacing w:after="0" w:line="240" w:lineRule="auto"/>
    </w:pPr>
    <w:rPr>
      <w:lang w:val="en-GB"/>
    </w:rPr>
  </w:style>
  <w:style w:type="table" w:customStyle="1" w:styleId="TableGridLight1">
    <w:name w:val="Table Grid Light1"/>
    <w:basedOn w:val="TableNormal"/>
    <w:uiPriority w:val="40"/>
    <w:rsid w:val="00F26204"/>
    <w:pPr>
      <w:spacing w:after="0" w:line="240" w:lineRule="auto"/>
    </w:pPr>
    <w:rPr>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39"/>
    <w:rsid w:val="00F26204"/>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2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3936</Words>
  <Characters>22439</Characters>
  <Application>Microsoft Office Word</Application>
  <DocSecurity>0</DocSecurity>
  <Lines>186</Lines>
  <Paragraphs>52</Paragraphs>
  <ScaleCrop>false</ScaleCrop>
  <Company/>
  <LinksUpToDate>false</LinksUpToDate>
  <CharactersWithSpaces>26323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0012170</dc:creator>
  <cp:lastModifiedBy>0012170</cp:lastModifiedBy>
  <cp:revision>1</cp:revision>
  <dcterms:created xsi:type="dcterms:W3CDTF">2019-11-27T10:58:00Z</dcterms:created>
  <dcterms:modified xsi:type="dcterms:W3CDTF">2019-11-27T10:58:00Z</dcterms:modified>
</cp:coreProperties>
</file>