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700" w:rsidRPr="00015088" w:rsidRDefault="00666700" w:rsidP="00666700">
      <w:pPr>
        <w:rPr>
          <w:sz w:val="36"/>
          <w:szCs w:val="36"/>
          <w:lang w:val="en-GB"/>
        </w:rPr>
      </w:pPr>
      <w:r w:rsidRPr="00015088">
        <w:rPr>
          <w:sz w:val="36"/>
          <w:szCs w:val="36"/>
          <w:lang w:val="en-GB"/>
        </w:rPr>
        <w:t xml:space="preserve">Supplementary </w:t>
      </w:r>
      <w:r>
        <w:rPr>
          <w:sz w:val="36"/>
          <w:szCs w:val="36"/>
          <w:lang w:val="en-GB"/>
        </w:rPr>
        <w:t>Material</w:t>
      </w:r>
      <w:r w:rsidRPr="00015088">
        <w:rPr>
          <w:sz w:val="36"/>
          <w:szCs w:val="36"/>
          <w:lang w:val="en-GB"/>
        </w:rPr>
        <w:t xml:space="preserve"> for</w:t>
      </w:r>
    </w:p>
    <w:p w:rsidR="00AE6510" w:rsidRDefault="0089432F" w:rsidP="00666700">
      <w:pPr>
        <w:pStyle w:val="Title"/>
        <w:rPr>
          <w:rFonts w:ascii="Times New Roman" w:eastAsia="Times New Roman" w:hAnsi="Times New Roman" w:cs="Times New Roman"/>
          <w:b/>
          <w:sz w:val="40"/>
          <w:szCs w:val="40"/>
        </w:rPr>
      </w:pPr>
      <w:r>
        <w:rPr>
          <w:rFonts w:ascii="Times New Roman" w:eastAsia="Times New Roman" w:hAnsi="Times New Roman" w:cs="Times New Roman"/>
          <w:b/>
          <w:sz w:val="40"/>
          <w:szCs w:val="40"/>
        </w:rPr>
        <w:t>A</w:t>
      </w:r>
      <w:r w:rsidR="00666700" w:rsidRPr="00666700">
        <w:rPr>
          <w:rFonts w:ascii="Times New Roman" w:eastAsia="Times New Roman" w:hAnsi="Times New Roman" w:cs="Times New Roman"/>
          <w:b/>
          <w:sz w:val="40"/>
          <w:szCs w:val="40"/>
        </w:rPr>
        <w:t xml:space="preserve"> new European land systems representation accounting for landscape characteristics</w:t>
      </w:r>
    </w:p>
    <w:p w:rsidR="00AE6510" w:rsidRDefault="00AE6510" w:rsidP="00666700">
      <w:pPr>
        <w:pStyle w:val="Title"/>
        <w:rPr>
          <w:rFonts w:ascii="Times New Roman" w:eastAsia="Times New Roman" w:hAnsi="Times New Roman" w:cs="Times New Roman"/>
          <w:b/>
          <w:sz w:val="40"/>
          <w:szCs w:val="40"/>
        </w:rPr>
      </w:pPr>
    </w:p>
    <w:p w:rsidR="0089432F" w:rsidRDefault="00666700" w:rsidP="0089432F">
      <w:pPr>
        <w:pStyle w:val="Title"/>
        <w:rPr>
          <w:rFonts w:ascii="Times New Roman" w:eastAsia="Times New Roman" w:hAnsi="Times New Roman" w:cs="Times New Roman"/>
          <w:sz w:val="24"/>
          <w:szCs w:val="24"/>
        </w:rPr>
      </w:pPr>
      <w:r w:rsidRPr="00666700">
        <w:rPr>
          <w:rFonts w:ascii="Times New Roman" w:eastAsia="Times New Roman" w:hAnsi="Times New Roman" w:cs="Times New Roman"/>
          <w:b/>
          <w:sz w:val="40"/>
          <w:szCs w:val="40"/>
        </w:rPr>
        <w:t xml:space="preserve"> </w:t>
      </w:r>
      <w:r w:rsidR="0089432F">
        <w:rPr>
          <w:rFonts w:ascii="Times New Roman" w:eastAsia="Times New Roman" w:hAnsi="Times New Roman" w:cs="Times New Roman"/>
          <w:sz w:val="24"/>
          <w:szCs w:val="24"/>
        </w:rPr>
        <w:t xml:space="preserve">Yue Dou </w:t>
      </w:r>
      <w:r w:rsidR="0089432F" w:rsidRPr="00D52BB0">
        <w:rPr>
          <w:rFonts w:ascii="Times New Roman" w:eastAsia="Times New Roman" w:hAnsi="Times New Roman" w:cs="Times New Roman"/>
          <w:sz w:val="24"/>
          <w:szCs w:val="24"/>
          <w:vertAlign w:val="superscript"/>
        </w:rPr>
        <w:t>1</w:t>
      </w:r>
      <w:r w:rsidR="0089432F">
        <w:rPr>
          <w:rFonts w:ascii="Times New Roman" w:eastAsia="Times New Roman" w:hAnsi="Times New Roman" w:cs="Times New Roman"/>
          <w:sz w:val="24"/>
          <w:szCs w:val="24"/>
          <w:vertAlign w:val="superscript"/>
        </w:rPr>
        <w:t>*</w:t>
      </w:r>
      <w:r w:rsidR="0089432F">
        <w:rPr>
          <w:rFonts w:ascii="Times New Roman" w:eastAsia="Times New Roman" w:hAnsi="Times New Roman" w:cs="Times New Roman"/>
          <w:sz w:val="24"/>
          <w:szCs w:val="24"/>
        </w:rPr>
        <w:t xml:space="preserve">, Francesca Cosentino </w:t>
      </w:r>
      <w:r w:rsidR="0089432F" w:rsidRPr="00D52BB0">
        <w:rPr>
          <w:rFonts w:ascii="Times New Roman" w:eastAsia="Times New Roman" w:hAnsi="Times New Roman" w:cs="Times New Roman"/>
          <w:sz w:val="24"/>
          <w:szCs w:val="24"/>
          <w:vertAlign w:val="superscript"/>
        </w:rPr>
        <w:t>2</w:t>
      </w:r>
      <w:r w:rsidR="0089432F">
        <w:rPr>
          <w:rFonts w:ascii="Times New Roman" w:eastAsia="Times New Roman" w:hAnsi="Times New Roman" w:cs="Times New Roman"/>
          <w:sz w:val="24"/>
          <w:szCs w:val="24"/>
        </w:rPr>
        <w:t xml:space="preserve">, Ziga Malek </w:t>
      </w:r>
      <w:r w:rsidR="0089432F" w:rsidRPr="00D52BB0">
        <w:rPr>
          <w:rFonts w:ascii="Times New Roman" w:eastAsia="Times New Roman" w:hAnsi="Times New Roman" w:cs="Times New Roman"/>
          <w:sz w:val="24"/>
          <w:szCs w:val="24"/>
          <w:vertAlign w:val="superscript"/>
        </w:rPr>
        <w:t>1</w:t>
      </w:r>
      <w:r w:rsidR="0089432F">
        <w:rPr>
          <w:rFonts w:ascii="Times New Roman" w:eastAsia="Times New Roman" w:hAnsi="Times New Roman" w:cs="Times New Roman"/>
          <w:sz w:val="24"/>
          <w:szCs w:val="24"/>
        </w:rPr>
        <w:t xml:space="preserve">, Luigi Maiorano </w:t>
      </w:r>
      <w:r w:rsidR="0089432F" w:rsidRPr="00D52BB0">
        <w:rPr>
          <w:rFonts w:ascii="Times New Roman" w:eastAsia="Times New Roman" w:hAnsi="Times New Roman" w:cs="Times New Roman"/>
          <w:sz w:val="24"/>
          <w:szCs w:val="24"/>
          <w:vertAlign w:val="superscript"/>
        </w:rPr>
        <w:t>2</w:t>
      </w:r>
      <w:r w:rsidR="0089432F">
        <w:rPr>
          <w:rFonts w:ascii="Times New Roman" w:eastAsia="Times New Roman" w:hAnsi="Times New Roman" w:cs="Times New Roman"/>
          <w:sz w:val="24"/>
          <w:szCs w:val="24"/>
        </w:rPr>
        <w:t xml:space="preserve">, Wilfried Thuiller </w:t>
      </w:r>
      <w:r w:rsidR="0089432F" w:rsidRPr="00D52BB0">
        <w:rPr>
          <w:rFonts w:ascii="Times New Roman" w:eastAsia="Times New Roman" w:hAnsi="Times New Roman" w:cs="Times New Roman"/>
          <w:sz w:val="24"/>
          <w:szCs w:val="24"/>
          <w:vertAlign w:val="superscript"/>
        </w:rPr>
        <w:t>3</w:t>
      </w:r>
      <w:r w:rsidR="0089432F">
        <w:rPr>
          <w:rFonts w:ascii="Times New Roman" w:eastAsia="Times New Roman" w:hAnsi="Times New Roman" w:cs="Times New Roman"/>
          <w:sz w:val="24"/>
          <w:szCs w:val="24"/>
        </w:rPr>
        <w:t xml:space="preserve">, Peter H. Verburg </w:t>
      </w:r>
      <w:r w:rsidR="0089432F" w:rsidRPr="00D52BB0">
        <w:rPr>
          <w:rFonts w:ascii="Times New Roman" w:eastAsia="Times New Roman" w:hAnsi="Times New Roman" w:cs="Times New Roman"/>
          <w:sz w:val="24"/>
          <w:szCs w:val="24"/>
          <w:vertAlign w:val="superscript"/>
        </w:rPr>
        <w:t>1, 4</w:t>
      </w:r>
    </w:p>
    <w:p w:rsidR="0089432F" w:rsidRDefault="0089432F" w:rsidP="0089432F"/>
    <w:p w:rsidR="0089432F" w:rsidRPr="00394E1A" w:rsidRDefault="0089432F" w:rsidP="0089432F">
      <w:pPr>
        <w:rPr>
          <w:szCs w:val="24"/>
        </w:rPr>
      </w:pPr>
      <w:r w:rsidRPr="00394E1A">
        <w:rPr>
          <w:szCs w:val="24"/>
        </w:rPr>
        <w:t>1, Environmental Geography Group, Institute for Environmental Studies (IVM), Vrije Universiteit Amsterdam, De Boelelaan 1087, 1081 HV Amsterdam, the Netherlands</w:t>
      </w:r>
    </w:p>
    <w:p w:rsidR="0089432F" w:rsidRPr="00D52BB0" w:rsidRDefault="0089432F" w:rsidP="0089432F">
      <w:pPr>
        <w:pStyle w:val="NormalWeb"/>
        <w:spacing w:before="0" w:beforeAutospacing="0" w:after="225" w:afterAutospacing="0"/>
        <w:rPr>
          <w:bCs/>
        </w:rPr>
      </w:pPr>
      <w:r w:rsidRPr="00D52BB0">
        <w:t xml:space="preserve">2, </w:t>
      </w:r>
      <w:r w:rsidRPr="00D52BB0">
        <w:rPr>
          <w:bCs/>
        </w:rPr>
        <w:t>Department of Biology and Biotechnologies “Charles Darwin”, University of Rome “La Sapienza”, Rome, Italy</w:t>
      </w:r>
    </w:p>
    <w:p w:rsidR="0089432F" w:rsidRPr="00394E1A" w:rsidRDefault="0089432F" w:rsidP="0089432F">
      <w:pPr>
        <w:pStyle w:val="NormalWeb"/>
        <w:spacing w:before="0" w:beforeAutospacing="0" w:after="225" w:afterAutospacing="0"/>
        <w:rPr>
          <w:bCs/>
          <w:lang w:val="fr-FR"/>
        </w:rPr>
      </w:pPr>
      <w:r w:rsidRPr="00394E1A">
        <w:rPr>
          <w:lang w:val="fr-FR"/>
        </w:rPr>
        <w:t xml:space="preserve">3, </w:t>
      </w:r>
      <w:r w:rsidRPr="00394E1A">
        <w:rPr>
          <w:bCs/>
          <w:lang w:val="fr-FR"/>
        </w:rPr>
        <w:t>Laboratoire d’Ecologie Alpine, LECA, Université Grenoble Alpes, CNRS, Université Savoie Mont Blanc, Grenoble, France</w:t>
      </w:r>
    </w:p>
    <w:p w:rsidR="0089432F" w:rsidRPr="00D52BB0" w:rsidRDefault="0089432F" w:rsidP="0089432F">
      <w:pPr>
        <w:rPr>
          <w:szCs w:val="24"/>
        </w:rPr>
      </w:pPr>
      <w:r w:rsidRPr="00D52BB0">
        <w:rPr>
          <w:szCs w:val="24"/>
        </w:rPr>
        <w:t>4, Swiss Federal Institute for Forest, Snow and Landscape Research (WSL), Birmensdorf, Switzerland</w:t>
      </w:r>
    </w:p>
    <w:p w:rsidR="0089432F" w:rsidRPr="00D52BB0" w:rsidRDefault="0089432F" w:rsidP="0089432F"/>
    <w:p w:rsidR="0089432F" w:rsidRPr="00D52BB0" w:rsidRDefault="0089432F" w:rsidP="0089432F">
      <w:pPr>
        <w:spacing w:line="360" w:lineRule="auto"/>
        <w:rPr>
          <w:szCs w:val="24"/>
        </w:rPr>
      </w:pPr>
      <w:r w:rsidRPr="00D52BB0">
        <w:rPr>
          <w:szCs w:val="24"/>
        </w:rPr>
        <w:t>Corresponding author:</w:t>
      </w:r>
    </w:p>
    <w:p w:rsidR="0089432F" w:rsidRDefault="0089432F" w:rsidP="0089432F">
      <w:pPr>
        <w:spacing w:line="360" w:lineRule="auto"/>
        <w:rPr>
          <w:szCs w:val="24"/>
        </w:rPr>
      </w:pPr>
      <w:r w:rsidRPr="00D52BB0">
        <w:rPr>
          <w:szCs w:val="24"/>
        </w:rPr>
        <w:t xml:space="preserve">Yue Dou: </w:t>
      </w:r>
      <w:hyperlink r:id="rId8" w:history="1">
        <w:r w:rsidRPr="00D52BB0">
          <w:rPr>
            <w:szCs w:val="24"/>
          </w:rPr>
          <w:t>yue.dou@vu.nl</w:t>
        </w:r>
      </w:hyperlink>
      <w:r w:rsidRPr="00D52BB0">
        <w:rPr>
          <w:szCs w:val="24"/>
        </w:rPr>
        <w:t>, +31 61</w:t>
      </w:r>
      <w:r>
        <w:rPr>
          <w:szCs w:val="24"/>
        </w:rPr>
        <w:t xml:space="preserve"> </w:t>
      </w:r>
      <w:r w:rsidRPr="00D52BB0">
        <w:rPr>
          <w:szCs w:val="24"/>
        </w:rPr>
        <w:t>31</w:t>
      </w:r>
      <w:r>
        <w:rPr>
          <w:szCs w:val="24"/>
        </w:rPr>
        <w:t xml:space="preserve"> </w:t>
      </w:r>
      <w:r w:rsidRPr="00D52BB0">
        <w:rPr>
          <w:szCs w:val="24"/>
        </w:rPr>
        <w:t>90</w:t>
      </w:r>
      <w:r>
        <w:rPr>
          <w:szCs w:val="24"/>
        </w:rPr>
        <w:t xml:space="preserve"> </w:t>
      </w:r>
      <w:r w:rsidRPr="00D52BB0">
        <w:rPr>
          <w:szCs w:val="24"/>
        </w:rPr>
        <w:t>255</w:t>
      </w:r>
    </w:p>
    <w:p w:rsidR="00666700" w:rsidRPr="00666700" w:rsidRDefault="00666700" w:rsidP="00666700">
      <w:pPr>
        <w:pStyle w:val="Title"/>
        <w:rPr>
          <w:rFonts w:ascii="Times New Roman" w:eastAsia="Times New Roman" w:hAnsi="Times New Roman" w:cs="Times New Roman"/>
          <w:b/>
          <w:sz w:val="40"/>
          <w:szCs w:val="40"/>
        </w:rPr>
      </w:pPr>
    </w:p>
    <w:p w:rsidR="009447AD" w:rsidRDefault="009447AD"/>
    <w:p w:rsidR="008A0649" w:rsidRDefault="008A0649">
      <w:pPr>
        <w:spacing w:after="160" w:line="259" w:lineRule="auto"/>
        <w:rPr>
          <w:b/>
          <w:bCs/>
          <w:kern w:val="32"/>
          <w:szCs w:val="24"/>
          <w:lang w:val="en-GB"/>
        </w:rPr>
      </w:pPr>
      <w:bookmarkStart w:id="0" w:name="_Toc17129529"/>
      <w:r>
        <w:rPr>
          <w:lang w:val="en-GB"/>
        </w:rPr>
        <w:br w:type="page"/>
      </w:r>
    </w:p>
    <w:sdt>
      <w:sdtPr>
        <w:rPr>
          <w:rFonts w:ascii="Times New Roman" w:eastAsia="Times New Roman" w:hAnsi="Times New Roman" w:cs="Times New Roman"/>
          <w:color w:val="auto"/>
          <w:sz w:val="24"/>
          <w:szCs w:val="20"/>
        </w:rPr>
        <w:id w:val="-496187551"/>
        <w:docPartObj>
          <w:docPartGallery w:val="Table of Contents"/>
          <w:docPartUnique/>
        </w:docPartObj>
      </w:sdtPr>
      <w:sdtEndPr>
        <w:rPr>
          <w:b/>
          <w:bCs/>
          <w:noProof/>
        </w:rPr>
      </w:sdtEndPr>
      <w:sdtContent>
        <w:p w:rsidR="008A0649" w:rsidRDefault="008A0649">
          <w:pPr>
            <w:pStyle w:val="TOCHeading"/>
          </w:pPr>
        </w:p>
        <w:p w:rsidR="00AA57CB" w:rsidRDefault="008A0649">
          <w:pPr>
            <w:pStyle w:val="TOC1"/>
            <w:tabs>
              <w:tab w:val="right" w:leader="dot" w:pos="9016"/>
            </w:tabs>
            <w:rPr>
              <w:rFonts w:asciiTheme="minorHAnsi" w:eastAsiaTheme="minorEastAsia" w:hAnsiTheme="minorHAnsi" w:cstheme="minorBidi"/>
              <w:noProof/>
              <w:sz w:val="22"/>
              <w:szCs w:val="22"/>
              <w:lang w:eastAsia="zh-CN"/>
            </w:rPr>
          </w:pPr>
          <w:r>
            <w:fldChar w:fldCharType="begin"/>
          </w:r>
          <w:r>
            <w:instrText xml:space="preserve"> TOC \o "1-3" \h \z \u </w:instrText>
          </w:r>
          <w:r>
            <w:fldChar w:fldCharType="separate"/>
          </w:r>
          <w:hyperlink w:anchor="_Toc60758342" w:history="1">
            <w:r w:rsidR="00AA57CB" w:rsidRPr="00A60628">
              <w:rPr>
                <w:rStyle w:val="Hyperlink"/>
                <w:noProof/>
                <w:lang w:val="en-GB"/>
              </w:rPr>
              <w:t>Detailed methods description-land use intensity</w:t>
            </w:r>
            <w:r w:rsidR="00AA57CB">
              <w:rPr>
                <w:noProof/>
                <w:webHidden/>
              </w:rPr>
              <w:tab/>
            </w:r>
            <w:r w:rsidR="00AA57CB">
              <w:rPr>
                <w:noProof/>
                <w:webHidden/>
              </w:rPr>
              <w:fldChar w:fldCharType="begin"/>
            </w:r>
            <w:r w:rsidR="00AA57CB">
              <w:rPr>
                <w:noProof/>
                <w:webHidden/>
              </w:rPr>
              <w:instrText xml:space="preserve"> PAGEREF _Toc60758342 \h </w:instrText>
            </w:r>
            <w:r w:rsidR="00AA57CB">
              <w:rPr>
                <w:noProof/>
                <w:webHidden/>
              </w:rPr>
            </w:r>
            <w:r w:rsidR="00AA57CB">
              <w:rPr>
                <w:noProof/>
                <w:webHidden/>
              </w:rPr>
              <w:fldChar w:fldCharType="separate"/>
            </w:r>
            <w:r w:rsidR="00873872">
              <w:rPr>
                <w:noProof/>
                <w:webHidden/>
              </w:rPr>
              <w:t>4</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43" w:history="1">
            <w:r w:rsidR="00AA57CB" w:rsidRPr="00A60628">
              <w:rPr>
                <w:rStyle w:val="Hyperlink"/>
                <w:b/>
                <w:i/>
                <w:noProof/>
                <w:lang w:val="en-GB"/>
              </w:rPr>
              <w:t>Human settlement system</w:t>
            </w:r>
            <w:r w:rsidR="00AA57CB">
              <w:rPr>
                <w:noProof/>
                <w:webHidden/>
              </w:rPr>
              <w:tab/>
            </w:r>
            <w:r w:rsidR="00AA57CB">
              <w:rPr>
                <w:noProof/>
                <w:webHidden/>
              </w:rPr>
              <w:fldChar w:fldCharType="begin"/>
            </w:r>
            <w:r w:rsidR="00AA57CB">
              <w:rPr>
                <w:noProof/>
                <w:webHidden/>
              </w:rPr>
              <w:instrText xml:space="preserve"> PAGEREF _Toc60758343 \h </w:instrText>
            </w:r>
            <w:r w:rsidR="00AA57CB">
              <w:rPr>
                <w:noProof/>
                <w:webHidden/>
              </w:rPr>
            </w:r>
            <w:r w:rsidR="00AA57CB">
              <w:rPr>
                <w:noProof/>
                <w:webHidden/>
              </w:rPr>
              <w:fldChar w:fldCharType="separate"/>
            </w:r>
            <w:r w:rsidR="00873872">
              <w:rPr>
                <w:noProof/>
                <w:webHidden/>
              </w:rPr>
              <w:t>4</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44" w:history="1">
            <w:r w:rsidR="00AA57CB" w:rsidRPr="00A60628">
              <w:rPr>
                <w:rStyle w:val="Hyperlink"/>
                <w:b/>
                <w:i/>
                <w:noProof/>
                <w:lang w:val="en-GB"/>
              </w:rPr>
              <w:t>Forest system</w:t>
            </w:r>
            <w:r w:rsidR="00AA57CB">
              <w:rPr>
                <w:noProof/>
                <w:webHidden/>
              </w:rPr>
              <w:tab/>
            </w:r>
            <w:r w:rsidR="00AA57CB">
              <w:rPr>
                <w:noProof/>
                <w:webHidden/>
              </w:rPr>
              <w:fldChar w:fldCharType="begin"/>
            </w:r>
            <w:r w:rsidR="00AA57CB">
              <w:rPr>
                <w:noProof/>
                <w:webHidden/>
              </w:rPr>
              <w:instrText xml:space="preserve"> PAGEREF _Toc60758344 \h </w:instrText>
            </w:r>
            <w:r w:rsidR="00AA57CB">
              <w:rPr>
                <w:noProof/>
                <w:webHidden/>
              </w:rPr>
            </w:r>
            <w:r w:rsidR="00AA57CB">
              <w:rPr>
                <w:noProof/>
                <w:webHidden/>
              </w:rPr>
              <w:fldChar w:fldCharType="separate"/>
            </w:r>
            <w:r w:rsidR="00873872">
              <w:rPr>
                <w:noProof/>
                <w:webHidden/>
              </w:rPr>
              <w:t>4</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45" w:history="1">
            <w:r w:rsidR="00AA57CB" w:rsidRPr="00A60628">
              <w:rPr>
                <w:rStyle w:val="Hyperlink"/>
                <w:b/>
                <w:i/>
                <w:noProof/>
                <w:lang w:val="en-GB"/>
              </w:rPr>
              <w:t>Grassland system</w:t>
            </w:r>
            <w:r w:rsidR="00AA57CB">
              <w:rPr>
                <w:noProof/>
                <w:webHidden/>
              </w:rPr>
              <w:tab/>
            </w:r>
            <w:r w:rsidR="00AA57CB">
              <w:rPr>
                <w:noProof/>
                <w:webHidden/>
              </w:rPr>
              <w:fldChar w:fldCharType="begin"/>
            </w:r>
            <w:r w:rsidR="00AA57CB">
              <w:rPr>
                <w:noProof/>
                <w:webHidden/>
              </w:rPr>
              <w:instrText xml:space="preserve"> PAGEREF _Toc60758345 \h </w:instrText>
            </w:r>
            <w:r w:rsidR="00AA57CB">
              <w:rPr>
                <w:noProof/>
                <w:webHidden/>
              </w:rPr>
            </w:r>
            <w:r w:rsidR="00AA57CB">
              <w:rPr>
                <w:noProof/>
                <w:webHidden/>
              </w:rPr>
              <w:fldChar w:fldCharType="separate"/>
            </w:r>
            <w:r w:rsidR="00873872">
              <w:rPr>
                <w:noProof/>
                <w:webHidden/>
              </w:rPr>
              <w:t>4</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46" w:history="1">
            <w:r w:rsidR="00AA57CB" w:rsidRPr="00A60628">
              <w:rPr>
                <w:rStyle w:val="Hyperlink"/>
                <w:b/>
                <w:i/>
                <w:noProof/>
                <w:lang w:val="en-GB"/>
              </w:rPr>
              <w:t>Cropland system</w:t>
            </w:r>
            <w:r w:rsidR="00AA57CB">
              <w:rPr>
                <w:noProof/>
                <w:webHidden/>
              </w:rPr>
              <w:tab/>
            </w:r>
            <w:r w:rsidR="00AA57CB">
              <w:rPr>
                <w:noProof/>
                <w:webHidden/>
              </w:rPr>
              <w:fldChar w:fldCharType="begin"/>
            </w:r>
            <w:r w:rsidR="00AA57CB">
              <w:rPr>
                <w:noProof/>
                <w:webHidden/>
              </w:rPr>
              <w:instrText xml:space="preserve"> PAGEREF _Toc60758346 \h </w:instrText>
            </w:r>
            <w:r w:rsidR="00AA57CB">
              <w:rPr>
                <w:noProof/>
                <w:webHidden/>
              </w:rPr>
            </w:r>
            <w:r w:rsidR="00AA57CB">
              <w:rPr>
                <w:noProof/>
                <w:webHidden/>
              </w:rPr>
              <w:fldChar w:fldCharType="separate"/>
            </w:r>
            <w:r w:rsidR="00873872">
              <w:rPr>
                <w:noProof/>
                <w:webHidden/>
              </w:rPr>
              <w:t>5</w:t>
            </w:r>
            <w:r w:rsidR="00AA57CB">
              <w:rPr>
                <w:noProof/>
                <w:webHidden/>
              </w:rPr>
              <w:fldChar w:fldCharType="end"/>
            </w:r>
          </w:hyperlink>
        </w:p>
        <w:p w:rsidR="00AA57CB" w:rsidRDefault="00993EF3">
          <w:pPr>
            <w:pStyle w:val="TOC3"/>
            <w:tabs>
              <w:tab w:val="right" w:leader="dot" w:pos="9016"/>
            </w:tabs>
            <w:rPr>
              <w:rFonts w:asciiTheme="minorHAnsi" w:eastAsiaTheme="minorEastAsia" w:hAnsiTheme="minorHAnsi" w:cstheme="minorBidi"/>
              <w:noProof/>
              <w:sz w:val="22"/>
              <w:szCs w:val="22"/>
              <w:lang w:eastAsia="zh-CN"/>
            </w:rPr>
          </w:pPr>
          <w:hyperlink w:anchor="_Toc60758347" w:history="1">
            <w:r w:rsidR="00AA57CB" w:rsidRPr="00A60628">
              <w:rPr>
                <w:rStyle w:val="Hyperlink"/>
                <w:b/>
                <w:noProof/>
              </w:rPr>
              <w:t>Annual cropland</w:t>
            </w:r>
            <w:r w:rsidR="00AA57CB">
              <w:rPr>
                <w:noProof/>
                <w:webHidden/>
              </w:rPr>
              <w:tab/>
            </w:r>
            <w:r w:rsidR="00AA57CB">
              <w:rPr>
                <w:noProof/>
                <w:webHidden/>
              </w:rPr>
              <w:fldChar w:fldCharType="begin"/>
            </w:r>
            <w:r w:rsidR="00AA57CB">
              <w:rPr>
                <w:noProof/>
                <w:webHidden/>
              </w:rPr>
              <w:instrText xml:space="preserve"> PAGEREF _Toc60758347 \h </w:instrText>
            </w:r>
            <w:r w:rsidR="00AA57CB">
              <w:rPr>
                <w:noProof/>
                <w:webHidden/>
              </w:rPr>
            </w:r>
            <w:r w:rsidR="00AA57CB">
              <w:rPr>
                <w:noProof/>
                <w:webHidden/>
              </w:rPr>
              <w:fldChar w:fldCharType="separate"/>
            </w:r>
            <w:r w:rsidR="00873872">
              <w:rPr>
                <w:noProof/>
                <w:webHidden/>
              </w:rPr>
              <w:t>5</w:t>
            </w:r>
            <w:r w:rsidR="00AA57CB">
              <w:rPr>
                <w:noProof/>
                <w:webHidden/>
              </w:rPr>
              <w:fldChar w:fldCharType="end"/>
            </w:r>
          </w:hyperlink>
        </w:p>
        <w:p w:rsidR="00AA57CB" w:rsidRDefault="00993EF3">
          <w:pPr>
            <w:pStyle w:val="TOC3"/>
            <w:tabs>
              <w:tab w:val="right" w:leader="dot" w:pos="9016"/>
            </w:tabs>
            <w:rPr>
              <w:rFonts w:asciiTheme="minorHAnsi" w:eastAsiaTheme="minorEastAsia" w:hAnsiTheme="minorHAnsi" w:cstheme="minorBidi"/>
              <w:noProof/>
              <w:sz w:val="22"/>
              <w:szCs w:val="22"/>
              <w:lang w:eastAsia="zh-CN"/>
            </w:rPr>
          </w:pPr>
          <w:hyperlink w:anchor="_Toc60758348" w:history="1">
            <w:r w:rsidR="00AA57CB" w:rsidRPr="00A60628">
              <w:rPr>
                <w:rStyle w:val="Hyperlink"/>
                <w:b/>
                <w:noProof/>
              </w:rPr>
              <w:t>Permanent cropland</w:t>
            </w:r>
            <w:r w:rsidR="00AA57CB">
              <w:rPr>
                <w:noProof/>
                <w:webHidden/>
              </w:rPr>
              <w:tab/>
            </w:r>
            <w:r w:rsidR="00AA57CB">
              <w:rPr>
                <w:noProof/>
                <w:webHidden/>
              </w:rPr>
              <w:fldChar w:fldCharType="begin"/>
            </w:r>
            <w:r w:rsidR="00AA57CB">
              <w:rPr>
                <w:noProof/>
                <w:webHidden/>
              </w:rPr>
              <w:instrText xml:space="preserve"> PAGEREF _Toc60758348 \h </w:instrText>
            </w:r>
            <w:r w:rsidR="00AA57CB">
              <w:rPr>
                <w:noProof/>
                <w:webHidden/>
              </w:rPr>
            </w:r>
            <w:r w:rsidR="00AA57CB">
              <w:rPr>
                <w:noProof/>
                <w:webHidden/>
              </w:rPr>
              <w:fldChar w:fldCharType="separate"/>
            </w:r>
            <w:r w:rsidR="00873872">
              <w:rPr>
                <w:noProof/>
                <w:webHidden/>
              </w:rPr>
              <w:t>5</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49" w:history="1">
            <w:r w:rsidR="00AA57CB" w:rsidRPr="00A60628">
              <w:rPr>
                <w:rStyle w:val="Hyperlink"/>
                <w:b/>
                <w:i/>
                <w:noProof/>
                <w:lang w:val="en-GB"/>
              </w:rPr>
              <w:t>Mosaic systems</w:t>
            </w:r>
            <w:r w:rsidR="00AA57CB">
              <w:rPr>
                <w:noProof/>
                <w:webHidden/>
              </w:rPr>
              <w:tab/>
            </w:r>
            <w:r w:rsidR="00AA57CB">
              <w:rPr>
                <w:noProof/>
                <w:webHidden/>
              </w:rPr>
              <w:fldChar w:fldCharType="begin"/>
            </w:r>
            <w:r w:rsidR="00AA57CB">
              <w:rPr>
                <w:noProof/>
                <w:webHidden/>
              </w:rPr>
              <w:instrText xml:space="preserve"> PAGEREF _Toc60758349 \h </w:instrText>
            </w:r>
            <w:r w:rsidR="00AA57CB">
              <w:rPr>
                <w:noProof/>
                <w:webHidden/>
              </w:rPr>
            </w:r>
            <w:r w:rsidR="00AA57CB">
              <w:rPr>
                <w:noProof/>
                <w:webHidden/>
              </w:rPr>
              <w:fldChar w:fldCharType="separate"/>
            </w:r>
            <w:r w:rsidR="00873872">
              <w:rPr>
                <w:noProof/>
                <w:webHidden/>
              </w:rPr>
              <w:t>6</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50" w:history="1">
            <w:r w:rsidR="00AA57CB" w:rsidRPr="00A60628">
              <w:rPr>
                <w:rStyle w:val="Hyperlink"/>
                <w:b/>
                <w:i/>
                <w:noProof/>
                <w:lang w:val="en-GB"/>
              </w:rPr>
              <w:t>Forest fragmentation</w:t>
            </w:r>
            <w:r w:rsidR="00AA57CB">
              <w:rPr>
                <w:noProof/>
                <w:webHidden/>
              </w:rPr>
              <w:tab/>
            </w:r>
            <w:r w:rsidR="00AA57CB">
              <w:rPr>
                <w:noProof/>
                <w:webHidden/>
              </w:rPr>
              <w:fldChar w:fldCharType="begin"/>
            </w:r>
            <w:r w:rsidR="00AA57CB">
              <w:rPr>
                <w:noProof/>
                <w:webHidden/>
              </w:rPr>
              <w:instrText xml:space="preserve"> PAGEREF _Toc60758350 \h </w:instrText>
            </w:r>
            <w:r w:rsidR="00AA57CB">
              <w:rPr>
                <w:noProof/>
                <w:webHidden/>
              </w:rPr>
            </w:r>
            <w:r w:rsidR="00AA57CB">
              <w:rPr>
                <w:noProof/>
                <w:webHidden/>
              </w:rPr>
              <w:fldChar w:fldCharType="separate"/>
            </w:r>
            <w:r w:rsidR="00873872">
              <w:rPr>
                <w:noProof/>
                <w:webHidden/>
              </w:rPr>
              <w:t>6</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51" w:history="1">
            <w:r w:rsidR="00AA57CB" w:rsidRPr="00A60628">
              <w:rPr>
                <w:rStyle w:val="Hyperlink"/>
                <w:noProof/>
                <w:lang w:val="en-GB"/>
              </w:rPr>
              <w:t>Selection of species</w:t>
            </w:r>
            <w:r w:rsidR="00AA57CB">
              <w:rPr>
                <w:noProof/>
                <w:webHidden/>
              </w:rPr>
              <w:tab/>
            </w:r>
            <w:r w:rsidR="00AA57CB">
              <w:rPr>
                <w:noProof/>
                <w:webHidden/>
              </w:rPr>
              <w:fldChar w:fldCharType="begin"/>
            </w:r>
            <w:r w:rsidR="00AA57CB">
              <w:rPr>
                <w:noProof/>
                <w:webHidden/>
              </w:rPr>
              <w:instrText xml:space="preserve"> PAGEREF _Toc60758351 \h </w:instrText>
            </w:r>
            <w:r w:rsidR="00AA57CB">
              <w:rPr>
                <w:noProof/>
                <w:webHidden/>
              </w:rPr>
            </w:r>
            <w:r w:rsidR="00AA57CB">
              <w:rPr>
                <w:noProof/>
                <w:webHidden/>
              </w:rPr>
              <w:fldChar w:fldCharType="separate"/>
            </w:r>
            <w:r w:rsidR="00873872">
              <w:rPr>
                <w:noProof/>
                <w:webHidden/>
              </w:rPr>
              <w:t>6</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52" w:history="1">
            <w:r w:rsidR="00AA57CB" w:rsidRPr="00A60628">
              <w:rPr>
                <w:rStyle w:val="Hyperlink"/>
                <w:b/>
                <w:i/>
                <w:noProof/>
                <w:lang w:val="en-GB"/>
              </w:rPr>
              <w:t>Group A: species vulnerable to forest management</w:t>
            </w:r>
            <w:r w:rsidR="00AA57CB">
              <w:rPr>
                <w:noProof/>
                <w:webHidden/>
              </w:rPr>
              <w:tab/>
            </w:r>
            <w:r w:rsidR="00AA57CB">
              <w:rPr>
                <w:noProof/>
                <w:webHidden/>
              </w:rPr>
              <w:fldChar w:fldCharType="begin"/>
            </w:r>
            <w:r w:rsidR="00AA57CB">
              <w:rPr>
                <w:noProof/>
                <w:webHidden/>
              </w:rPr>
              <w:instrText xml:space="preserve"> PAGEREF _Toc60758352 \h </w:instrText>
            </w:r>
            <w:r w:rsidR="00AA57CB">
              <w:rPr>
                <w:noProof/>
                <w:webHidden/>
              </w:rPr>
            </w:r>
            <w:r w:rsidR="00AA57CB">
              <w:rPr>
                <w:noProof/>
                <w:webHidden/>
              </w:rPr>
              <w:fldChar w:fldCharType="separate"/>
            </w:r>
            <w:r w:rsidR="00873872">
              <w:rPr>
                <w:noProof/>
                <w:webHidden/>
              </w:rPr>
              <w:t>6</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53" w:history="1">
            <w:r w:rsidR="00AA57CB" w:rsidRPr="00A60628">
              <w:rPr>
                <w:rStyle w:val="Hyperlink"/>
                <w:b/>
                <w:i/>
                <w:noProof/>
                <w:lang w:val="en-GB"/>
              </w:rPr>
              <w:t>Group B: species vulnerable to agricultural land-use intensity</w:t>
            </w:r>
            <w:r w:rsidR="00AA57CB">
              <w:rPr>
                <w:noProof/>
                <w:webHidden/>
              </w:rPr>
              <w:tab/>
            </w:r>
            <w:r w:rsidR="00AA57CB">
              <w:rPr>
                <w:noProof/>
                <w:webHidden/>
              </w:rPr>
              <w:fldChar w:fldCharType="begin"/>
            </w:r>
            <w:r w:rsidR="00AA57CB">
              <w:rPr>
                <w:noProof/>
                <w:webHidden/>
              </w:rPr>
              <w:instrText xml:space="preserve"> PAGEREF _Toc60758353 \h </w:instrText>
            </w:r>
            <w:r w:rsidR="00AA57CB">
              <w:rPr>
                <w:noProof/>
                <w:webHidden/>
              </w:rPr>
            </w:r>
            <w:r w:rsidR="00AA57CB">
              <w:rPr>
                <w:noProof/>
                <w:webHidden/>
              </w:rPr>
              <w:fldChar w:fldCharType="separate"/>
            </w:r>
            <w:r w:rsidR="00873872">
              <w:rPr>
                <w:noProof/>
                <w:webHidden/>
              </w:rPr>
              <w:t>7</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54" w:history="1">
            <w:r w:rsidR="00AA57CB" w:rsidRPr="00A60628">
              <w:rPr>
                <w:rStyle w:val="Hyperlink"/>
                <w:b/>
                <w:i/>
                <w:noProof/>
                <w:lang w:val="en-GB"/>
              </w:rPr>
              <w:t>Group C: generalist species</w:t>
            </w:r>
            <w:r w:rsidR="00AA57CB">
              <w:rPr>
                <w:noProof/>
                <w:webHidden/>
              </w:rPr>
              <w:tab/>
            </w:r>
            <w:r w:rsidR="00AA57CB">
              <w:rPr>
                <w:noProof/>
                <w:webHidden/>
              </w:rPr>
              <w:fldChar w:fldCharType="begin"/>
            </w:r>
            <w:r w:rsidR="00AA57CB">
              <w:rPr>
                <w:noProof/>
                <w:webHidden/>
              </w:rPr>
              <w:instrText xml:space="preserve"> PAGEREF _Toc60758354 \h </w:instrText>
            </w:r>
            <w:r w:rsidR="00AA57CB">
              <w:rPr>
                <w:noProof/>
                <w:webHidden/>
              </w:rPr>
            </w:r>
            <w:r w:rsidR="00AA57CB">
              <w:rPr>
                <w:noProof/>
                <w:webHidden/>
              </w:rPr>
              <w:fldChar w:fldCharType="separate"/>
            </w:r>
            <w:r w:rsidR="00873872">
              <w:rPr>
                <w:noProof/>
                <w:webHidden/>
              </w:rPr>
              <w:t>7</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55" w:history="1">
            <w:r w:rsidR="00AA57CB" w:rsidRPr="00A60628">
              <w:rPr>
                <w:rStyle w:val="Hyperlink"/>
                <w:noProof/>
                <w:lang w:val="en-GB"/>
              </w:rPr>
              <w:t>Maxent parameter setting</w:t>
            </w:r>
            <w:r w:rsidR="00AA57CB">
              <w:rPr>
                <w:noProof/>
                <w:webHidden/>
              </w:rPr>
              <w:tab/>
            </w:r>
            <w:r w:rsidR="00AA57CB">
              <w:rPr>
                <w:noProof/>
                <w:webHidden/>
              </w:rPr>
              <w:fldChar w:fldCharType="begin"/>
            </w:r>
            <w:r w:rsidR="00AA57CB">
              <w:rPr>
                <w:noProof/>
                <w:webHidden/>
              </w:rPr>
              <w:instrText xml:space="preserve"> PAGEREF _Toc60758355 \h </w:instrText>
            </w:r>
            <w:r w:rsidR="00AA57CB">
              <w:rPr>
                <w:noProof/>
                <w:webHidden/>
              </w:rPr>
            </w:r>
            <w:r w:rsidR="00AA57CB">
              <w:rPr>
                <w:noProof/>
                <w:webHidden/>
              </w:rPr>
              <w:fldChar w:fldCharType="separate"/>
            </w:r>
            <w:r w:rsidR="00873872">
              <w:rPr>
                <w:noProof/>
                <w:webHidden/>
              </w:rPr>
              <w:t>7</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56" w:history="1">
            <w:r w:rsidR="00AA57CB" w:rsidRPr="00A60628">
              <w:rPr>
                <w:rStyle w:val="Hyperlink"/>
                <w:noProof/>
                <w:lang w:val="en-GB"/>
              </w:rPr>
              <w:t>Table S1 Maxent parameter setting</w:t>
            </w:r>
            <w:r w:rsidR="00AA57CB">
              <w:rPr>
                <w:noProof/>
                <w:webHidden/>
              </w:rPr>
              <w:tab/>
            </w:r>
            <w:r w:rsidR="00AA57CB">
              <w:rPr>
                <w:noProof/>
                <w:webHidden/>
              </w:rPr>
              <w:fldChar w:fldCharType="begin"/>
            </w:r>
            <w:r w:rsidR="00AA57CB">
              <w:rPr>
                <w:noProof/>
                <w:webHidden/>
              </w:rPr>
              <w:instrText xml:space="preserve"> PAGEREF _Toc60758356 \h </w:instrText>
            </w:r>
            <w:r w:rsidR="00AA57CB">
              <w:rPr>
                <w:noProof/>
                <w:webHidden/>
              </w:rPr>
            </w:r>
            <w:r w:rsidR="00AA57CB">
              <w:rPr>
                <w:noProof/>
                <w:webHidden/>
              </w:rPr>
              <w:fldChar w:fldCharType="separate"/>
            </w:r>
            <w:r w:rsidR="00873872">
              <w:rPr>
                <w:noProof/>
                <w:webHidden/>
              </w:rPr>
              <w:t>7</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57" w:history="1">
            <w:r w:rsidR="00AA57CB" w:rsidRPr="00A60628">
              <w:rPr>
                <w:rStyle w:val="Hyperlink"/>
                <w:noProof/>
                <w:lang w:val="en-GB"/>
              </w:rPr>
              <w:t>Detailed land system description</w:t>
            </w:r>
            <w:r w:rsidR="00AA57CB">
              <w:rPr>
                <w:noProof/>
                <w:webHidden/>
              </w:rPr>
              <w:tab/>
            </w:r>
            <w:r w:rsidR="00AA57CB">
              <w:rPr>
                <w:noProof/>
                <w:webHidden/>
              </w:rPr>
              <w:fldChar w:fldCharType="begin"/>
            </w:r>
            <w:r w:rsidR="00AA57CB">
              <w:rPr>
                <w:noProof/>
                <w:webHidden/>
              </w:rPr>
              <w:instrText xml:space="preserve"> PAGEREF _Toc60758357 \h </w:instrText>
            </w:r>
            <w:r w:rsidR="00AA57CB">
              <w:rPr>
                <w:noProof/>
                <w:webHidden/>
              </w:rPr>
            </w:r>
            <w:r w:rsidR="00AA57CB">
              <w:rPr>
                <w:noProof/>
                <w:webHidden/>
              </w:rPr>
              <w:fldChar w:fldCharType="separate"/>
            </w:r>
            <w:r w:rsidR="00873872">
              <w:rPr>
                <w:noProof/>
                <w:webHidden/>
              </w:rPr>
              <w:t>8</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58" w:history="1">
            <w:r w:rsidR="00AA57CB" w:rsidRPr="00A60628">
              <w:rPr>
                <w:rStyle w:val="Hyperlink"/>
                <w:b/>
                <w:i/>
                <w:noProof/>
                <w:lang w:val="en-GB"/>
              </w:rPr>
              <w:t>Settlement systems</w:t>
            </w:r>
            <w:r w:rsidR="00AA57CB">
              <w:rPr>
                <w:noProof/>
                <w:webHidden/>
              </w:rPr>
              <w:tab/>
            </w:r>
            <w:r w:rsidR="00AA57CB">
              <w:rPr>
                <w:noProof/>
                <w:webHidden/>
              </w:rPr>
              <w:fldChar w:fldCharType="begin"/>
            </w:r>
            <w:r w:rsidR="00AA57CB">
              <w:rPr>
                <w:noProof/>
                <w:webHidden/>
              </w:rPr>
              <w:instrText xml:space="preserve"> PAGEREF _Toc60758358 \h </w:instrText>
            </w:r>
            <w:r w:rsidR="00AA57CB">
              <w:rPr>
                <w:noProof/>
                <w:webHidden/>
              </w:rPr>
            </w:r>
            <w:r w:rsidR="00AA57CB">
              <w:rPr>
                <w:noProof/>
                <w:webHidden/>
              </w:rPr>
              <w:fldChar w:fldCharType="separate"/>
            </w:r>
            <w:r w:rsidR="00873872">
              <w:rPr>
                <w:noProof/>
                <w:webHidden/>
              </w:rPr>
              <w:t>8</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59" w:history="1">
            <w:r w:rsidR="00AA57CB" w:rsidRPr="00A60628">
              <w:rPr>
                <w:rStyle w:val="Hyperlink"/>
                <w:b/>
                <w:i/>
                <w:noProof/>
                <w:lang w:val="en-GB"/>
              </w:rPr>
              <w:t>Forest systems</w:t>
            </w:r>
            <w:r w:rsidR="00AA57CB">
              <w:rPr>
                <w:noProof/>
                <w:webHidden/>
              </w:rPr>
              <w:tab/>
            </w:r>
            <w:r w:rsidR="00AA57CB">
              <w:rPr>
                <w:noProof/>
                <w:webHidden/>
              </w:rPr>
              <w:fldChar w:fldCharType="begin"/>
            </w:r>
            <w:r w:rsidR="00AA57CB">
              <w:rPr>
                <w:noProof/>
                <w:webHidden/>
              </w:rPr>
              <w:instrText xml:space="preserve"> PAGEREF _Toc60758359 \h </w:instrText>
            </w:r>
            <w:r w:rsidR="00AA57CB">
              <w:rPr>
                <w:noProof/>
                <w:webHidden/>
              </w:rPr>
            </w:r>
            <w:r w:rsidR="00AA57CB">
              <w:rPr>
                <w:noProof/>
                <w:webHidden/>
              </w:rPr>
              <w:fldChar w:fldCharType="separate"/>
            </w:r>
            <w:r w:rsidR="00873872">
              <w:rPr>
                <w:noProof/>
                <w:webHidden/>
              </w:rPr>
              <w:t>8</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60" w:history="1">
            <w:r w:rsidR="00AA57CB" w:rsidRPr="00A60628">
              <w:rPr>
                <w:rStyle w:val="Hyperlink"/>
                <w:b/>
                <w:i/>
                <w:noProof/>
                <w:lang w:val="en-GB"/>
              </w:rPr>
              <w:t>Grassland systems</w:t>
            </w:r>
            <w:r w:rsidR="00AA57CB">
              <w:rPr>
                <w:noProof/>
                <w:webHidden/>
              </w:rPr>
              <w:tab/>
            </w:r>
            <w:r w:rsidR="00AA57CB">
              <w:rPr>
                <w:noProof/>
                <w:webHidden/>
              </w:rPr>
              <w:fldChar w:fldCharType="begin"/>
            </w:r>
            <w:r w:rsidR="00AA57CB">
              <w:rPr>
                <w:noProof/>
                <w:webHidden/>
              </w:rPr>
              <w:instrText xml:space="preserve"> PAGEREF _Toc60758360 \h </w:instrText>
            </w:r>
            <w:r w:rsidR="00AA57CB">
              <w:rPr>
                <w:noProof/>
                <w:webHidden/>
              </w:rPr>
            </w:r>
            <w:r w:rsidR="00AA57CB">
              <w:rPr>
                <w:noProof/>
                <w:webHidden/>
              </w:rPr>
              <w:fldChar w:fldCharType="separate"/>
            </w:r>
            <w:r w:rsidR="00873872">
              <w:rPr>
                <w:noProof/>
                <w:webHidden/>
              </w:rPr>
              <w:t>8</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61" w:history="1">
            <w:r w:rsidR="00AA57CB" w:rsidRPr="00A60628">
              <w:rPr>
                <w:rStyle w:val="Hyperlink"/>
                <w:b/>
                <w:i/>
                <w:noProof/>
                <w:lang w:val="en-GB"/>
              </w:rPr>
              <w:t>Cropland systems</w:t>
            </w:r>
            <w:r w:rsidR="00AA57CB">
              <w:rPr>
                <w:noProof/>
                <w:webHidden/>
              </w:rPr>
              <w:tab/>
            </w:r>
            <w:r w:rsidR="00AA57CB">
              <w:rPr>
                <w:noProof/>
                <w:webHidden/>
              </w:rPr>
              <w:fldChar w:fldCharType="begin"/>
            </w:r>
            <w:r w:rsidR="00AA57CB">
              <w:rPr>
                <w:noProof/>
                <w:webHidden/>
              </w:rPr>
              <w:instrText xml:space="preserve"> PAGEREF _Toc60758361 \h </w:instrText>
            </w:r>
            <w:r w:rsidR="00AA57CB">
              <w:rPr>
                <w:noProof/>
                <w:webHidden/>
              </w:rPr>
            </w:r>
            <w:r w:rsidR="00AA57CB">
              <w:rPr>
                <w:noProof/>
                <w:webHidden/>
              </w:rPr>
              <w:fldChar w:fldCharType="separate"/>
            </w:r>
            <w:r w:rsidR="00873872">
              <w:rPr>
                <w:noProof/>
                <w:webHidden/>
              </w:rPr>
              <w:t>9</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62" w:history="1">
            <w:r w:rsidR="00AA57CB" w:rsidRPr="00A60628">
              <w:rPr>
                <w:rStyle w:val="Hyperlink"/>
                <w:b/>
                <w:i/>
                <w:noProof/>
                <w:lang w:val="en-GB"/>
              </w:rPr>
              <w:t>Mosaic systems</w:t>
            </w:r>
            <w:r w:rsidR="00AA57CB">
              <w:rPr>
                <w:noProof/>
                <w:webHidden/>
              </w:rPr>
              <w:tab/>
            </w:r>
            <w:r w:rsidR="00AA57CB">
              <w:rPr>
                <w:noProof/>
                <w:webHidden/>
              </w:rPr>
              <w:fldChar w:fldCharType="begin"/>
            </w:r>
            <w:r w:rsidR="00AA57CB">
              <w:rPr>
                <w:noProof/>
                <w:webHidden/>
              </w:rPr>
              <w:instrText xml:space="preserve"> PAGEREF _Toc60758362 \h </w:instrText>
            </w:r>
            <w:r w:rsidR="00AA57CB">
              <w:rPr>
                <w:noProof/>
                <w:webHidden/>
              </w:rPr>
            </w:r>
            <w:r w:rsidR="00AA57CB">
              <w:rPr>
                <w:noProof/>
                <w:webHidden/>
              </w:rPr>
              <w:fldChar w:fldCharType="separate"/>
            </w:r>
            <w:r w:rsidR="00873872">
              <w:rPr>
                <w:noProof/>
                <w:webHidden/>
              </w:rPr>
              <w:t>9</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63" w:history="1">
            <w:r w:rsidR="00AA57CB" w:rsidRPr="00A60628">
              <w:rPr>
                <w:rStyle w:val="Hyperlink"/>
                <w:b/>
                <w:i/>
                <w:noProof/>
                <w:lang w:val="en-GB"/>
              </w:rPr>
              <w:t>Snow, water, and wetland</w:t>
            </w:r>
            <w:r w:rsidR="00AA57CB">
              <w:rPr>
                <w:noProof/>
                <w:webHidden/>
              </w:rPr>
              <w:tab/>
            </w:r>
            <w:r w:rsidR="00AA57CB">
              <w:rPr>
                <w:noProof/>
                <w:webHidden/>
              </w:rPr>
              <w:fldChar w:fldCharType="begin"/>
            </w:r>
            <w:r w:rsidR="00AA57CB">
              <w:rPr>
                <w:noProof/>
                <w:webHidden/>
              </w:rPr>
              <w:instrText xml:space="preserve"> PAGEREF _Toc60758363 \h </w:instrText>
            </w:r>
            <w:r w:rsidR="00AA57CB">
              <w:rPr>
                <w:noProof/>
                <w:webHidden/>
              </w:rPr>
            </w:r>
            <w:r w:rsidR="00AA57CB">
              <w:rPr>
                <w:noProof/>
                <w:webHidden/>
              </w:rPr>
              <w:fldChar w:fldCharType="separate"/>
            </w:r>
            <w:r w:rsidR="00873872">
              <w:rPr>
                <w:noProof/>
                <w:webHidden/>
              </w:rPr>
              <w:t>10</w:t>
            </w:r>
            <w:r w:rsidR="00AA57CB">
              <w:rPr>
                <w:noProof/>
                <w:webHidden/>
              </w:rPr>
              <w:fldChar w:fldCharType="end"/>
            </w:r>
          </w:hyperlink>
        </w:p>
        <w:p w:rsidR="00AA57CB" w:rsidRDefault="00993EF3">
          <w:pPr>
            <w:pStyle w:val="TOC2"/>
            <w:tabs>
              <w:tab w:val="right" w:leader="dot" w:pos="9016"/>
            </w:tabs>
            <w:rPr>
              <w:rFonts w:asciiTheme="minorHAnsi" w:eastAsiaTheme="minorEastAsia" w:hAnsiTheme="minorHAnsi" w:cstheme="minorBidi"/>
              <w:noProof/>
              <w:sz w:val="22"/>
              <w:szCs w:val="22"/>
              <w:lang w:eastAsia="zh-CN"/>
            </w:rPr>
          </w:pPr>
          <w:hyperlink w:anchor="_Toc60758364" w:history="1">
            <w:r w:rsidR="00AA57CB" w:rsidRPr="00A60628">
              <w:rPr>
                <w:rStyle w:val="Hyperlink"/>
                <w:b/>
                <w:i/>
                <w:noProof/>
                <w:lang w:val="en-GB"/>
              </w:rPr>
              <w:t>Shrubs and bare</w:t>
            </w:r>
            <w:r w:rsidR="00AA57CB">
              <w:rPr>
                <w:noProof/>
                <w:webHidden/>
              </w:rPr>
              <w:tab/>
            </w:r>
            <w:r w:rsidR="00AA57CB">
              <w:rPr>
                <w:noProof/>
                <w:webHidden/>
              </w:rPr>
              <w:fldChar w:fldCharType="begin"/>
            </w:r>
            <w:r w:rsidR="00AA57CB">
              <w:rPr>
                <w:noProof/>
                <w:webHidden/>
              </w:rPr>
              <w:instrText xml:space="preserve"> PAGEREF _Toc60758364 \h </w:instrText>
            </w:r>
            <w:r w:rsidR="00AA57CB">
              <w:rPr>
                <w:noProof/>
                <w:webHidden/>
              </w:rPr>
            </w:r>
            <w:r w:rsidR="00AA57CB">
              <w:rPr>
                <w:noProof/>
                <w:webHidden/>
              </w:rPr>
              <w:fldChar w:fldCharType="separate"/>
            </w:r>
            <w:r w:rsidR="00873872">
              <w:rPr>
                <w:noProof/>
                <w:webHidden/>
              </w:rPr>
              <w:t>10</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65" w:history="1">
            <w:r w:rsidR="00AA57CB" w:rsidRPr="00A60628">
              <w:rPr>
                <w:rStyle w:val="Hyperlink"/>
                <w:noProof/>
                <w:lang w:val="en-GB"/>
              </w:rPr>
              <w:t>Forest fragmentation and maxent results</w:t>
            </w:r>
            <w:r w:rsidR="00AA57CB">
              <w:rPr>
                <w:noProof/>
                <w:webHidden/>
              </w:rPr>
              <w:tab/>
            </w:r>
            <w:r w:rsidR="00AA57CB">
              <w:rPr>
                <w:noProof/>
                <w:webHidden/>
              </w:rPr>
              <w:fldChar w:fldCharType="begin"/>
            </w:r>
            <w:r w:rsidR="00AA57CB">
              <w:rPr>
                <w:noProof/>
                <w:webHidden/>
              </w:rPr>
              <w:instrText xml:space="preserve"> PAGEREF _Toc60758365 \h </w:instrText>
            </w:r>
            <w:r w:rsidR="00AA57CB">
              <w:rPr>
                <w:noProof/>
                <w:webHidden/>
              </w:rPr>
            </w:r>
            <w:r w:rsidR="00AA57CB">
              <w:rPr>
                <w:noProof/>
                <w:webHidden/>
              </w:rPr>
              <w:fldChar w:fldCharType="separate"/>
            </w:r>
            <w:r w:rsidR="00873872">
              <w:rPr>
                <w:noProof/>
                <w:webHidden/>
              </w:rPr>
              <w:t>10</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66" w:history="1">
            <w:r w:rsidR="00AA57CB" w:rsidRPr="00A60628">
              <w:rPr>
                <w:rStyle w:val="Hyperlink"/>
                <w:noProof/>
                <w:lang w:val="en-GB"/>
              </w:rPr>
              <w:t>Table S2 Forest fragmentation and intensity</w:t>
            </w:r>
            <w:r w:rsidR="00AA57CB">
              <w:rPr>
                <w:noProof/>
                <w:webHidden/>
              </w:rPr>
              <w:tab/>
            </w:r>
            <w:r w:rsidR="00AA57CB">
              <w:rPr>
                <w:noProof/>
                <w:webHidden/>
              </w:rPr>
              <w:fldChar w:fldCharType="begin"/>
            </w:r>
            <w:r w:rsidR="00AA57CB">
              <w:rPr>
                <w:noProof/>
                <w:webHidden/>
              </w:rPr>
              <w:instrText xml:space="preserve"> PAGEREF _Toc60758366 \h </w:instrText>
            </w:r>
            <w:r w:rsidR="00AA57CB">
              <w:rPr>
                <w:noProof/>
                <w:webHidden/>
              </w:rPr>
            </w:r>
            <w:r w:rsidR="00AA57CB">
              <w:rPr>
                <w:noProof/>
                <w:webHidden/>
              </w:rPr>
              <w:fldChar w:fldCharType="separate"/>
            </w:r>
            <w:r w:rsidR="00873872">
              <w:rPr>
                <w:noProof/>
                <w:webHidden/>
              </w:rPr>
              <w:t>10</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67" w:history="1">
            <w:r w:rsidR="00AA57CB" w:rsidRPr="00A60628">
              <w:rPr>
                <w:rStyle w:val="Hyperlink"/>
                <w:noProof/>
                <w:lang w:val="en-GB"/>
              </w:rPr>
              <w:t>Figure S1 Model predictive ability (AUC score) of selected bird species using Maxent models calibrated with different environmental variables</w:t>
            </w:r>
            <w:r w:rsidR="00AA57CB">
              <w:rPr>
                <w:noProof/>
                <w:webHidden/>
              </w:rPr>
              <w:tab/>
            </w:r>
            <w:r w:rsidR="00AA57CB">
              <w:rPr>
                <w:noProof/>
                <w:webHidden/>
              </w:rPr>
              <w:fldChar w:fldCharType="begin"/>
            </w:r>
            <w:r w:rsidR="00AA57CB">
              <w:rPr>
                <w:noProof/>
                <w:webHidden/>
              </w:rPr>
              <w:instrText xml:space="preserve"> PAGEREF _Toc60758367 \h </w:instrText>
            </w:r>
            <w:r w:rsidR="00AA57CB">
              <w:rPr>
                <w:noProof/>
                <w:webHidden/>
              </w:rPr>
            </w:r>
            <w:r w:rsidR="00AA57CB">
              <w:rPr>
                <w:noProof/>
                <w:webHidden/>
              </w:rPr>
              <w:fldChar w:fldCharType="separate"/>
            </w:r>
            <w:r w:rsidR="00873872">
              <w:rPr>
                <w:noProof/>
                <w:webHidden/>
              </w:rPr>
              <w:t>11</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68" w:history="1">
            <w:r w:rsidR="00AA57CB" w:rsidRPr="00A60628">
              <w:rPr>
                <w:rStyle w:val="Hyperlink"/>
                <w:noProof/>
                <w:lang w:val="en-GB"/>
              </w:rPr>
              <w:t xml:space="preserve">Figure S2 Variable contribution from land cover/use maps to species distribution in Maxent models </w:t>
            </w:r>
            <w:r w:rsidR="00AA57CB" w:rsidRPr="00A60628">
              <w:rPr>
                <w:rStyle w:val="Hyperlink"/>
                <w:noProof/>
                <w:lang w:eastAsia="zh-CN"/>
              </w:rPr>
              <w:t>calibrated with climate variables and land cover/use maps</w:t>
            </w:r>
            <w:r w:rsidR="00AA57CB">
              <w:rPr>
                <w:noProof/>
                <w:webHidden/>
              </w:rPr>
              <w:tab/>
            </w:r>
            <w:r w:rsidR="00AA57CB">
              <w:rPr>
                <w:noProof/>
                <w:webHidden/>
              </w:rPr>
              <w:fldChar w:fldCharType="begin"/>
            </w:r>
            <w:r w:rsidR="00AA57CB">
              <w:rPr>
                <w:noProof/>
                <w:webHidden/>
              </w:rPr>
              <w:instrText xml:space="preserve"> PAGEREF _Toc60758368 \h </w:instrText>
            </w:r>
            <w:r w:rsidR="00AA57CB">
              <w:rPr>
                <w:noProof/>
                <w:webHidden/>
              </w:rPr>
            </w:r>
            <w:r w:rsidR="00AA57CB">
              <w:rPr>
                <w:noProof/>
                <w:webHidden/>
              </w:rPr>
              <w:fldChar w:fldCharType="separate"/>
            </w:r>
            <w:r w:rsidR="00873872">
              <w:rPr>
                <w:noProof/>
                <w:webHidden/>
              </w:rPr>
              <w:t>12</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69" w:history="1">
            <w:r w:rsidR="00AA57CB" w:rsidRPr="00A60628">
              <w:rPr>
                <w:rStyle w:val="Hyperlink"/>
                <w:noProof/>
                <w:lang w:val="en-GB"/>
              </w:rPr>
              <w:t>Table S3 Overview of land systems</w:t>
            </w:r>
            <w:r w:rsidR="00AA57CB">
              <w:rPr>
                <w:noProof/>
                <w:webHidden/>
              </w:rPr>
              <w:tab/>
            </w:r>
            <w:r w:rsidR="00AA57CB">
              <w:rPr>
                <w:noProof/>
                <w:webHidden/>
              </w:rPr>
              <w:fldChar w:fldCharType="begin"/>
            </w:r>
            <w:r w:rsidR="00AA57CB">
              <w:rPr>
                <w:noProof/>
                <w:webHidden/>
              </w:rPr>
              <w:instrText xml:space="preserve"> PAGEREF _Toc60758369 \h </w:instrText>
            </w:r>
            <w:r w:rsidR="00AA57CB">
              <w:rPr>
                <w:noProof/>
                <w:webHidden/>
              </w:rPr>
            </w:r>
            <w:r w:rsidR="00AA57CB">
              <w:rPr>
                <w:noProof/>
                <w:webHidden/>
              </w:rPr>
              <w:fldChar w:fldCharType="separate"/>
            </w:r>
            <w:r w:rsidR="00873872">
              <w:rPr>
                <w:noProof/>
                <w:webHidden/>
              </w:rPr>
              <w:t>12</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70" w:history="1">
            <w:r w:rsidR="00AA57CB" w:rsidRPr="00A60628">
              <w:rPr>
                <w:rStyle w:val="Hyperlink"/>
                <w:noProof/>
                <w:lang w:val="en-GB"/>
              </w:rPr>
              <w:t>Table S4 Statistics for land systems</w:t>
            </w:r>
            <w:r w:rsidR="00AA57CB">
              <w:rPr>
                <w:noProof/>
                <w:webHidden/>
              </w:rPr>
              <w:tab/>
            </w:r>
            <w:r w:rsidR="00AA57CB">
              <w:rPr>
                <w:noProof/>
                <w:webHidden/>
              </w:rPr>
              <w:fldChar w:fldCharType="begin"/>
            </w:r>
            <w:r w:rsidR="00AA57CB">
              <w:rPr>
                <w:noProof/>
                <w:webHidden/>
              </w:rPr>
              <w:instrText xml:space="preserve"> PAGEREF _Toc60758370 \h </w:instrText>
            </w:r>
            <w:r w:rsidR="00AA57CB">
              <w:rPr>
                <w:noProof/>
                <w:webHidden/>
              </w:rPr>
            </w:r>
            <w:r w:rsidR="00AA57CB">
              <w:rPr>
                <w:noProof/>
                <w:webHidden/>
              </w:rPr>
              <w:fldChar w:fldCharType="separate"/>
            </w:r>
            <w:r w:rsidR="00873872">
              <w:rPr>
                <w:noProof/>
                <w:webHidden/>
              </w:rPr>
              <w:t>15</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71" w:history="1">
            <w:r w:rsidR="00AA57CB" w:rsidRPr="00A60628">
              <w:rPr>
                <w:rStyle w:val="Hyperlink"/>
                <w:noProof/>
                <w:lang w:val="en-GB"/>
              </w:rPr>
              <w:t>Figure S3 Overview of land system classification</w:t>
            </w:r>
            <w:r w:rsidR="00AA57CB">
              <w:rPr>
                <w:noProof/>
                <w:webHidden/>
              </w:rPr>
              <w:tab/>
            </w:r>
            <w:r w:rsidR="00AA57CB">
              <w:rPr>
                <w:noProof/>
                <w:webHidden/>
              </w:rPr>
              <w:fldChar w:fldCharType="begin"/>
            </w:r>
            <w:r w:rsidR="00AA57CB">
              <w:rPr>
                <w:noProof/>
                <w:webHidden/>
              </w:rPr>
              <w:instrText xml:space="preserve"> PAGEREF _Toc60758371 \h </w:instrText>
            </w:r>
            <w:r w:rsidR="00AA57CB">
              <w:rPr>
                <w:noProof/>
                <w:webHidden/>
              </w:rPr>
            </w:r>
            <w:r w:rsidR="00AA57CB">
              <w:rPr>
                <w:noProof/>
                <w:webHidden/>
              </w:rPr>
              <w:fldChar w:fldCharType="separate"/>
            </w:r>
            <w:r w:rsidR="00873872">
              <w:rPr>
                <w:noProof/>
                <w:webHidden/>
              </w:rPr>
              <w:t>18</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72" w:history="1">
            <w:r w:rsidR="00AA57CB" w:rsidRPr="00A60628">
              <w:rPr>
                <w:rStyle w:val="Hyperlink"/>
                <w:noProof/>
                <w:lang w:val="en-GB"/>
              </w:rPr>
              <w:t>Table S5 Details of indicators used for classification</w:t>
            </w:r>
            <w:r w:rsidR="00AA57CB">
              <w:rPr>
                <w:noProof/>
                <w:webHidden/>
              </w:rPr>
              <w:tab/>
            </w:r>
            <w:r w:rsidR="00AA57CB">
              <w:rPr>
                <w:noProof/>
                <w:webHidden/>
              </w:rPr>
              <w:fldChar w:fldCharType="begin"/>
            </w:r>
            <w:r w:rsidR="00AA57CB">
              <w:rPr>
                <w:noProof/>
                <w:webHidden/>
              </w:rPr>
              <w:instrText xml:space="preserve"> PAGEREF _Toc60758372 \h </w:instrText>
            </w:r>
            <w:r w:rsidR="00AA57CB">
              <w:rPr>
                <w:noProof/>
                <w:webHidden/>
              </w:rPr>
            </w:r>
            <w:r w:rsidR="00AA57CB">
              <w:rPr>
                <w:noProof/>
                <w:webHidden/>
              </w:rPr>
              <w:fldChar w:fldCharType="separate"/>
            </w:r>
            <w:r w:rsidR="00873872">
              <w:rPr>
                <w:noProof/>
                <w:webHidden/>
              </w:rPr>
              <w:t>19</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73" w:history="1">
            <w:r w:rsidR="00AA57CB" w:rsidRPr="00A60628">
              <w:rPr>
                <w:rStyle w:val="Hyperlink"/>
                <w:noProof/>
                <w:lang w:val="en-GB"/>
              </w:rPr>
              <w:t>Table S6 Selection of bioclimatic variables</w:t>
            </w:r>
            <w:r w:rsidR="00AA57CB">
              <w:rPr>
                <w:noProof/>
                <w:webHidden/>
              </w:rPr>
              <w:tab/>
            </w:r>
            <w:r w:rsidR="00AA57CB">
              <w:rPr>
                <w:noProof/>
                <w:webHidden/>
              </w:rPr>
              <w:fldChar w:fldCharType="begin"/>
            </w:r>
            <w:r w:rsidR="00AA57CB">
              <w:rPr>
                <w:noProof/>
                <w:webHidden/>
              </w:rPr>
              <w:instrText xml:space="preserve"> PAGEREF _Toc60758373 \h </w:instrText>
            </w:r>
            <w:r w:rsidR="00AA57CB">
              <w:rPr>
                <w:noProof/>
                <w:webHidden/>
              </w:rPr>
            </w:r>
            <w:r w:rsidR="00AA57CB">
              <w:rPr>
                <w:noProof/>
                <w:webHidden/>
              </w:rPr>
              <w:fldChar w:fldCharType="separate"/>
            </w:r>
            <w:r w:rsidR="00873872">
              <w:rPr>
                <w:noProof/>
                <w:webHidden/>
              </w:rPr>
              <w:t>23</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74" w:history="1">
            <w:r w:rsidR="00AA57CB" w:rsidRPr="00A60628">
              <w:rPr>
                <w:rStyle w:val="Hyperlink"/>
                <w:noProof/>
                <w:lang w:val="en-GB"/>
              </w:rPr>
              <w:t>Figure S4 Workflow of human settlement system</w:t>
            </w:r>
            <w:r w:rsidR="00AA57CB">
              <w:rPr>
                <w:noProof/>
                <w:webHidden/>
              </w:rPr>
              <w:tab/>
            </w:r>
            <w:r w:rsidR="00AA57CB">
              <w:rPr>
                <w:noProof/>
                <w:webHidden/>
              </w:rPr>
              <w:fldChar w:fldCharType="begin"/>
            </w:r>
            <w:r w:rsidR="00AA57CB">
              <w:rPr>
                <w:noProof/>
                <w:webHidden/>
              </w:rPr>
              <w:instrText xml:space="preserve"> PAGEREF _Toc60758374 \h </w:instrText>
            </w:r>
            <w:r w:rsidR="00AA57CB">
              <w:rPr>
                <w:noProof/>
                <w:webHidden/>
              </w:rPr>
            </w:r>
            <w:r w:rsidR="00AA57CB">
              <w:rPr>
                <w:noProof/>
                <w:webHidden/>
              </w:rPr>
              <w:fldChar w:fldCharType="separate"/>
            </w:r>
            <w:r w:rsidR="00873872">
              <w:rPr>
                <w:noProof/>
                <w:webHidden/>
              </w:rPr>
              <w:t>23</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75" w:history="1">
            <w:r w:rsidR="00AA57CB" w:rsidRPr="00A60628">
              <w:rPr>
                <w:rStyle w:val="Hyperlink"/>
                <w:noProof/>
                <w:lang w:val="en-GB"/>
              </w:rPr>
              <w:t>Figure S5 Workflow of forest system</w:t>
            </w:r>
            <w:r w:rsidR="00AA57CB">
              <w:rPr>
                <w:noProof/>
                <w:webHidden/>
              </w:rPr>
              <w:tab/>
            </w:r>
            <w:r w:rsidR="00AA57CB">
              <w:rPr>
                <w:noProof/>
                <w:webHidden/>
              </w:rPr>
              <w:fldChar w:fldCharType="begin"/>
            </w:r>
            <w:r w:rsidR="00AA57CB">
              <w:rPr>
                <w:noProof/>
                <w:webHidden/>
              </w:rPr>
              <w:instrText xml:space="preserve"> PAGEREF _Toc60758375 \h </w:instrText>
            </w:r>
            <w:r w:rsidR="00AA57CB">
              <w:rPr>
                <w:noProof/>
                <w:webHidden/>
              </w:rPr>
            </w:r>
            <w:r w:rsidR="00AA57CB">
              <w:rPr>
                <w:noProof/>
                <w:webHidden/>
              </w:rPr>
              <w:fldChar w:fldCharType="separate"/>
            </w:r>
            <w:r w:rsidR="00873872">
              <w:rPr>
                <w:noProof/>
                <w:webHidden/>
              </w:rPr>
              <w:t>24</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76" w:history="1">
            <w:r w:rsidR="00AA57CB" w:rsidRPr="00A60628">
              <w:rPr>
                <w:rStyle w:val="Hyperlink"/>
                <w:noProof/>
                <w:lang w:val="en-GB"/>
              </w:rPr>
              <w:t>Figure S6 workflow of grassland system</w:t>
            </w:r>
            <w:r w:rsidR="00AA57CB">
              <w:rPr>
                <w:noProof/>
                <w:webHidden/>
              </w:rPr>
              <w:tab/>
            </w:r>
            <w:r w:rsidR="00AA57CB">
              <w:rPr>
                <w:noProof/>
                <w:webHidden/>
              </w:rPr>
              <w:fldChar w:fldCharType="begin"/>
            </w:r>
            <w:r w:rsidR="00AA57CB">
              <w:rPr>
                <w:noProof/>
                <w:webHidden/>
              </w:rPr>
              <w:instrText xml:space="preserve"> PAGEREF _Toc60758376 \h </w:instrText>
            </w:r>
            <w:r w:rsidR="00AA57CB">
              <w:rPr>
                <w:noProof/>
                <w:webHidden/>
              </w:rPr>
            </w:r>
            <w:r w:rsidR="00AA57CB">
              <w:rPr>
                <w:noProof/>
                <w:webHidden/>
              </w:rPr>
              <w:fldChar w:fldCharType="separate"/>
            </w:r>
            <w:r w:rsidR="00873872">
              <w:rPr>
                <w:noProof/>
                <w:webHidden/>
              </w:rPr>
              <w:t>25</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77" w:history="1">
            <w:r w:rsidR="00AA57CB" w:rsidRPr="00A60628">
              <w:rPr>
                <w:rStyle w:val="Hyperlink"/>
                <w:noProof/>
                <w:lang w:val="en-GB"/>
              </w:rPr>
              <w:t>Figure S7 workflow of cropland system (annual crops, EU-region)</w:t>
            </w:r>
            <w:r w:rsidR="00AA57CB">
              <w:rPr>
                <w:noProof/>
                <w:webHidden/>
              </w:rPr>
              <w:tab/>
            </w:r>
            <w:r w:rsidR="00AA57CB">
              <w:rPr>
                <w:noProof/>
                <w:webHidden/>
              </w:rPr>
              <w:fldChar w:fldCharType="begin"/>
            </w:r>
            <w:r w:rsidR="00AA57CB">
              <w:rPr>
                <w:noProof/>
                <w:webHidden/>
              </w:rPr>
              <w:instrText xml:space="preserve"> PAGEREF _Toc60758377 \h </w:instrText>
            </w:r>
            <w:r w:rsidR="00AA57CB">
              <w:rPr>
                <w:noProof/>
                <w:webHidden/>
              </w:rPr>
            </w:r>
            <w:r w:rsidR="00AA57CB">
              <w:rPr>
                <w:noProof/>
                <w:webHidden/>
              </w:rPr>
              <w:fldChar w:fldCharType="separate"/>
            </w:r>
            <w:r w:rsidR="00873872">
              <w:rPr>
                <w:noProof/>
                <w:webHidden/>
              </w:rPr>
              <w:t>25</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78" w:history="1">
            <w:r w:rsidR="00AA57CB" w:rsidRPr="00A60628">
              <w:rPr>
                <w:rStyle w:val="Hyperlink"/>
                <w:noProof/>
                <w:lang w:val="en-GB"/>
              </w:rPr>
              <w:t>Figure S8 workflow of cropland system (permanent crops)</w:t>
            </w:r>
            <w:r w:rsidR="00AA57CB">
              <w:rPr>
                <w:noProof/>
                <w:webHidden/>
              </w:rPr>
              <w:tab/>
            </w:r>
            <w:r w:rsidR="00AA57CB">
              <w:rPr>
                <w:noProof/>
                <w:webHidden/>
              </w:rPr>
              <w:fldChar w:fldCharType="begin"/>
            </w:r>
            <w:r w:rsidR="00AA57CB">
              <w:rPr>
                <w:noProof/>
                <w:webHidden/>
              </w:rPr>
              <w:instrText xml:space="preserve"> PAGEREF _Toc60758378 \h </w:instrText>
            </w:r>
            <w:r w:rsidR="00AA57CB">
              <w:rPr>
                <w:noProof/>
                <w:webHidden/>
              </w:rPr>
            </w:r>
            <w:r w:rsidR="00AA57CB">
              <w:rPr>
                <w:noProof/>
                <w:webHidden/>
              </w:rPr>
              <w:fldChar w:fldCharType="separate"/>
            </w:r>
            <w:r w:rsidR="00873872">
              <w:rPr>
                <w:noProof/>
                <w:webHidden/>
              </w:rPr>
              <w:t>26</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79" w:history="1">
            <w:r w:rsidR="00AA57CB" w:rsidRPr="00A60628">
              <w:rPr>
                <w:rStyle w:val="Hyperlink"/>
                <w:noProof/>
                <w:lang w:val="en-GB"/>
              </w:rPr>
              <w:t>Figure S9 workflow of agricultural mosaics</w:t>
            </w:r>
            <w:r w:rsidR="00AA57CB">
              <w:rPr>
                <w:noProof/>
                <w:webHidden/>
              </w:rPr>
              <w:tab/>
            </w:r>
            <w:r w:rsidR="00AA57CB">
              <w:rPr>
                <w:noProof/>
                <w:webHidden/>
              </w:rPr>
              <w:fldChar w:fldCharType="begin"/>
            </w:r>
            <w:r w:rsidR="00AA57CB">
              <w:rPr>
                <w:noProof/>
                <w:webHidden/>
              </w:rPr>
              <w:instrText xml:space="preserve"> PAGEREF _Toc60758379 \h </w:instrText>
            </w:r>
            <w:r w:rsidR="00AA57CB">
              <w:rPr>
                <w:noProof/>
                <w:webHidden/>
              </w:rPr>
            </w:r>
            <w:r w:rsidR="00AA57CB">
              <w:rPr>
                <w:noProof/>
                <w:webHidden/>
              </w:rPr>
              <w:fldChar w:fldCharType="separate"/>
            </w:r>
            <w:r w:rsidR="00873872">
              <w:rPr>
                <w:noProof/>
                <w:webHidden/>
              </w:rPr>
              <w:t>26</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80" w:history="1">
            <w:r w:rsidR="00AA57CB" w:rsidRPr="00A60628">
              <w:rPr>
                <w:rStyle w:val="Hyperlink"/>
                <w:noProof/>
                <w:lang w:val="en-GB"/>
              </w:rPr>
              <w:t>Figure S10 Sensitivity analysis of cropland percentage when aggregated to 1km pixel</w:t>
            </w:r>
            <w:r w:rsidR="00AA57CB">
              <w:rPr>
                <w:noProof/>
                <w:webHidden/>
              </w:rPr>
              <w:tab/>
            </w:r>
            <w:r w:rsidR="00AA57CB">
              <w:rPr>
                <w:noProof/>
                <w:webHidden/>
              </w:rPr>
              <w:fldChar w:fldCharType="begin"/>
            </w:r>
            <w:r w:rsidR="00AA57CB">
              <w:rPr>
                <w:noProof/>
                <w:webHidden/>
              </w:rPr>
              <w:instrText xml:space="preserve"> PAGEREF _Toc60758380 \h </w:instrText>
            </w:r>
            <w:r w:rsidR="00AA57CB">
              <w:rPr>
                <w:noProof/>
                <w:webHidden/>
              </w:rPr>
            </w:r>
            <w:r w:rsidR="00AA57CB">
              <w:rPr>
                <w:noProof/>
                <w:webHidden/>
              </w:rPr>
              <w:fldChar w:fldCharType="separate"/>
            </w:r>
            <w:r w:rsidR="00873872">
              <w:rPr>
                <w:noProof/>
                <w:webHidden/>
              </w:rPr>
              <w:t>27</w:t>
            </w:r>
            <w:r w:rsidR="00AA57CB">
              <w:rPr>
                <w:noProof/>
                <w:webHidden/>
              </w:rPr>
              <w:fldChar w:fldCharType="end"/>
            </w:r>
          </w:hyperlink>
        </w:p>
        <w:p w:rsidR="00AA57CB" w:rsidRDefault="00993EF3">
          <w:pPr>
            <w:pStyle w:val="TOC1"/>
            <w:tabs>
              <w:tab w:val="right" w:leader="dot" w:pos="9016"/>
            </w:tabs>
            <w:rPr>
              <w:rFonts w:asciiTheme="minorHAnsi" w:eastAsiaTheme="minorEastAsia" w:hAnsiTheme="minorHAnsi" w:cstheme="minorBidi"/>
              <w:noProof/>
              <w:sz w:val="22"/>
              <w:szCs w:val="22"/>
              <w:lang w:eastAsia="zh-CN"/>
            </w:rPr>
          </w:pPr>
          <w:hyperlink w:anchor="_Toc60758381" w:history="1">
            <w:r w:rsidR="00AA57CB" w:rsidRPr="00A60628">
              <w:rPr>
                <w:rStyle w:val="Hyperlink"/>
                <w:noProof/>
                <w:lang w:val="en-GB"/>
              </w:rPr>
              <w:t>Figure S11 Sensitivity analysis of forest percentage when aggregated to 1km pixel</w:t>
            </w:r>
            <w:r w:rsidR="00AA57CB">
              <w:rPr>
                <w:noProof/>
                <w:webHidden/>
              </w:rPr>
              <w:tab/>
            </w:r>
            <w:r w:rsidR="00AA57CB">
              <w:rPr>
                <w:noProof/>
                <w:webHidden/>
              </w:rPr>
              <w:fldChar w:fldCharType="begin"/>
            </w:r>
            <w:r w:rsidR="00AA57CB">
              <w:rPr>
                <w:noProof/>
                <w:webHidden/>
              </w:rPr>
              <w:instrText xml:space="preserve"> PAGEREF _Toc60758381 \h </w:instrText>
            </w:r>
            <w:r w:rsidR="00AA57CB">
              <w:rPr>
                <w:noProof/>
                <w:webHidden/>
              </w:rPr>
            </w:r>
            <w:r w:rsidR="00AA57CB">
              <w:rPr>
                <w:noProof/>
                <w:webHidden/>
              </w:rPr>
              <w:fldChar w:fldCharType="separate"/>
            </w:r>
            <w:r w:rsidR="00873872">
              <w:rPr>
                <w:noProof/>
                <w:webHidden/>
              </w:rPr>
              <w:t>28</w:t>
            </w:r>
            <w:r w:rsidR="00AA57CB">
              <w:rPr>
                <w:noProof/>
                <w:webHidden/>
              </w:rPr>
              <w:fldChar w:fldCharType="end"/>
            </w:r>
          </w:hyperlink>
        </w:p>
        <w:p w:rsidR="008A0649" w:rsidRDefault="008A0649">
          <w:r>
            <w:rPr>
              <w:b/>
              <w:bCs/>
              <w:noProof/>
            </w:rPr>
            <w:fldChar w:fldCharType="end"/>
          </w:r>
        </w:p>
      </w:sdtContent>
    </w:sdt>
    <w:p w:rsidR="008A0649" w:rsidRDefault="008A0649">
      <w:pPr>
        <w:spacing w:after="160" w:line="259" w:lineRule="auto"/>
        <w:rPr>
          <w:b/>
          <w:bCs/>
          <w:kern w:val="32"/>
          <w:szCs w:val="24"/>
          <w:lang w:val="en-GB"/>
        </w:rPr>
      </w:pPr>
    </w:p>
    <w:p w:rsidR="008A0649" w:rsidRDefault="008A0649">
      <w:pPr>
        <w:spacing w:after="160" w:line="259" w:lineRule="auto"/>
        <w:rPr>
          <w:b/>
          <w:bCs/>
          <w:kern w:val="32"/>
          <w:szCs w:val="24"/>
          <w:lang w:val="en-GB"/>
        </w:rPr>
      </w:pPr>
      <w:r>
        <w:rPr>
          <w:lang w:val="en-GB"/>
        </w:rPr>
        <w:br w:type="page"/>
      </w:r>
    </w:p>
    <w:p w:rsidR="00666700" w:rsidRDefault="00666700" w:rsidP="00666700">
      <w:pPr>
        <w:pStyle w:val="SMHeading"/>
        <w:rPr>
          <w:lang w:val="en-GB"/>
        </w:rPr>
      </w:pPr>
      <w:bookmarkStart w:id="1" w:name="_Toc60758342"/>
      <w:r>
        <w:rPr>
          <w:lang w:val="en-GB"/>
        </w:rPr>
        <w:t>Detailed methods description</w:t>
      </w:r>
      <w:bookmarkEnd w:id="0"/>
      <w:r>
        <w:rPr>
          <w:lang w:val="en-GB"/>
        </w:rPr>
        <w:t>-land use intensity</w:t>
      </w:r>
      <w:bookmarkEnd w:id="1"/>
    </w:p>
    <w:p w:rsidR="00666700" w:rsidRPr="001923D7" w:rsidRDefault="00666700" w:rsidP="00666700">
      <w:pPr>
        <w:ind w:firstLine="709"/>
      </w:pPr>
      <w:r w:rsidRPr="001923D7">
        <w:t xml:space="preserve">We used a range of metrics to measure land use intensity (A complete list please see Table-S1). Detailed intensity classification of each system is discussed below. </w:t>
      </w:r>
    </w:p>
    <w:p w:rsidR="00666700" w:rsidRPr="00666700" w:rsidRDefault="00666700" w:rsidP="00666700">
      <w:pPr>
        <w:pStyle w:val="Heading2"/>
        <w:rPr>
          <w:rFonts w:ascii="Times New Roman" w:hAnsi="Times New Roman"/>
          <w:b/>
          <w:i/>
          <w:color w:val="auto"/>
          <w:sz w:val="24"/>
          <w:lang w:val="en-GB"/>
        </w:rPr>
      </w:pPr>
      <w:bookmarkStart w:id="2" w:name="_Ref45901236"/>
      <w:bookmarkStart w:id="3" w:name="_Toc60758343"/>
      <w:r w:rsidRPr="00666700">
        <w:rPr>
          <w:rFonts w:ascii="Times New Roman" w:hAnsi="Times New Roman"/>
          <w:b/>
          <w:i/>
          <w:color w:val="auto"/>
          <w:sz w:val="24"/>
          <w:lang w:val="en-GB"/>
        </w:rPr>
        <w:t>Human settlement system</w:t>
      </w:r>
      <w:bookmarkEnd w:id="2"/>
      <w:bookmarkEnd w:id="3"/>
    </w:p>
    <w:p w:rsidR="00666700" w:rsidRPr="001923D7" w:rsidRDefault="00666700" w:rsidP="00666700">
      <w:pPr>
        <w:ind w:firstLine="709"/>
      </w:pPr>
      <w:r w:rsidRPr="001923D7">
        <w:t>The influence of human settlements reaches far out of its boundary through flows of people, energy, matter, as well as climate and biodiversity</w:t>
      </w:r>
      <w:r w:rsidRPr="001923D7">
        <w:fldChar w:fldCharType="begin" w:fldLock="1"/>
      </w:r>
      <w:r>
        <w:instrText xml:space="preserve">ADDIN CSL_CITATION {"citationItems":[{"id":"ITEM-1","itemData":{"DOI":"10.1073/pnas.1117622109","ISSN":"1091-6490","PMID":"22550174","abstract":"This paper introduces urban land teleconnections as a conceptual framework that explicitly links land changes to underlying urbanization dynamics. We illustrate how three key themes that are currently addressed separately in the urban sustainability and land change literatures can lead to incorrect conclusions and misleading results when they are not examined jointly: the traditional system of land classification that is based on discrete categories and reinforces the false idea of a rural-urban dichotomy; the spatial quantification of land change that is based on place-based relationships, ignoring the connections between distant places, especially between urban functions and rural land uses; and the implicit assumptions about path dependency and sequential land changes that underlie current conceptualizations of land transitions. We then examine several environmental \"grand challenges\" and discuss how urban land teleconnections could help research communities frame scientific inquiries. Finally, we point to existing analytical approaches that can be used to advance development and application of the concept.","author":[{"dropping-particle":"","family":"Seto","given":"Karen C","non-dropping-particle":"","parse-names":false,"suffix":""},{"dropping-particle":"","family":"Reenberg","given":"Anette","non-dropping-particle":"","parse-names":false,"suffix":""},{"dropping-particle":"","family":"Boone","given":"Christopher G","non-dropping-particle":"","parse-names":false,"suffix":""},{"dropping-particle":"","family":"Fragkias","given":"Michail","non-dropping-particle":"","parse-names":false,"suffix":""},{"dropping-particle":"","family":"Haase","given":"Dagmar","non-dropping-particle":"","parse-names":false,"suffix":""},{"dropping-particle":"","family":"Langanke","given":"Tobias","non-dropping-particle":"","parse-names":false,"suffix":""},{"dropping-particle":"","family":"Marcotullio","given":"Peter","non-dropping-particle":"","parse-names":false,"suffix":""},{"dropping-particle":"","family":"Munroe","given":"Darla K","non-dropping-particle":"","parse-names":false,"suffix":""},{"dropping-particle":"","family":"Olah","given":"Branislav","non-dropping-particle":"","parse-names":false,"suffix":""},{"dropping-particle":"","family":"Simon","given":"David","non-dropping-particle":"","parse-names":false,"suffix":""}],"container-title":"Proceedings of the National Academy of Sciences of the United States of America","id":"ITEM-1","issue":"20","issued":{"date-parts":[["2012","5","15"]]},"page":"7687-92","title":"Urban land teleconnections and sustainability.","type":"article-journal","volume":"109"},"uris":["http://www.mendeley.com/documents/?uuid=d232fece-5f85-4ec7-84b2-b46bc39d3dcc"]},{"id":"ITEM-2","itemData":{"DOI":"10.1016/j.scitotenv.2018.10.283","ISSN":"0048-9697","author":[{"dropping-particle":"","family":"Chen","given":"Yimin","non-dropping-particle":"","parse-names":false,"suffix":""},{"dropping-particle":"","family":"Li","given":"Xia","non-dropping-particle":"","parse-names":false,"suffix":""},{"dropping-particle":"","family":"Liu","given":"Xiaoping","non-dropping-particle":"","parse-names":false,"suffix":""},{"dropping-particle":"","family":"Zhang","given":"Yuangying","non-dropping-particle":"","parse-names":false,"suffix":""},{"dropping-particle":"","family":"Huang","given":"Min","non-dropping-particle":"","parse-names":false,"suffix":""}],"container-title":"Science of the Total Environment","id":"ITEM-2","issued":{"date-parts":[["2019"]]},"page":"765-779","publisher":"Elsevier B.V.","title":"Tele-connecting China ' s future urban growth to impacts on ecosystem services under the shared socioeconomic pathways","type":"article-journal","volume":"652"},"uris":["http://www.mendeley.com/documents/?uuid=4981c829-e25f-46a8-8369-7caef148adfb"]},{"id":"ITEM-3","itemData":{"DOI":"10.1038/s41893-019-0340-0","ISSN":"2398-9629","abstract":"Global losses of natural area are primarily attributed to cropland expansion, whereas the role of urban expansion is considered minor. However, urban expansion can induce cropland displacement, potentially leading to a loss of forest elsewhere. The extent of this effect is unknown. This </w:instrText>
      </w:r>
      <w:r w:rsidRPr="009A539E">
        <w:rPr>
          <w:lang w:val="nl-NL"/>
        </w:rPr>
        <w:instrText>study shows that indirect forest losses, through cropland displacement, far exceed direct losses from urban expansion. On a global scale, urban land increased from 33.2 to 71.3 million hectares (Mha) between 1992 and 2015, leading to a direct loss of 3.3 Mha of forest and an indirect loss of 17.8 to 32.4 Mha. In addition, this urban expansion led to a direct loss of 4.6 Mha of shrubland and an indirect loss of 7.0 to 17.4 Mha. Guiding urban development towards more sustainable trajectories can thus help preserve forest and other natural area at a global scale.","author":[{"dropping-particle":"","family":"Vliet","given":"Jasper","non-dropping-particle":"van","parse-names":false,"suffix":""}],"container-title":"Nature Sustainability","id":"ITEM-3","issue":"8","issued":{"date-parts":[["2019"]]},"page":"755-763","title":"Direct and indirect loss of natural area from urban expansion","type":"article-journal","volume":"2"},"uris":["http://www.mendeley.com/documents/?uuid=127d15b8-f8be-44d6-941e-c27482a10dfe"]}],"mendeley":{"formattedCitation":"(Y. Chen, Li, Liu, Zhang, &amp; Huang, 2019; Seto, Reenberg, et al., 2012; van Vliet, 2019)","plainTextFormattedCitation":"(Y. Chen, Li, Liu, Zhang, &amp; Huang, 2019; Seto, Reenberg, et al., 2012; van Vliet, 2019)","previouslyFormattedCitation":"(Chen, Li, Liu, Zhang, &amp; Huang, 2019; Seto, Reenberg, et al., 2012; van Vliet, 2019)"},"properties":{"noteIndex":0},"schema":"https://github.com/citation-style-language/schema/raw/master/csl-citation.json"}</w:instrText>
      </w:r>
      <w:r w:rsidRPr="001923D7">
        <w:fldChar w:fldCharType="separate"/>
      </w:r>
      <w:r w:rsidRPr="009A539E">
        <w:rPr>
          <w:noProof/>
          <w:lang w:val="nl-NL"/>
        </w:rPr>
        <w:t>(Y. Chen, Li, Liu, Zhang, &amp; Huang, 2019; Seto, Reenberg, et al., 2012; van Vliet, 2019)</w:t>
      </w:r>
      <w:r w:rsidRPr="001923D7">
        <w:fldChar w:fldCharType="end"/>
      </w:r>
      <w:r w:rsidRPr="001923D7">
        <w:rPr>
          <w:lang w:val="nl-NL"/>
        </w:rPr>
        <w:t xml:space="preserve">. </w:t>
      </w:r>
      <w:r w:rsidRPr="001923D7">
        <w:t xml:space="preserve">Urbanization in Europe undergoes multiple dimensional changes in land cover, land use, and socio-ecological activities </w:t>
      </w:r>
      <w:r w:rsidRPr="001923D7">
        <w:fldChar w:fldCharType="begin" w:fldLock="1"/>
      </w:r>
      <w:r w:rsidRPr="001923D7">
        <w:instrText>ADDIN CSL_CITATION {"citationItems":[{"id":"ITEM-1","itemData":{"DOI":"10.1016/j.landurbplan.2019.103733","ISSN":"0169-2046","author":[{"dropping-particle":"","family":"Shaw","given":"Brian J","non-dropping-particle":"","parse-names":false,"suffix":""},{"dropping-particle":"Van","family":"Vliet","given":"Jasper","non-dropping-particle":"","parse-names":false,"suffix":""},{"dropping-particle":"","family":"Verburg","given":"Peter H","non-dropping-particle":"","parse-names":false,"suffix":""}],"container-title":"Landscape and Urban Planning","id":"ITEM-1","issue":"April 2019","issued":{"date-parts":[["2020"]]},"page":"103733","publisher":"Elsevier","title":"Landscape and Urban Planning The peri-urbanization of Europe : A systematic review of a multifaceted process","type":"article-journal","volume":"196"},"uris":["http://www.mendeley.com/documents/?uuid=40eb5703-7499-46b0-895b-e887dd7f8364"]}],"mendeley":{"formattedCitation":"(Shaw, Vliet, &amp; Verburg, 2020)","plainTextFormattedCitation":"(Shaw, Vliet, &amp; Verburg, 2020)","previouslyFormattedCitation":"(Shaw, Vliet, &amp; Verburg, 2020)"},"properties":{"noteIndex":0},"schema":"https://github.com/citation-style-language/schema/raw/master/csl-citation.json"}</w:instrText>
      </w:r>
      <w:r w:rsidRPr="001923D7">
        <w:fldChar w:fldCharType="separate"/>
      </w:r>
      <w:r w:rsidRPr="001923D7">
        <w:rPr>
          <w:noProof/>
        </w:rPr>
        <w:t>(Shaw, Vliet, &amp; Verburg, 2020)</w:t>
      </w:r>
      <w:r w:rsidRPr="001923D7">
        <w:fldChar w:fldCharType="end"/>
      </w:r>
      <w:r w:rsidRPr="001923D7">
        <w:t xml:space="preserve">, and most recent changes are small incremental increases </w:t>
      </w:r>
      <w:r w:rsidRPr="001923D7">
        <w:fldChar w:fldCharType="begin" w:fldLock="1"/>
      </w:r>
      <w:r w:rsidRPr="001923D7">
        <w:instrText>ADDIN CSL_CITATION {"citationItems":[{"id":"ITEM-1","itemData":{"DOI":"10.1016/j.compenvurbsys.2018.12.002","ISSN":"01989715","abstract":"Urban land and rural land are typically represented as homogenous and mutually exclusive classes in land change analyses. As a result, differences in urban land use intensity, as well as mosaic landscapes combining urban and rural land uses are not represented. In this study we explore the distribution of urban land and urban land use intensity in Europe and the changes therein. Specifically, we analyze the distribution of built-up land within pixels of 1 km2. At that resolution we find that most built-up land is distributed over predominantly non-built-up pixels. Consistently, we find that most urban land use changes between 2000 and 2014 come in small incremental changes, rather than sudden large-scale conversions from rural to urban land. Using urban population densities, we find that urban land use intensity varies strongly across 1 km2 pixels in Europe, as illustrated by a coefficient of variation of 85%. We found a similarly high variation between urban population densities for most individual countries and within areas with the same share of built-up land. Population changes have led to different combinations of urban land expansion and urban intensity changes in different study periods (1975–1990, 1990–2000, and 2000–2015) and countries. These findings suggest that land use change models could be improved by more nuanced representations of urban land, including mosaic classes and different urban land use intensities.","author":[{"dropping-particle":"","family":"Vliet","given":"Jasper","non-dropping-particle":"van","parse-names":false,"suffix":""},{"dropping-particle":"","family":"Verburg","given":"Peter H.","non-dropping-particle":"","parse-names":false,"suffix":""},{"dropping-particle":"","family":"Grădinaru","given":"Simona R.","non-dropping-particle":"","parse-names":false,"suffix":""},{"dropping-particle":"","family":"Hersperger","given":"Anna M.","non-dropping-particle":"","parse-names":false,"suffix":""}],"container-title":"Computers, Environment and Urban Systems","id":"ITEM-1","issue":"November 2018","issued":{"date-parts":[["2019"]]},"page":"41-49","publisher":"Elsevier","title":"Beyond the urban-rural dichotomy: Towards a more nuanced analysis of changes in built-up land","type":"article-journal","volume":"74"},"uris":["http://www.mendeley.com/documents/?uuid=000fa386-2b1a-4ee5-aee6-75bc149c144b"]}],"mendeley":{"formattedCitation":"(van Vliet et al., 2019)","plainTextFormattedCitation":"(van Vliet et al., 2019)","previouslyFormattedCitation":"(van Vliet et al., 2019)"},"properties":{"noteIndex":0},"schema":"https://github.com/citation-style-language/schema/raw/master/csl-citation.json"}</w:instrText>
      </w:r>
      <w:r w:rsidRPr="001923D7">
        <w:fldChar w:fldCharType="separate"/>
      </w:r>
      <w:r w:rsidRPr="001923D7">
        <w:rPr>
          <w:noProof/>
        </w:rPr>
        <w:t>(van Vliet et al., 2019)</w:t>
      </w:r>
      <w:r w:rsidRPr="001923D7">
        <w:fldChar w:fldCharType="end"/>
      </w:r>
      <w:r w:rsidRPr="001923D7">
        <w:t xml:space="preserve">. In comparison to current practices that use “built-up” land or a binary classification of urban and rural area </w:t>
      </w:r>
      <w:r w:rsidRPr="001923D7">
        <w:fldChar w:fldCharType="begin" w:fldLock="1"/>
      </w:r>
      <w:r w:rsidRPr="001923D7">
        <w:instrText xml:space="preserve">ADDIN CSL_CITATION {"citationItems":[{"id":"ITEM-1","itemData":{"DOI":"10.1073/pnas.1211658109","ISSN":"00278424","PMID":"22988086","abstract":"Urban land-cover change threatens biodiversity and affects ecosystem productivity through loss of habitat, biomass, and carbon storage. However, despite projections that world urban populations will increase to nearly 5 billion by 2030, little is known about future locations, magnitudes, and rates of urban expansion. Here we develop spatially explicit probabilistic forecasts of global urban land-cover change and explore the direct impacts on biodiversity hotspots and tropical carbon biomass. If current trends in population density continue and all areas with high probabilities of urban expansion undergo change, then by 2030, urban land cover will increase by 1.2 million km 2, nearly tripling the global urban land area circa 2000. This increase would result in considerable loss of habitats in key biodiversity hotspots, with the highest rates of forecasted urban growth to take place in regions that were relatively undisturbed by urban development in 2000: the Eastern Afromontane, the Guinean Forests of West Africa, and the Western Ghats and Sri Lanka hotspots. Within the pan-tropics, loss in vegetation biomass from areas with high probability of urban expansion is estimated to be 1.38 PgC (0.05 PgC yr-1), equal to </w:instrText>
      </w:r>
      <w:r w:rsidRPr="001923D7">
        <w:rPr>
          <w:rFonts w:ascii="Cambria Math" w:hAnsi="Cambria Math" w:cs="Cambria Math"/>
        </w:rPr>
        <w:instrText>∼</w:instrText>
      </w:r>
      <w:r w:rsidRPr="001923D7">
        <w:instrText>5% of emissions from tropical deforestation and land-use change. Although urbanization is often considered a local issue, the aggregate global impacts of projected urban expansion will require significant policy changes to affect future growth trajectories to minimize global biodiversity and vegetation carbon losses.","author":[{"dropping-particle":"","family":"Seto","given":"Karen C.","non-dropping-particle":"","parse-names":false,"suffix":""},{"dropping-particle":"","family":"Güneralp","given":"Burak","non-dropping-particle":"","parse-names":false,"suffix":""},{"dropping-particle":"","family":"Hutyra","given":"Lucy R.","non-dropping-particle":"","parse-names":false,"suffix":""}],"container-title":"Proceedings of the National Academy of Sciences of the United States of America","id":"ITEM-1","issue":"40","issued":{"date-parts":[["2012"]]},"page":"16083-16088","title":"Global forecasts of urban expansion to 2030 and direct impacts on biodiversity and carbon pools","type":"article-journal","volume":"109"},"uris":["http://www.mendeley.com/documents/?uuid=6a2e0829-7c26-4f4d-a98c-37366484b8ff"]}],"mendeley":{"formattedCitation":"(Seto, Güneralp, &amp; Hutyra, 2012)","plainTextFormattedCitation":"(Seto, Güneralp, &amp; Hutyra, 2012)","previouslyFormattedCitation":"(Seto, Güneralp, &amp; Hutyra, 2012)"},"properties":{"noteIndex":0},"schema":"https://github.com/citation-style-language/schema/raw/master/csl-citation.json"}</w:instrText>
      </w:r>
      <w:r w:rsidRPr="001923D7">
        <w:fldChar w:fldCharType="separate"/>
      </w:r>
      <w:r w:rsidRPr="001923D7">
        <w:rPr>
          <w:noProof/>
        </w:rPr>
        <w:t>(Seto, Güneralp, &amp; Hutyra, 2012)</w:t>
      </w:r>
      <w:r w:rsidRPr="001923D7">
        <w:fldChar w:fldCharType="end"/>
      </w:r>
      <w:r w:rsidRPr="001923D7">
        <w:t>, we classified three intensity levels for settlement systems: urban core (high intensity), peri-urban (medium intensity), and rural areas (low intensity). We used the intensity of imperviousness (i.e., each cell has a value from 0-100%), namely artificial impermeable cover of soil, as a proxy of urbanization degree, based on similar mapping attempts</w:t>
      </w:r>
      <w:r w:rsidRPr="001923D7">
        <w:fldChar w:fldCharType="begin" w:fldLock="1"/>
      </w:r>
      <w:r w:rsidRPr="001923D7">
        <w:instrText>ADDIN CSL_CITATION {"citationItems":[{"id":"ITEM-1","itemData":{"DOI":"10.1111/j.1365-2486.2012.02759.x","ISSN":"13541013","abstract":"Current global scale land-change models used for integrated assessments and climate modeling are based on classifications of land cover. However, land-use management intensity and livestock keeping are also important aspects of land use, and are an integrated part of land systems. This article aims to classify, map, and to characterize Land Systems (LS) at a global scale and analyze the spatial determinants of these systems. Besides proposing such a classification, the article tests if global assessments can be based on globally uniform allocation rules. Land cover, livestock, and agricultural intensity data are used to map LS using a hierarchical classification method. Logistic regressions are used to analyze variation in spatial determinants of LS. The analysis of the spatial determinants of LS indicates strong associations between LS and a range of socioeconomic and biophysical indicators of human-environment interactions. The set of identified spatial determinants of a LS differs among regions and scales, especially for (mosaic) cropland systems, grassland systems with livestock, and settlements. (Semi-)Natural LS have more similar spatial determinants across regions and scales. Using LS in global models is expected to result in a more accurate representation of land use capturing important aspects of land systems and land architecture: the variation in land cover and the link between land-use intensity and landscape composition. Because the set of most important spatial determinants of LS varies among regions and scales, land-change models that include the human drivers of land change are best parameterized at sub-global level, where similar biophysical, socioeconomic and cultural conditions prevail in the specific regions.","author":[{"dropping-particle":"","family":"Asselen","given":"Sanneke","non-dropping-particle":"van","parse-names":false,"suffix":""},{"dropping-particle":"","family":"Verburg","given":"Peter H.","non-dropping-particle":"","parse-names":false,"suffix":""}],"container-title":"Global Change Biology","id":"ITEM-1","issue":"10","issued":{"date-parts":[["2012"]]},"note":"this paper is about land system used for climate models. not so much on biodiversity","page":"3125-3148","title":"A Land System representation for global assessments and land-use modeling","type":"article-journal","volume":"18"},"uris":["http://www.mendeley.com/documents/?uuid=735138ba-b8d9-46e2-b09b-a20c0d8b2bdb"]},{"id":"ITEM-2","itemData":{"DOI":"10.1371/journal.pone.0214474","ISBN":"1111111111","ISSN":"19326203","abstract":"Cities are major drivers of environmental change at all scales and are especially at risk from the ensuing effects, which include poor air quality, flooding and heat waves. Typically, these issues are studied on a city-by-city basis owing to the spatial complexity of built landscapes, local topography and emission patterns. However, to ensure knowledge sharing and to inte- grate local-scale processes with regional and global scale modelling initiatives, there is a pressing need for a world-wide database on cities that is suited for environmental studies. In this paper we present a European database that has a particular focus on characterising urbanised landscapes. It has been derived using tools and techniques developed as part of the World Urban Database and Access Portal Tools (WUDAPT) project, which has the goal of acquiring and disseminating climate-relevant information on cities worldwide. The Euro- pean map is the first major step toward creating a global database on cities that can be inte- grated with existing topographic and natural land-cover databases to support modelling initiatives.","author":[{"dropping-particle":"","family":"Demuzere","given":"Matthias","non-dropping-particle":"","parse-names":false,"suffix":""},{"dropping-particle":"","family":"Bechtel","given":"Benjamin","non-dropping-particle":"","parse-names":false,"suffix":""},{"dropping-particle":"","family":"Middel","given":"Ariane","non-dropping-particle":"","parse-names":false,"suffix":""},{"dropping-particle":"","family":"Mills","given":"Gerald","non-dropping-particle":"","parse-names":false,"suffix":""}],"container-title":"PLoS ONE","id":"ITEM-2","issue":"4","issued":{"date-parts":[["2019"]]},"page":"1-2","title":"Mapping Europe into local climate zones","type":"article-journal","volume":"14"},"uris":["http://www.mendeley.com/documents/?uuid=5b3436e7-5b05-433a-9941-cbbb903f1924"]},{"id":"ITEM-3","itemData":{"DOI":"10.1371/journal.pone.0031743","ISSN":"19326203","abstract":"The spatial distribution of populations and settlements across a country and their interconnectivity and accessibility from urban areas are important for delivering healthcare, distributing resources and economic development. However, existing spatially explicit population data across Africa are generally based on outdated, low resolution input demographic data, and provide insufficient detail to quantify rural settlement patterns and, thus, accurately measure population concentration and accessibility. Here we outline approaches to developing a new high resolution population distribution dataset for Africa and analyse rural accessibility to population centers. Contemporary population count data were combined with detailed satellite-derived settlement extents to map population distributions across Africa at a finer spatial resolution than ever before. Substantial heterogeneity in settlement patterns, population concentration and spatial accessibility to major population centres is exhibited across the continent. In Africa, 90% of the population is concentrated in less than 21% of the land surface and the average per-person travel time to settlements of more than 50,000 inhabitants is around 3.5 hours, with Central and East Africa displaying the longest average travel times. The analyses highlight large inequities in access, the isolation of many rural populations and the challenges that exist between countries and regions in providing access to services. The datasets presented are freely available as part of the AfriPop project, providing an evidence base for guiding strategic decisions. © 2012 Linard et al</w:instrText>
      </w:r>
      <w:r w:rsidRPr="001923D7">
        <w:rPr>
          <w:lang w:val="nl-NL"/>
        </w:rPr>
        <w:instrText>.","author":[{"dropping-particle":"","family":"Linard","given":"Catherine","non-dropping-particle":"","parse-names":false,"suffix":""},{"dropping-particle":"","family":"Gilbert","given":"Marius","non-dropping-particle":"","parse-names":false,"suffix":""},{"dropping-particle":"","family":"Snow","given":"Robert W.","non-dropping-particle":"","parse-names":false,"suffix":""},{"dropping-particle":"","family":"Noor","given":"Abdisalan M.","non-dropping-particle":"","parse-names":false,"suffix":""},{"dropping-particle":"","family":"Tatem","given":"Andrew J.","non-dropping-particle":"","parse-names":false,"suffix":""}],"container-title":"PLoS ONE","id":"ITEM-3","issue":"2","issued":{"date-parts":[["2012"]]},"title":"Population distribution, settlement patterns and accessibility across Africa in 2010","type":"article-journal","volume":"7"},"uris":["http://www.mendeley.com/documents/?uuid=3e000250-a457-4851-8edf-41ed9b175588"]}],"mendeley":{"formattedCitation":"(Demuzere, Bechtel, Middel, &amp; Mills, 2019; Linard, Gilbert, Snow, Noor, &amp; Tatem, 2012; van Asselen &amp; Verburg, 2012)","plainTextFormattedCitation":"(Demuzere, Bechtel, Middel, &amp; Mills, 2019; Linard, Gilbert, Snow, Noor, &amp; Tatem, 2012; van Asselen &amp; Verburg, 2012)","previouslyFormattedCitation":"(Demuzere, Bechtel, Middel, &amp; Mills, 2019; Linard, Gilbert, Snow, Noor, &amp; Tatem, 2012; van Asselen &amp; Verburg, 2012)"},"properties":{"noteIndex":0},"schema":"https://github.com/citation-style-language/schema/raw/master/csl-citation.json"}</w:instrText>
      </w:r>
      <w:r w:rsidRPr="001923D7">
        <w:fldChar w:fldCharType="separate"/>
      </w:r>
      <w:r w:rsidRPr="001923D7">
        <w:rPr>
          <w:noProof/>
          <w:lang w:val="nl-NL"/>
        </w:rPr>
        <w:t>(Demuzere, Bechtel, Middel, &amp; Mills, 2019; Linard, Gilbert, Snow, Noor, &amp; Tatem, 2012; van Asselen &amp; Verburg, 2012)</w:t>
      </w:r>
      <w:r w:rsidRPr="001923D7">
        <w:fldChar w:fldCharType="end"/>
      </w:r>
      <w:r w:rsidRPr="001923D7">
        <w:rPr>
          <w:lang w:val="nl-NL"/>
        </w:rPr>
        <w:t xml:space="preserve">. </w:t>
      </w:r>
      <w:r w:rsidRPr="001923D7">
        <w:t xml:space="preserve">In addition, we considered the adjacency to urban core areas when distinguishing peri-urban and rural settlement </w:t>
      </w:r>
      <w:r w:rsidRPr="001923D7">
        <w:fldChar w:fldCharType="begin" w:fldLock="1"/>
      </w:r>
      <w:r w:rsidRPr="001923D7">
        <w:instrText>ADDIN CSL_CITATION {"citationItems":[{"id":"ITEM-1","itemData":{"DOI":"10.1007/s10113-015-0876-0","ISSN":"1436378X","abstract":"Explorations of future land use change are important to understand potential conflicts between competing land uses, trade-offs associated with particular land change trajectories, and the effectiveness of policies to steer land systems into desirable states. Most model-based explorations and scenario studies focused on conversions in broad land use classes, but disregarded changes in land management or focused on individual sectors only. Using the European Union (EU) as a case study, we developed an approach to identifying typical combinations of land cover and management changes by combining the results of multimodel simulations in the agriculture and forest sectors for four scenarios from 2000 to 2040. We visualized land change trajectories by mapping regional hotspots of change. Land change trajectories differed in extent and spatial pattern across the EU and among scenarios, indicating trajectory-specific option spaces for alternative land system outcomes. In spite of the large variation in the area of change, similar hotspots of land change were observed among the scenarios. All scenarios indicate a stronger polarization of land use in Europe, with a loss of multifunctional landscapes. We analyzed locations subject to change by comparing location characteristics associated with certain land change trajectories. Results indicate differences in the location conditions of different land change trajectories, with diverging impacts on ecosystem service provisioning. Policy and planning for future land use needs to account for the spatial variation of land change trajectories to achieve both overarching and location-specific targets.","author":[{"dropping-particle":"","family":"Stürck","given":"Julia","non-dropping-particle":"","parse-names":false,"suffix":""},{"dropping-particle":"","family":"Levers","given":"Christian","non-dropping-particle":"","parse-names":false,"suffix":""},{"dropping-particle":"","family":"Zanden","given":"Emma Henriëtta","non-dropping-particle":"van der","parse-names":false,"suffix":""},{"dropping-particle":"","family":"Schulp","given":"Catharina Johanna Elizabeth","non-dropping-particle":"","parse-names":false,"suffix":""},{"dropping-particle":"","family":"Verkerk","given":"Pieter Johannes","non-dropping-particle":"","parse-names":false,"suffix":""},{"dropping-particle":"","family":"Kuemmerle","given":"Tobias","non-dropping-particle":"","parse-names":false,"suffix":""},{"dropping-particle":"","family":"Helming","given":"John","non-dropping-particle":"","parse-names":false,"suffix":""},{"dropping-particle":"","family":"Lotze-Campen","given":"Hermann","non-dropping-particle":"","parse-names":false,"suffix":""},{"dropping-particle":"","family":"Tabeau","given":"Andrzej","non-dropping-particle":"","parse-names":false,"suffix":""},{"dropping-particle":"","family":"Popp","given":"Alexander","non-dropping-particle":"","parse-names":false,"suffix":""},{"dropping-particle":"","family":"Schrammeijer","given":"Elizabeth","non-dropping-particle":"","parse-names":false,"suffix":""},{"dropping-particle":"","family":"Verburg","given":"Peter","non-dropping-particle":"","parse-names":false,"suffix":""}],"container-title":"Regional Environmental Change","id":"ITEM-1","issue":"3","issued":{"date-parts":[["2018"]]},"page":"733-749","title":"Simulating and delineating future land change trajectories across Europe","type":"article-journal","volume":"18"},"uris":["http://www.mendeley.com/documents/?uuid=6dc9e35d-9110-490c-acfd-438667264467"]},{"id":"ITEM-2","itemData":{"DOI":"10.1371/journal.pone.0031743","ISSN":"19326203","abstract":"The spatial distribution of populations and settlements across a country and their interconnectivity and accessibility from urban areas are important for delivering healthcare, distributing resources and economic development. However, existing spatially explicit population data across Africa are generally based on outdated, low resolution input demographic data, and provide insufficient detail to quantify rural settlement patterns and, thus, accurately measure population concentration and accessibility. Here we outline approaches to developing a new high resolution population distribution dataset for Africa and analyse rural accessibility to population centers. Contemporary population count data were combined with detailed satellite-derived settlement extents to map population distributions across Africa at a finer spatial resolution than ever before. Substantial heterogeneity in settlement patterns, population concentration and spatial accessibility to major population centres is exhibited across the continent. In Africa, 90% of the population is concentrated in less than 21% of the land surface and the average per-person travel time to settlements of more than 50,000 inhabitants is around 3.5 hours, with Central and East Africa displaying the longest average travel times. The analyses highlight large inequities in access, the isolation of many rural populations and the challenges that exist between countries and regions in providing access to services. The datasets presented are freely available as part of the AfriPop project, providing an evidence base for guiding strategic decisions. © 2012 Linard et al.","author":[{"dropping-particle":"","family":"Linard","given":"Catherine","non-dropping-particle":"","parse-names":false,"suffix":""},{"dropping-particle":"","family":"Gilbert","given":"Marius","non-dropping-particle":"","parse-names":false,"suffix":""},{"dropping-particle":"","family":"Snow","given":"Robert W.","non-dropping-particle":"","parse-names":false,"suffix":""},{"dropping-particle":"","family":"Noor","given":"Abdisalan M.","non-dropping-particle":"","parse-names":false,"suffix":""},{"dropping-particle":"","family":"Tatem","given":"Andrew J.","non-dropping-particle":"","parse-names":false,"suffix":""}],"container-title":"PLoS ONE","id":"ITEM-2","issue":"2","issued":{"date-parts":[["2012"]]},"title":"Population distribution, settlement patterns and accessibility across Africa in 2010","type":"article-journal","volume":"7"},"uris":["http://www.mendeley.com/documents/?uuid=3e000250-a457-4851-8edf-41ed9b175588"]}],"mendeley":{"formattedCitation":"(Linard et al., 2012; Stürck et al., 2018)","plainTextFormattedCitation":"(Linard et al., 2012; Stürck et al., 2018)","previouslyFormattedCitation":"(Linard et al., 2012; Stürck et al., 2018)"},"properties":{"noteIndex":0},"schema":"https://github.com/citation-style-language/schema/raw/master/csl-citation.json"}</w:instrText>
      </w:r>
      <w:r w:rsidRPr="001923D7">
        <w:fldChar w:fldCharType="separate"/>
      </w:r>
      <w:r w:rsidRPr="00B71171">
        <w:rPr>
          <w:noProof/>
        </w:rPr>
        <w:t>(Linard et al., 2012; Stürck et al., 2018)</w:t>
      </w:r>
      <w:r w:rsidRPr="001923D7">
        <w:fldChar w:fldCharType="end"/>
      </w:r>
      <w:r w:rsidRPr="00B71171">
        <w:t xml:space="preserve">. </w:t>
      </w:r>
      <w:r w:rsidRPr="001923D7">
        <w:t>If more than one urban core was detected within the 9×9 cell neighborhood of a non-urban core pixel, we classified it as peri-urban. The remaining built-up cells were classified as rural settlements (</w:t>
      </w:r>
      <w:r w:rsidRPr="0056187F">
        <w:t>Figure S2</w:t>
      </w:r>
      <w:r w:rsidRPr="001923D7">
        <w:t xml:space="preserve">). Urban areas have high imperviousness density (at least more than 25% imperviousness), representing the dense buildings and road networks in a city, while peri-urban is less dense and adjacent to urban cores and rural areas are far from urban cores. </w:t>
      </w:r>
    </w:p>
    <w:p w:rsidR="00666700" w:rsidRPr="00666700" w:rsidRDefault="00666700" w:rsidP="00666700">
      <w:pPr>
        <w:pStyle w:val="Heading2"/>
        <w:rPr>
          <w:rFonts w:ascii="Times New Roman" w:hAnsi="Times New Roman"/>
          <w:b/>
          <w:i/>
          <w:color w:val="auto"/>
          <w:sz w:val="24"/>
          <w:lang w:val="en-GB"/>
        </w:rPr>
      </w:pPr>
      <w:bookmarkStart w:id="4" w:name="_Toc60758344"/>
      <w:r w:rsidRPr="00666700">
        <w:rPr>
          <w:rFonts w:ascii="Times New Roman" w:hAnsi="Times New Roman"/>
          <w:b/>
          <w:i/>
          <w:color w:val="auto"/>
          <w:sz w:val="24"/>
          <w:lang w:val="en-GB"/>
        </w:rPr>
        <w:t>Forest system</w:t>
      </w:r>
      <w:bookmarkEnd w:id="4"/>
    </w:p>
    <w:p w:rsidR="00666700" w:rsidRPr="001923D7" w:rsidRDefault="00666700" w:rsidP="00666700">
      <w:pPr>
        <w:pBdr>
          <w:top w:val="nil"/>
          <w:left w:val="nil"/>
          <w:bottom w:val="nil"/>
          <w:right w:val="nil"/>
          <w:between w:val="nil"/>
        </w:pBdr>
        <w:ind w:firstLine="709"/>
        <w:rPr>
          <w:color w:val="000000"/>
        </w:rPr>
      </w:pPr>
      <w:r w:rsidRPr="001923D7">
        <w:t>F</w:t>
      </w:r>
      <w:r w:rsidRPr="001923D7">
        <w:rPr>
          <w:color w:val="000000"/>
        </w:rPr>
        <w:t xml:space="preserve">orest management and forest types are sparsely included yet </w:t>
      </w:r>
      <w:r w:rsidRPr="001923D7">
        <w:t>important</w:t>
      </w:r>
      <w:r w:rsidRPr="001923D7">
        <w:rPr>
          <w:color w:val="000000"/>
        </w:rPr>
        <w:t xml:space="preserve"> to </w:t>
      </w:r>
      <w:r w:rsidRPr="001923D7">
        <w:t xml:space="preserve">accurately assess biodiversity </w:t>
      </w:r>
      <w:r w:rsidRPr="001923D7">
        <w:fldChar w:fldCharType="begin" w:fldLock="1"/>
      </w:r>
      <w:r w:rsidRPr="001923D7">
        <w:instrText>ADDIN CSL_CITATION {"citationItems":[{"id":"ITEM-1","itemData":{"DOI":"10.1038/nature25138","ISSN":"14764687","abstract":"Carbon stocks in vegetation have a key role in the climate system. However, the magnitude, patterns and uncertainties of carbon stocks and the effect of land use on the stocks remain poorly quantified. Here we show, using state-of-the-art datasets, that vegetation currently stores around 450 petagrams of carbon. In the hypothetical absence of land use, potential vegetation would store around 916 petagrams of carbon, under current climate conditions. This difference highlights the massive effect of land use on biomass stocks. Deforestation and other land-cover changes are responsible for 53-58% of the difference between current and potential biomass stocks. Land management effects (the biomass stock changes induced by land use within the same land cover) contribute 42-47%, but have been underestimated in the literature. Therefore, avoiding deforestation is necessary but not sufficient for mitigation of climate change. Our results imply that trade-offs exist between conserving carbon stocks on managed land and raising the contribution of biomass to raw material and energy supply for the mitigation of climate change. Efforts to raise biomass stocks are currently verifiable only in temperate forests, where their potential is limited. By contrast, large uncertainties hinder verification in the tropical forest, where the largest potential is located, pointing to challenges for the upcoming stocktaking exercises under the Paris agreement.","author":[{"dropping-particle":"","family":"Erb","given":"Karl Heinz","non-dropping-particle":"","parse-names":false,"suffix":""},{"dropping-particle":"","family":"Kastner","given":"Thomas","non-dropping-particle":"","parse-names":false,"suffix":""},{"dropping-particle":"","family":"Plutzar","given":"Christoph","non-dropping-particle":"","parse-names":false,"suffix":""},{"dropping-particle":"","family":"Bais","given":"Anna Liza S.","non-dropping-particle":"","parse-names":false,"suffix":""},{"dropping-particle":"","family":"Carvalhais","given":"Nuno","non-dropping-particle":"","parse-names":false,"suffix":""},{"dropping-particle":"","family":"Fetzel","given":"Tamara","non-dropping-particle":"","parse-names":false,"suffix":""},{"dropping-particle":"","family":"Gingrich","given":"Simone","non-dropping-particle":"","parse-names":false,"suffix":""},{"dropping-particle":"","family":"Haberl","given":"Helmut","non-dropping-particle":"","parse-names":false,"suffix":""},{"dropping-particle":"","family":"Lauk","given":"Christian","non-dropping-particle":"","parse-names":false,"suffix":""},{"dropping-particle":"","family":"Niedertscheider","given":"Maria","non-dropping-particle":"","parse-names":false,"suffix":""},{"dropping-particle":"","family":"Pongratz","given":"Julia","non-dropping-particle":"","parse-names":false,"suffix":""},{"dropping-particle":"","family":"Thurner","given":"Martin","non-dropping-particle":"","parse-names":false,"suffix":""},{"dropping-particle":"","family":"Luyssaert","given":"Sebastiaan","non-dropping-particle":"","parse-names":false,"suffix":""}],"container-title":"Nature","id":"ITEM-1","issue":"7686","issued":{"date-parts":[["2018"]]},"page":"73-76","publisher":"Nature Publishing Group","title":"Unexpectedly large impact of forest management and grazing on global vegetation biomass","type":"article-journal","volume":"553"},"uris":["http://www.mendeley.com/documents/?uuid=554757ba-c3f9-4632-a45b-af26c946d3f3"]},{"id":"ITEM-2","itemData":{"DOI":"10.1038/srep23954","ISSN":"20452322","abstract":"Forests managed for timber have an important role to play in conserving global biodiversity. We evaluated the most common timber production systems worldwide in terms of their impact on local species richness by conducting a categorical meta-analysis. We reviewed 287 published studies containing 1008 comparisons of species richness in managed and unmanaged forests and derived management, taxon, and continent specific effect sizes. We show that in terms of local species richness loss, forest management types can be ranked, from best to worse, as follows: selection and retention systems, reduced impact logging, conventional selective logging, clear-cutting, agroforestry, timber plantations, fuelwood plantations. Next, we calculated the economic profitability in terms of the net present value of timber harvesting from 10 hypothetical wood-producing Forest Management Units (FMU) from around the globe. The ranking of management types is altered when the species loss per unit profit generated from the FMU is considered. This is due to differences in yield, timber species prices, rotation cycle length and production costs. We thus conclude that it would be erroneous to dismiss or prioritize timber production regimes, based solely on their ranking of alpha diversity impacts.","author":[{"dropping-particle":"","family":"Chaudhary","given":"Abhishek","non-dropping-particle":"","parse-names":false,"suffix":""},{"dropping-particle":"","family":"Burivalova","given":"Zuzana","non-dropping-particle":"","parse-names":false,"suffix":""},{"dropping-particle":"","family":"Koh","given":"Lian Pin","non-dropping-particle":"","parse-names":false,"suffix":""},{"dropping-particle":"","family":"Hellweg","given":"Stefanie","non-dropping-particle":"","parse-names":false,"suffix":""}],"container-title":"Scientific Reports","id":"ITEM-2","issued":{"date-parts":[["2016"]]},"page":"1-10","publisher":"Nature Publishing Group","title":"Impact of Forest Management on Species Richness: Global Meta-Analysis and Economic Trade-Offs","type":"article-journal","volume":"6"},"uris":["http://www.mendeley.com/documents/?uuid=705ced64-cb77-4248-9884-7380f602d1af"]}],"mendeley":{"formattedCitation":"(Chaudhary et al., 2016; Erb et al., 2018)","plainTextFormattedCitation":"(Chaudhary et al., 2016; Erb et al., 2018)","previouslyFormattedCitation":"(Chaudhary et al., 2016; Erb et al., 2018)"},"properties":{"noteIndex":0},"schema":"https://github.com/citation-style-language/schema/raw/master/csl-citation.json"}</w:instrText>
      </w:r>
      <w:r w:rsidRPr="001923D7">
        <w:fldChar w:fldCharType="separate"/>
      </w:r>
      <w:r w:rsidRPr="001923D7">
        <w:rPr>
          <w:noProof/>
        </w:rPr>
        <w:t>(Chaudhary et al., 2016; Erb et al., 2018)</w:t>
      </w:r>
      <w:r w:rsidRPr="001923D7">
        <w:fldChar w:fldCharType="end"/>
      </w:r>
      <w:r w:rsidRPr="001923D7">
        <w:rPr>
          <w:color w:val="000000"/>
        </w:rPr>
        <w:t xml:space="preserve">. We used wood production of Europe (1km) </w:t>
      </w:r>
      <w:r w:rsidRPr="001923D7">
        <w:rPr>
          <w:color w:val="000000"/>
        </w:rPr>
        <w:fldChar w:fldCharType="begin" w:fldLock="1"/>
      </w:r>
      <w:r w:rsidRPr="001923D7">
        <w:rPr>
          <w:color w:val="000000"/>
        </w:rPr>
        <w:instrText>ADDIN CSL_CITATION {"citationItems":[{"id":"ITEM-1","itemData":{"DOI":"10.1016/j.foreco.2015.08.007","ISSN":"03781127","abstract":"Wood production is an important forest use, impacting a range of other ecosystem services. However, information on the spatial patterns in wood production is limited and often available only for larger administrative units. In this study, we developed high-resolution wood production maps for European forests. We collected wood production statistics for 29 European countries from 2000 to 2010, as well as comprehensive sets of biophysical and socioeconomic location factors. We used regression analyses to produce maps indicating the harvest likelihood on a 1×1km 2 grid. These likelihood maps were validated using national forest inventory plot data. We then disaggregated wood production statistics from larger administrative units to the grid level using the harvest likelihood as weights. We verified the resulting wood production maps by correlating predicted and observed wood production at the level of smaller administrative units not used for generating the wood production maps. We conclude that (i) productivity, tree species composition and terrain ruggedness are the most important location factors that determine the spatial patterns of wood production at the pan-European scale and that (ii) incorporating these location factors substantially improves the results of disaggregating wood production statistics compared to a disaggregation based on forest cover only. Our wood production maps give insight into forest ecosystem service provisioning and can be used to improve the assessment of potentials and costs of woody biomass supply.","author":[{"dropping-particle":"","family":"Verkerk","given":"Pieter J.","non-dropping-particle":"","parse-names":false,"suffix":""},{"dropping-particle":"","family":"Levers","given":"Christian","non-dropping-particle":"","parse-names":false,"suffix":""},{"dropping-particle":"","family":"Kuemmerle","given":"Tobias","non-dropping-particle":"","parse-names":false,"suffix":""},{"dropping-particle":"","family":"Lindner","given":"Marcus","non-dropping-particle":"","parse-names":false,"suffix":""},{"dropping-particle":"","family":"Valbuena","given":"Ruben","non-dropping-particle":"","parse-names":false,"suffix":""},{"dropping-particle":"","family":"Verburg","given":"Peter H.","non-dropping-particle":"","parse-names":false,"suffix":""},{"dropping-particle":"","family":"Zudin","given":"Sergey","non-dropping-particle":"","parse-names":false,"suffix":""}],"container-title":"Forest Ecology and Management","id":"ITEM-1","issued":{"date-parts":[["2015"]]},"page":"228-238","publisher":"Elsevier B.V.","title":"Mapping wood production in European forests","type":"article-journal","volume":"357"},"uris":["http://www.mendeley.com/documents/?uuid=5e03a1c1-986b-4759-9a57-c0365d1477a7"]}],"mendeley":{"formattedCitation":"(Verkerk et al., 2015)","plainTextFormattedCitation":"(Verkerk et al., 2015)","previouslyFormattedCitation":"(Verkerk et al., 2015)"},"properties":{"noteIndex":0},"schema":"https://github.com/citation-style-language/schema/raw/master/csl-citation.json"}</w:instrText>
      </w:r>
      <w:r w:rsidRPr="001923D7">
        <w:rPr>
          <w:color w:val="000000"/>
        </w:rPr>
        <w:fldChar w:fldCharType="separate"/>
      </w:r>
      <w:r w:rsidRPr="001923D7">
        <w:rPr>
          <w:noProof/>
          <w:color w:val="000000"/>
        </w:rPr>
        <w:t>(Verkerk et al., 2015)</w:t>
      </w:r>
      <w:r w:rsidRPr="001923D7">
        <w:rPr>
          <w:color w:val="000000"/>
        </w:rPr>
        <w:fldChar w:fldCharType="end"/>
      </w:r>
      <w:r w:rsidRPr="001923D7">
        <w:rPr>
          <w:color w:val="000000"/>
        </w:rPr>
        <w:t xml:space="preserve"> and the primary forest probability (1km) </w:t>
      </w:r>
      <w:r w:rsidRPr="001923D7">
        <w:rPr>
          <w:color w:val="000000"/>
        </w:rPr>
        <w:fldChar w:fldCharType="begin" w:fldLock="1"/>
      </w:r>
      <w:r w:rsidRPr="001923D7">
        <w:rPr>
          <w:color w:val="000000"/>
        </w:rPr>
        <w:instrText>ADDIN CSL_CITATION {"citationItems":[{"id":"ITEM-1","itemData":{"DOI":"10.1111/ddi.12778","ISSN":"14724642","abstract":"Primary forests have high conservation value but are rare in Europe due to historic land use. Yet many primary forest patches remain unmapped, and it is unclear to what extent they are effectively protected. Our aim was to (1) compile the most comprehensive European-scale map of currently known primary forests, (2) analyse the spatial determinants characterizing their location and (3) locate areas where so far unmapped primary forests likely occur. Location: Europe. Methods: We aggregated data from a literature review, online questionnaires and 32 datasets of primary forests. We used boosted regression trees to explore which biophysical, socio-economic and forest-related variables explain the current distribution of primary forests. Finally, we predicted and mapped the relative likelihood of primary forest occurrence at a 1-km resolution across Europe. Results: Data on primary forests were frequently incomplete or inconsistent among countries. Known primary forests covered 1.4 Mha in 32 countries (0.7% of Europe's forest area). Most of these forests were protected (89%), but only 46% of them strictly. Primary forests mostly occurred in mountain and boreal areas and were unevenly distributed across countries, biogeographical regions and forest types. Unmapped primary forests likely occur in the least accessible and populated areas, where forests cover a greater share of land, but wood demand historically has been low. Main conclusions: Despite their outstanding conservation value, primary forests are rare and their current distribution is the result of centuries of land use and forest management. The conservation outlook for primary forests is uncertain as many are not strictly protected and most are small and fragmented, making them prone to extinction debt and human disturbance. Predicting where unmapped primary forests likely occur could guide conservation efforts, especially in Eastern Europe where large areas of primary forest still exist but are being lost at an alarming pace.","author":[{"dropping-particle":"","family":"Sabatini","given":"Francesco Maria","non-dropping-particle":"","parse-names":false,"suffix":""},{"dropping-particle":"","family":"Burrascano","given":"Sabina","non-dropping-particle":"","parse-names":false,"suffix":""},{"dropping-particle":"","family":"Keeton","given":"William S.","non-dropping-particle":"","parse-names":false,"suffix":""},{"dropping-particle":"","family":"Levers","given":"Christian","non-dropping-particle":"","parse-names":false,"suffix":""},{"dropping-particle":"","family":"Lindner","given":"Marcus","non-dropping-particle":"","parse-names":false,"suffix":""},{"dropping-particle":"","family":"Pötzschner","given":"Florian","non-dropping-particle":"","parse-names":false,"suffix":""},{"dropping-particle":"","family":"Verkerk","given":"Pieter Johannes","non-dropping-particle":"","parse-names":false,"suffix":""},{"dropping-particle":"","family":"Bauhus","given":"Jürgen","non-dropping-particle":"","parse-names":false,"suffix":""},{"dropping-particle":"","family":"Buchwald","given":"Erik","non-dropping-particle":"","parse-names":false,"suffix":""},{"dropping-particle":"","family":"Chaskovsky","given":"Oleh","non-dropping-particle":"","parse-names":false,"suffix":""},{"dropping-particle":"","family":"Debaive","given":"Nicolas","non-dropping-particle":"","parse-names":false,"suffix":""},{"dropping-particle":"","family":"Horváth","given":"Ferenc","non-dropping-particle":"","parse-names":false,"suffix":""},{"dropping-particle":"","family":"Garbarino","given":"Matteo","non-dropping-particle":"","parse-names":false,"suffix":""},{"dropping-particle":"","family":"Grigoriadis","given":"Nikolaos","non-dropping-particle":"","parse-names":false,"suffix":""},{"dropping-particle":"","family":"Lombardi","given":"Fabio","non-dropping-particle":"","parse-names":false,"suffix":""},{"dropping-particle":"","family":"Marques Duarte","given":"Inês","non-dropping-particle":"","parse-names":false,"suffix":""},{"dropping-particle":"","family":"Meyer","given":"Peter","non-dropping-particle":"","parse-names":false,"suffix":""},{"dropping-particle":"","family":"Midteng","given":"Rein","non-dropping-particle":"","parse-names":false,"suffix":""},{"dropping-particle":"","family":"Mikac","given":"Stjepan","non-dropping-particle":"","parse-names":false,"suffix":""},{"dropping-particle":"","family":"Mikoláš","given":"Martin","non-dropping-particle":"","parse-names":false,"suffix":""},{"dropping-particle":"","family":"Motta","given":"Renzo","non-dropping-particle":"","parse-names":false,"suffix":""},{"dropping-particle":"","family":"Mozgeris","given":"Gintautas","non-dropping-particle":"","parse-names":false,"suffix":""},{"dropping-particle":"","family":"Nunes","given":"Leónia","non-dropping-particle":"","parse-names":false,"suffix":""},{"dropping-particle":"","family":"Panayotov","given":"Momchil","non-dropping-particle":"","parse-names":false,"suffix":""},{"dropping-particle":"","family":"Ódor","given":"Peter","non-dropping-particle":"","parse-names":false,"suffix":""},{"dropping-particle":"","family":"Ruete","given":"Alejandro","non-dropping-particle":"","parse-names":false,"suffix":""},{"dropping-particle":"","family":"Simovski","given":"Bojan","non-dropping-particle":"","parse-names":false,"suffix":""},{"dropping-particle":"","family":"Stillhard","given":"Jonas","non-dropping-particle":"","parse-names":false,"suffix":""},{"dropping-particle":"","family":"Svoboda","given":"Miroslav","non-dropping-particle":"","parse-names":false,"suffix":""},{"dropping-particle":"","family":"Szwagrzyk","given":"Jerzy","non-dropping-particle":"","parse-names":false,"suffix":""},{"dropping-particle":"","family":"Tikkanen","given":"Olli Pekka","non-dropping-particle":"","parse-names":false,"suffix":""},{"dropping-particle":"","family":"Volosyanchuk","given":"Roman","non-dropping-particle":"","parse-names":false,"suffix":""},{"dropping-particle":"","family":"Vrska","given":"Tomas","non-dropping-particle":"","parse-names":false,"suffix":""},{"dropping-particle":"","family":"Zlatanov","given":"Tzvetan","non-dropping-particle":"","parse-names":false,"suffix":""},{"dropping-particle":"","family":"Kuemmerle","given":"Tobias","non-dropping-particle":"","parse-names":false,"suffix":""}],"container-title":"Diversity and Distributions","id":"ITEM-1","issue":"10","issued":{"date-parts":[["2018"]]},"page":"1426-1439","title":"Where are Europe’s last primary forests?","type":"article-journal","volume":"24"},"uris":["http://www.mendeley.com/documents/?uuid=9baeae4b-0df5-4706-89f6-6c6977c371a7"]}],"mendeley":{"formattedCitation":"(Sabatini et al., 2018)","plainTextFormattedCitation":"(Sabatini et al., 2018)","previouslyFormattedCitation":"(Sabatini et al., 2018)"},"properties":{"noteIndex":0},"schema":"https://github.com/citation-style-language/schema/raw/master/csl-citation.json"}</w:instrText>
      </w:r>
      <w:r w:rsidRPr="001923D7">
        <w:rPr>
          <w:color w:val="000000"/>
        </w:rPr>
        <w:fldChar w:fldCharType="separate"/>
      </w:r>
      <w:r w:rsidRPr="001923D7">
        <w:rPr>
          <w:noProof/>
          <w:color w:val="000000"/>
        </w:rPr>
        <w:t>(Sabatini et al., 2018)</w:t>
      </w:r>
      <w:r w:rsidRPr="001923D7">
        <w:rPr>
          <w:color w:val="000000"/>
        </w:rPr>
        <w:fldChar w:fldCharType="end"/>
      </w:r>
      <w:r w:rsidRPr="001923D7">
        <w:rPr>
          <w:color w:val="000000"/>
        </w:rPr>
        <w:t xml:space="preserve"> to characterize the intensity of forest land use in the EU region. We used the threshold of 0.5 to distinguish high and low likelihood of being primary forest. In addition, the top 25% percentile of wood production were identified as high </w:t>
      </w:r>
      <w:r w:rsidRPr="001923D7">
        <w:t>and</w:t>
      </w:r>
      <w:r w:rsidRPr="001923D7">
        <w:rPr>
          <w:color w:val="000000"/>
        </w:rPr>
        <w:t xml:space="preserve"> the bottom 25% percentile </w:t>
      </w:r>
      <w:r w:rsidRPr="001923D7">
        <w:t>as</w:t>
      </w:r>
      <w:r w:rsidRPr="001923D7">
        <w:rPr>
          <w:color w:val="000000"/>
        </w:rPr>
        <w:t xml:space="preserve"> low wood production systems. Forest pixels with high likelihood of being primary forest and with low and medium wood production were classified as low-intensity forests (</w:t>
      </w:r>
      <w:r w:rsidRPr="0056187F">
        <w:rPr>
          <w:color w:val="000000"/>
        </w:rPr>
        <w:t>Figure S3</w:t>
      </w:r>
      <w:r w:rsidRPr="001923D7">
        <w:rPr>
          <w:color w:val="000000"/>
        </w:rPr>
        <w:t xml:space="preserve">). Other pixels with low likelihood of primary forests were classified as medium-intensity and high-intensity based on the wood production. For the non-EU region, we extracted the forest classes for this region from a global dataset </w:t>
      </w:r>
      <w:r w:rsidRPr="001923D7">
        <w:rPr>
          <w:color w:val="000000"/>
        </w:rPr>
        <w:fldChar w:fldCharType="begin" w:fldLock="1"/>
      </w:r>
      <w:r w:rsidRPr="001923D7">
        <w:rPr>
          <w:color w:val="000000"/>
        </w:rPr>
        <w:instrText>ADDIN CSL_CITATION {"citationItems":[{"id":"ITEM-1","itemData":{"DOI":"10.1016/j.foreco.2018.10.001","ISSN":"03781127","abstract":"Forests provide numerous ecosystem services, such as timber yields, biodiversity protection and climate change mitigation. The type of management has an effect on the provision of these services. Often the demands for these services can lead to conflict – wood harvest can negatively impact biodiversity and climate change mitigation capacity. Although forest management differences are important, spatially explicit data is lacking, in particular on a global scale. We present here a first systematic approach which integrates existing data to map forest management globally through downscaling national and subnational forest data. In our forest management classification, we distinguished between two levels of forest management, with three categories each. Level 1 comprised primary, naturally regrown and planted forests. Level 2 distinguished between different forest uses. We gathered documented locations, where these forest categories were observed, from the literature and a database on ecological diversity. We then performed multinomial logit regression and estimated the effect of 21 socio-economic and bio-physical predictor variables on the occurrence of a forest category. Model results on significance and effect direction of predictor variables were in line with findings of previous studies. Soil and environmental properties, forest conditions and accessibility are important determinants of the occurrence of forest management types. Based on the model results, likelihood maps were calculated and used to spatially allocate national extents of level 1 and level 2 forest categories. When compared to previous studies, our maps showed higher agreement than random samples. Deviations between observed and predicted plantation locations were mostly below 10 km. Our map provides an estimation of global forest management patterns, enhancing previous methodologies and making the best use of data available. Next to having multiple applications, for example within global conservation planning or climate change mitigation analyses, it visualizes the currently available data on forest management on a global level.","author":[{"dropping-particle":"","family":"Schulze","given":"Katharina","non-dropping-particle":"","parse-names":false,"suffix":""},{"dropping-particle":"","family":"Malek","given":"Žiga","non-dropping-particle":"","parse-names":false,"suffix":""},{"dropping-particle":"","family":"Verburg","given":"Peter H.","non-dropping-particle":"","parse-names":false,"suffix":""}],"container-title":"Forest Ecology and Management","id":"ITEM-1","issue":"August 2018","issued":{"date-parts":[["2019"]]},"page":"776-785","title":"Towards better mapping of forest management patterns: A global allocation approach","type":"article-journal","volume":"432"},"uris":["http://www.mendeley.com/documents/?uuid=c64ca56d-041a-4aff-a999-171e63ea29a4"]}],"mendeley":{"formattedCitation":"(Schulze, Malek, &amp; Verburg, 2019)","plainTextFormattedCitation":"(Schulze, Malek, &amp; Verburg, 2019)","previouslyFormattedCitation":"(Schulze, Malek, &amp; Verburg, 2019)"},"properties":{"noteIndex":0},"schema":"https://github.com/citation-style-language/schema/raw/master/csl-citation.json"}</w:instrText>
      </w:r>
      <w:r w:rsidRPr="001923D7">
        <w:rPr>
          <w:color w:val="000000"/>
        </w:rPr>
        <w:fldChar w:fldCharType="separate"/>
      </w:r>
      <w:r w:rsidRPr="001923D7">
        <w:rPr>
          <w:noProof/>
          <w:color w:val="000000"/>
        </w:rPr>
        <w:t>(Schulze, Malek, &amp; Verburg, 2019)</w:t>
      </w:r>
      <w:r w:rsidRPr="001923D7">
        <w:rPr>
          <w:color w:val="000000"/>
        </w:rPr>
        <w:fldChar w:fldCharType="end"/>
      </w:r>
      <w:r w:rsidRPr="001923D7">
        <w:rPr>
          <w:color w:val="000000"/>
        </w:rPr>
        <w:t xml:space="preserve">. The three classes (e.g., primary, naturally regrown, and planted) were resembled as low-intensity, medium-intensity, and high-intensity of our forest classification. </w:t>
      </w:r>
    </w:p>
    <w:p w:rsidR="00666700" w:rsidRPr="00666700" w:rsidRDefault="00666700" w:rsidP="00666700">
      <w:pPr>
        <w:pStyle w:val="Heading2"/>
        <w:rPr>
          <w:rFonts w:ascii="Times New Roman" w:hAnsi="Times New Roman"/>
          <w:b/>
          <w:i/>
          <w:color w:val="auto"/>
          <w:sz w:val="24"/>
          <w:lang w:val="en-GB"/>
        </w:rPr>
      </w:pPr>
      <w:bookmarkStart w:id="5" w:name="_Toc60758345"/>
      <w:r w:rsidRPr="00666700">
        <w:rPr>
          <w:rFonts w:ascii="Times New Roman" w:hAnsi="Times New Roman"/>
          <w:b/>
          <w:i/>
          <w:color w:val="auto"/>
          <w:sz w:val="24"/>
          <w:lang w:val="en-GB"/>
        </w:rPr>
        <w:t>Grassland system</w:t>
      </w:r>
      <w:bookmarkEnd w:id="5"/>
    </w:p>
    <w:p w:rsidR="00666700" w:rsidRPr="001923D7" w:rsidRDefault="00666700" w:rsidP="00666700">
      <w:pPr>
        <w:pBdr>
          <w:top w:val="nil"/>
          <w:left w:val="nil"/>
          <w:bottom w:val="nil"/>
          <w:right w:val="nil"/>
          <w:between w:val="nil"/>
        </w:pBdr>
        <w:ind w:firstLine="709"/>
        <w:rPr>
          <w:color w:val="000000"/>
        </w:rPr>
      </w:pPr>
      <w:r w:rsidRPr="001923D7">
        <w:rPr>
          <w:color w:val="000000"/>
        </w:rPr>
        <w:t>Three indicators were used to map the intensity of grazing grassland: livestock unit density, nitrogen input, and mowing frequency. We selected three animals (i.e., cattle, goat, and sheep) from the global dataset</w:t>
      </w:r>
      <w:r w:rsidRPr="001923D7">
        <w:rPr>
          <w:color w:val="000000"/>
        </w:rPr>
        <w:fldChar w:fldCharType="begin" w:fldLock="1"/>
      </w:r>
      <w:r w:rsidRPr="001923D7">
        <w:rPr>
          <w:color w:val="000000"/>
        </w:rPr>
        <w:instrText>ADDIN CSL_CITATION {"citationItems":[{"id":"ITEM-1","itemData":{"DOI":"10.1038/sdata.2018.227","ISSN":"20524463","abstract":"Global distribution data for cattle, buffaloes, horses, sheep, goats, pigs, chickens and ducks in 2010","author":[{"dropping-particle":"","family":"Gilbert","given":"Marius","non-dropping-particle":"","parse-names":false,"suffix":""},{"dropping-particle":"","family":"Nicolas","given":"Gaëlle","non-dropping-particle":"","parse-names":false,"suffix":""},{"dropping-particle":"","family":"Cinardi","given":"Giusepina","non-dropping-particle":"","parse-names":false,"suffix":""},{"dropping-particle":"","family":"Boeckel","given":"Thomas P.","non-dropping-particle":"Van","parse-names":false,"suffix":""},{"dropping-particle":"","family":"Vanwambeke","given":"Sophie O.","non-dropping-particle":"","parse-names":false,"suffix":""},{"dropping-particle":"","family":"Wint","given":"G. R.William","non-dropping-particle":"","parse-names":false,"suffix":""},{"dropping-particle":"","family":"Robinson","given":"Timothy P.","non-dropping-particle":"","parse-names":false,"suffix":""}],"container-title":"Scientific Data","id":"ITEM-1","issued":{"date-parts":[["2018"]]},"page":"1-11","publisher":"The Author(s)","title":"Global distribution data for cattle, buffaloes, horses, sheep, goats, pigs, chickens and ducks in 2010","type":"article-journal","volume":"5"},"uris":["http://www.mendeley.com/documents/?uuid=98315148-0e10-4711-9f11-3dc228713b61"]}],"mendeley":{"formattedCitation":"(Gilbert et al., 2018)","plainTextFormattedCitation":"(Gilbert et al., 2018)","previouslyFormattedCitation":"(Gilbert et al., 2018)"},"properties":{"noteIndex":0},"schema":"https://github.com/citation-style-language/schema/raw/master/csl-citation.json"}</w:instrText>
      </w:r>
      <w:r w:rsidRPr="001923D7">
        <w:rPr>
          <w:color w:val="000000"/>
        </w:rPr>
        <w:fldChar w:fldCharType="separate"/>
      </w:r>
      <w:r w:rsidRPr="001923D7">
        <w:rPr>
          <w:noProof/>
          <w:color w:val="000000"/>
        </w:rPr>
        <w:t>(Gilbert et al., 2018)</w:t>
      </w:r>
      <w:r w:rsidRPr="001923D7">
        <w:rPr>
          <w:color w:val="000000"/>
        </w:rPr>
        <w:fldChar w:fldCharType="end"/>
      </w:r>
      <w:r w:rsidRPr="001923D7">
        <w:rPr>
          <w:color w:val="000000"/>
        </w:rPr>
        <w:t xml:space="preserve"> and converted to LSU density </w:t>
      </w:r>
      <w:r w:rsidRPr="001923D7">
        <w:rPr>
          <w:color w:val="000000"/>
        </w:rPr>
        <w:fldChar w:fldCharType="begin" w:fldLock="1"/>
      </w:r>
      <w:r w:rsidRPr="001923D7">
        <w:rPr>
          <w:color w:val="000000"/>
        </w:rPr>
        <w:instrText>ADDIN CSL_CITATION {"citationItems":[{"id":"ITEM-1","itemData":{"URL":"https://ec.europa.eu/eurostat/statistics-explained/index.php?title=Glossary:Livestock_unit_(LSU)","accessed":{"date-parts":[["2020","2","26"]]},"author":[{"dropping-particle":"","family":"Eurostat","given":"","non-dropping-particle":"","parse-names":false,"suffix":""}],"id":"ITEM-1","issued":{"date-parts":[["2013"]]},"title":"Glossary: Livestock unit (LSU)","type":"webpage"},"uris":["http://www.mendeley.com/documents/?uuid=e6107806-435a-4ccc-a8c1-c50a7b136cee"]}],"mendeley":{"formattedCitation":"(Eurostat, 2013)","plainTextFormattedCitation":"(Eurostat, 2013)","previouslyFormattedCitation":"(Eurostat, 2013)"},"properties":{"noteIndex":0},"schema":"https://github.com/citation-style-language/schema/raw/master/csl-citation.json"}</w:instrText>
      </w:r>
      <w:r w:rsidRPr="001923D7">
        <w:rPr>
          <w:color w:val="000000"/>
        </w:rPr>
        <w:fldChar w:fldCharType="separate"/>
      </w:r>
      <w:r w:rsidRPr="001923D7">
        <w:rPr>
          <w:noProof/>
          <w:color w:val="000000"/>
        </w:rPr>
        <w:t>(Eurostat, 2013)</w:t>
      </w:r>
      <w:r w:rsidRPr="001923D7">
        <w:rPr>
          <w:color w:val="000000"/>
        </w:rPr>
        <w:fldChar w:fldCharType="end"/>
      </w:r>
      <w:r w:rsidRPr="001923D7">
        <w:rPr>
          <w:color w:val="000000"/>
        </w:rPr>
        <w:t xml:space="preserve">, which </w:t>
      </w:r>
      <w:r w:rsidRPr="001923D7">
        <w:t>is the number of animals converted to equivalent to one adult dairy cow producing 3000 kg of milk annually</w:t>
      </w:r>
      <w:r w:rsidRPr="001923D7">
        <w:rPr>
          <w:color w:val="000000"/>
        </w:rPr>
        <w:t>(lsu/km</w:t>
      </w:r>
      <w:r w:rsidRPr="001923D7">
        <w:rPr>
          <w:color w:val="000000"/>
          <w:vertAlign w:val="superscript"/>
        </w:rPr>
        <w:t>2</w:t>
      </w:r>
      <w:r w:rsidRPr="001923D7">
        <w:rPr>
          <w:color w:val="000000"/>
        </w:rPr>
        <w:t xml:space="preserve">). The distribution of other animals, such as pigs, </w:t>
      </w:r>
      <w:r w:rsidRPr="001923D7">
        <w:t>buffalo</w:t>
      </w:r>
      <w:r w:rsidRPr="001923D7">
        <w:rPr>
          <w:color w:val="000000"/>
        </w:rPr>
        <w:t>, and poultry, was not put into consideration because these animals are either not grazed or the likelihood for the</w:t>
      </w:r>
      <w:r w:rsidRPr="001923D7">
        <w:t>m being grazed is</w:t>
      </w:r>
      <w:r w:rsidRPr="001923D7">
        <w:rPr>
          <w:color w:val="000000"/>
        </w:rPr>
        <w:t xml:space="preserve"> low in Europe </w:t>
      </w:r>
      <w:r w:rsidRPr="001923D7">
        <w:rPr>
          <w:color w:val="000000"/>
        </w:rPr>
        <w:fldChar w:fldCharType="begin" w:fldLock="1"/>
      </w:r>
      <w:r w:rsidRPr="001923D7">
        <w:rPr>
          <w:color w:val="000000"/>
        </w:rPr>
        <w:instrText>ADDIN CSL_CITATION {"citationItems":[{"id":"ITEM-1","itemData":{"DOI":"10.1080/1747423X.2016.1270361","ISSN":"17474248","abstract":"Land systems are described based on various characteristics, including land cover composition and agricultural production. However, it is uncertain to what extent livestock, particularly monogastric livestock, determines land systems. We included monogastrics in a land system classification, and statistically analyzed the land cover composition and agricultural production of otherwise similar land systems with and without monogastric livestock. The results indicate that land systems with monogastrics are statistically different from their counterparts in the classification without monogastrics in terms of grassland area and crop yields, but are less different in terms of tree area, crop area, and ruminant livestock production. We then used a land systems map that includes monogastrics in the classification and a similar map that does not include monogastrics to project future changes in a novel manner that integrates livestock as a determinant of land systems. The results show that including monogastrics in otherwise similar projections yields less cropland intensification and more cropland expansion in several world regions, including Northern Africa and the Middle East. Other regions, such as Europe and Australia, were characterized by less decrease or more increase in tree area in the application with monogastrics, mainly due to the occurrence of open forests with monogastrics. This study prompts a call for improved characterization of land systems for land use and cover change (LUCC) assessments in order to better represent LUCC driven by monogastric livestock.","author":[{"dropping-particle":"","family":"Eitelberg","given":"David A.","non-dropping-particle":"","parse-names":false,"suffix":""},{"dropping-particle":"","family":"Vliet","given":"Jasper","non-dropping-particle":"Van","parse-names":false,"suffix":""},{"dropping-particle":"","family":"Verburg","given":"Peter H.","non-dropping-particle":"","parse-names":false,"suffix":""}],"container-title":"Journal of Land Use Science","id":"ITEM-1","issue":"1","issued":{"date-parts":[["2017"]]},"page":"1-16","title":"Accounting for monogastric livestock as a driver in global land use and cover change assessments","type":"article-journal","volume":"12"},"uris":["http://www.mendeley.com/documents/?uuid=e48c336b-9ac4-4745-9d44-b66d7aa41133"]}],"mendeley":{"formattedCitation":"(Eitelberg, Van Vliet, &amp; Verburg, 2017)","plainTextFormattedCitation":"(Eitelberg, Van Vliet, &amp; Verburg, 2017)","previouslyFormattedCitation":"(Eitelberg, Van Vliet, &amp; Verburg, 2017)"},"properties":{"noteIndex":0},"schema":"https://github.com/citation-style-language/schema/raw/master/csl-citation.json"}</w:instrText>
      </w:r>
      <w:r w:rsidRPr="001923D7">
        <w:rPr>
          <w:color w:val="000000"/>
        </w:rPr>
        <w:fldChar w:fldCharType="separate"/>
      </w:r>
      <w:r w:rsidRPr="001923D7">
        <w:rPr>
          <w:noProof/>
          <w:color w:val="000000"/>
        </w:rPr>
        <w:t>(Eitelberg, Van Vliet, &amp; Verburg, 2017)</w:t>
      </w:r>
      <w:r w:rsidRPr="001923D7">
        <w:rPr>
          <w:color w:val="000000"/>
        </w:rPr>
        <w:fldChar w:fldCharType="end"/>
      </w:r>
      <w:r w:rsidRPr="001923D7">
        <w:rPr>
          <w:color w:val="000000"/>
        </w:rPr>
        <w:t>. The LSU density was reclassified into: (1) 0-50 lsu/km</w:t>
      </w:r>
      <w:r w:rsidRPr="001923D7">
        <w:rPr>
          <w:color w:val="000000"/>
          <w:vertAlign w:val="superscript"/>
        </w:rPr>
        <w:t>2</w:t>
      </w:r>
      <w:r w:rsidRPr="001923D7">
        <w:rPr>
          <w:color w:val="000000"/>
        </w:rPr>
        <w:t>, (2) 50-100 lsu/km</w:t>
      </w:r>
      <w:r w:rsidRPr="001923D7">
        <w:rPr>
          <w:color w:val="000000"/>
          <w:vertAlign w:val="superscript"/>
        </w:rPr>
        <w:t>2</w:t>
      </w:r>
      <w:r w:rsidRPr="001923D7">
        <w:rPr>
          <w:color w:val="000000"/>
        </w:rPr>
        <w:t>, and (3) &gt;100 lsu/km</w:t>
      </w:r>
      <w:r w:rsidRPr="001923D7">
        <w:rPr>
          <w:color w:val="000000"/>
          <w:vertAlign w:val="superscript"/>
        </w:rPr>
        <w:t xml:space="preserve">2 </w:t>
      </w:r>
      <w:r w:rsidRPr="001923D7">
        <w:rPr>
          <w:color w:val="000000"/>
        </w:rPr>
        <w:t>to match previous studies</w:t>
      </w:r>
      <w:r w:rsidRPr="001923D7">
        <w:rPr>
          <w:color w:val="000000"/>
        </w:rPr>
        <w:fldChar w:fldCharType="begin" w:fldLock="1"/>
      </w:r>
      <w:r w:rsidRPr="001923D7">
        <w:rPr>
          <w:color w:val="000000"/>
        </w:rPr>
        <w:instrText>ADDIN CSL_CITATION {"citationItems":[{"id":"ITEM-1","itemData":{"DOI":"10.1016/j.agee.2010.11.010","ISSN":"01678809","abstract":"Spatial maps of agricultural intensity are needed for analyses of environmental issues, including biodiversity changes. We present a method to produce such maps for Europe. While most studies beyond farm level focus on land cover change only, this paper focuses on spatial variation in land use intensity and its dynamics.Our method defines agricultural land use intensity in terms of nitrogen input. For arable land, it combines field observations with administrative-level statistics to assess probability of occurrence for three land use intensity classes. For grassland, it uses maps of livestock density to assess probability of occurrence for two intensity classes. Agricultural land is spatially allocated to intensity classes using an algorithm that downscales intensity changes simulated with an agricultural economic model.Our results are 1km 2 resolution maps of classified agricultural land use intensity in the year 2000. We illustrate the method by exploring changes in the spatial pattern of land use intensity for a financial policy reform scenario in the year 2025. Results indicate spatial heterogeneity in land use intensity across European countries, including large differences in intensity between countries, between regions, but also within regions.Our method could be improved with smaller-resolution agricultural statistics and broader intensity indicators. © 2010 Elsevier B.V.","author":[{"dropping-particle":"","family":"Temme","given":"A. J.A.M.","non-dropping-particle":"","parse-names":false,"suffix":""},{"dropping-particle":"","family":"Verburg","given":"P. H.","non-dropping-particle":"","parse-names":false,"suffix":""}],"container-title":"Agriculture, Ecosystems and Environment","id":"ITEM-1","issue":"1-2","issued":{"date-parts":[["2011"]]},"page":"46-56","publisher":"Elsevier B.V.","title":"Mapping and modelling of changes in agricultural intensity in Europe","type":"article-journal","volume":"140"},"uris":["http://www.mendeley.com/documents/?uuid=ea7b371d-7428-4834-b40b-ec8673baba27"]},{"id":"ITEM-2","itemData":{"DOI":"10.1016/j.ecolind.2012.11.006","ISSN":"1470160X","abstract":"In Europe agricultural areas are of great importance to biodiversity conservation. One of the aims of the Common Agricultural Policy (CAP) after 2013 is to avoid additional loss of agriculture-related biodiversity. Farmland biodiversity is a public good that provides ecosystem services necessary for the sustainability of agriculture itself as well as for a sustainable environment as a whole. To evaluate policies such as the CAP and to monitor the development of biodiversity in agricultural areas, specifically designed indicators are needed. Current EU-level indicators of agricultural biodiversity are often limited to a specific species group, for example the group of farmland birds, and are not designed for evaluation of future policies. This study presents a methodology for a new indicator that is targeted specifically at biodiversity in agricultural areas, considering a large variety of species and focussing on policy. The methodology combines maps of the potential occurrence of 132 relevant species (plants and vertebrates) on a 50 km grid, with detailed information (1 km grid) on the influence of environmental pressures on these species. A first indicator map on a 1 km grid for the EU is provided, based on available data. This map shows great variety in the state of the biodiversity of agricultural areas in the EU. Generally speaking, biodiversity in agricultural areas in the south and east of the EU is in a better state than in the west and north. However, spatial variability is high between and even within regions. The presented indicator may be used to explore the dynamics of biodiversity following policy interventions, using the biodiversity map or by modelling the effect of policies on the environmental pressures that form the basis of the indicator. © 2012 Elsevier Ltd.","author":[{"dropping-particle":"","family":"Overmars","given":"Koen P.","non-dropping-particle":"","parse-names":false,"suffix":""},{"dropping-particle":"","family":"Schulp","given":"Catharina J E","non-dropping-particle":"","parse-names":false,"suffix":""},{"dropping-particle":"","family":"Alkemade","given":"Rob","non-dropping-particle":"","parse-names":false,"suffix":""},{"dropping-particle":"","family":"Verburg","given":"Peter H.","non-dropping-particle":"","parse-names":false,"suffix":""},{"dropping-particle":"","family":"Temme","given":"Arnaud J A M","non-dropping-particle":"","parse-names":false,"suffix":""},{"dropping-particle":"","family":"Omtzigt","given":"Nancy","non-dropping-particle":"","parse-names":false,"suffix":""},{"dropping-particle":"","family":"Schaminée","given":"Joop H J","non-dropping-particle":"","parse-names":false,"suffix":""}],"container-title":"Ecological Indicators","id":"ITEM-2","issue":"PART A","issued":{"date-parts":[["2014"]]},"page":"186-198","publisher":"Elsevier Ltd","title":"Developing a methodology for a species-based and spatially explicit indicator for biodiversity on agricultural land in the EU","type":"article-journal","volume":"37"},"uris":["http://www.mendeley.com/documents/?uuid=af813b21-09b5-4e08-b552-197f94f843ab"]},{"id":"ITEM-3","itemData":{"DOI":"10.1088/1748-9326/aacc7a","ISSN":"17489326","author":[{"dropping-particle":"","family":"Estel","given":"Stephan","non-dropping-particle":"","parse-names":false,"suffix":""},{"dropping-particle":"","family":"Mader","given":"Sebastian","non-dropping-particle":"","parse-names":false,"suffix":""},{"dropping-particle":"","family":"Levers","given":"Christian","non-dropping-particle":"","parse-names":false,"suffix":""},{"dropping-particle":"","family":"Verburg","given":"Peter H.","non-dropping-particle":"","parse-names":false,"suffix":""},{"dropping-particle":"","family":"Baumann","given":"Matthias","non-dropping-particle":"","parse-names":false,"suffix":""},{"dropping-particle":"","family":"Kuemmerle","given":"Tobias","non-dropping-particle":"","parse-names":false,"suffix":""}],"container-title":"Environmental Research Letters","id":"ITEM-3","issue":"7","issued":{"date-parts":[["2018"]]},"title":"Combining satellite data and agricultural statistics to map grassland management intensity in Europe","type":"article-journal","volume":"13"},"uris":["http://www.mendeley.com/documents/?uuid=b8c9703e-4283-49c2-b515-eeba320f1208"]}],"mendeley":{"formattedCitation":"(Estel et al., 2018; Overmars et al., 2014; Temme &amp; Verburg, 2011)","plainTextFormattedCitation":"(Estel et al., 2018; Overmars et al., 2014; Temme &amp; Verburg, 2011)","previouslyFormattedCitation":"(Estel et al., 2018; Overmars et al., 2014; Temme &amp; Verburg, 2011)"},"properties":{"noteIndex":0},"schema":"https://github.com/citation-style-language/schema/raw/master/csl-citation.json"}</w:instrText>
      </w:r>
      <w:r w:rsidRPr="001923D7">
        <w:rPr>
          <w:color w:val="000000"/>
        </w:rPr>
        <w:fldChar w:fldCharType="separate"/>
      </w:r>
      <w:r w:rsidRPr="00B71171">
        <w:rPr>
          <w:noProof/>
          <w:color w:val="000000"/>
        </w:rPr>
        <w:t>(Estel et al., 2018; Overmars et al., 2014; Temme &amp; Verburg, 2011)</w:t>
      </w:r>
      <w:r w:rsidRPr="001923D7">
        <w:rPr>
          <w:color w:val="000000"/>
        </w:rPr>
        <w:fldChar w:fldCharType="end"/>
      </w:r>
      <w:r w:rsidRPr="00B71171">
        <w:rPr>
          <w:color w:val="000000"/>
        </w:rPr>
        <w:t xml:space="preserve">. </w:t>
      </w:r>
      <w:r w:rsidRPr="001923D7">
        <w:rPr>
          <w:color w:val="000000"/>
        </w:rPr>
        <w:t xml:space="preserve">The nitrogen was calculated using CAPRI dataset, which was estimated with </w:t>
      </w:r>
      <w:r w:rsidRPr="001923D7">
        <w:t>mineral</w:t>
      </w:r>
      <w:r w:rsidRPr="001923D7">
        <w:rPr>
          <w:color w:val="000000"/>
        </w:rPr>
        <w:t xml:space="preserve"> fertilizer input and the manure input deposited by grazing animals. The nitrogen input was then classified into three classes: (1) 0-50 kgN/ha, (2) 50-100 kgN/ha, and (3) &gt;100 kgN/ha. Previous nitrogen estimation from grassland in Europe has only two classes because of lacking enough samples of the high nitrogen input for grassland</w:t>
      </w:r>
      <w:r w:rsidRPr="001923D7">
        <w:rPr>
          <w:color w:val="000000"/>
        </w:rPr>
        <w:fldChar w:fldCharType="begin" w:fldLock="1"/>
      </w:r>
      <w:r w:rsidRPr="001923D7">
        <w:rPr>
          <w:color w:val="000000"/>
        </w:rPr>
        <w:instrText>ADDIN CSL_CITATION {"citationItems":[{"id":"ITEM-1","itemData":{"DOI":"10.1016/j.ecolind.2012.11.006","ISSN":"1470160X","abstract":"In Europe agricultural areas are of great importance to biodiversity conservation. One of the aims of the Common Agricultural Policy (CAP) after 2013 is to avoid additional loss of agriculture-related biodiversity. Farmland biodiversity is a public good that provides ecosystem services necessary for the sustainability of agriculture itself as well as for a sustainable environment as a whole. To evaluate policies such as the CAP and to monitor the development of biodiversity in agricultural areas, specifically designed indicators are needed. Current EU-level indicators of agricultural biodiversity are often limited to a specific species group, for example the group of farmland birds, and are not designed for evaluation of future policies. This study presents a methodology for a new indicator that is targeted specifically at biodiversity in agricultural areas, considering a large variety of species and focussing on policy. The methodology combines maps of the potential occurrence of 132 relevant species (plants and vertebrates) on a 50 km grid, with detailed information (1 km grid) on the influence of environmental pressures on these species. A first indicator map on a 1 km grid for the EU is provided, based on available data. This map shows great variety in the state of the biodiversity of agricultural areas in the EU. Generally speaking, biodiversity in agricultural areas in the south and east of the EU is in a better state than in the west and north. However, spatial variability is high between and even within regions. The presented indicator may be used to explore the dynamics of biodiversity following policy interventions, using the biodiversity map or by modelling the effect of policies on the environmental pressures that form the basis of the indicator. © 2012 Elsevier Ltd.","author":[{"dropping-particle":"","family":"Overmars","given":"Koen P.","non-dropping-particle":"","parse-names":false,"suffix":""},{"dropping-particle":"","family":"Schulp","given":"Catharina J E","non-dropping-particle":"","parse-names":false,"suffix":""},{"dropping-particle":"","family":"Alkemade","given":"Rob","non-dropping-particle":"","parse-names":false,"suffix":""},{"dropping-particle":"","family":"Verburg","given":"Peter H.","non-dropping-particle":"","parse-names":false,"suffix":""},{"dropping-particle":"","family":"Temme","given":"Arnaud J A M","non-dropping-particle":"","parse-names":false,"suffix":""},{"dropping-particle":"","family":"Omtzigt","given":"Nancy","non-dropping-particle":"","parse-names":false,"suffix":""},{"dropping-particle":"","family":"Schaminée","given":"Joop H J","non-dropping-particle":"","parse-names":false,"suffix":""}],"container-title":"Ecological Indicators","id":"ITEM-1","issue":"PART A","issued":{"date-parts":[["2014"]]},"page":"186-198","publisher":"Elsevier Ltd","title":"Developing a methodology for a species-based and spatially explicit indicator for biodiversity on agricultural land in the EU","type":"article-journal","volume":"37"},"uris":["http://www.mendeley.com/documents/?uuid=af813b21-09b5-4e08-b552-197f94f843ab"]}],"mendeley":{"formattedCitation":"(Overmars et al., 2014)","plainTextFormattedCitation":"(Overmars et al., 2014)","previouslyFormattedCitation":"(Overmars et al., 2014)"},"properties":{"noteIndex":0},"schema":"https://github.com/citation-style-language/schema/raw/master/csl-citation.json"}</w:instrText>
      </w:r>
      <w:r w:rsidRPr="001923D7">
        <w:rPr>
          <w:color w:val="000000"/>
        </w:rPr>
        <w:fldChar w:fldCharType="separate"/>
      </w:r>
      <w:r w:rsidRPr="001923D7">
        <w:rPr>
          <w:noProof/>
          <w:color w:val="000000"/>
        </w:rPr>
        <w:t>(Overmars et al., 2014)</w:t>
      </w:r>
      <w:r w:rsidRPr="001923D7">
        <w:rPr>
          <w:color w:val="000000"/>
        </w:rPr>
        <w:fldChar w:fldCharType="end"/>
      </w:r>
      <w:r w:rsidRPr="001923D7">
        <w:rPr>
          <w:color w:val="000000"/>
        </w:rPr>
        <w:t xml:space="preserve">. However, we have found enough distribution in the third class therefore we kept three classes. The indicator of mowing frequency represents </w:t>
      </w:r>
      <w:r w:rsidRPr="001923D7">
        <w:t>the average number of annual mowing events in the period of 2000-2012</w:t>
      </w:r>
      <w:r w:rsidRPr="001923D7">
        <w:fldChar w:fldCharType="begin" w:fldLock="1"/>
      </w:r>
      <w:r w:rsidRPr="001923D7">
        <w:instrText>ADDIN CSL_CITATION {"citationItems":[{"id":"ITEM-1","itemData":{"DOI":"10.1088/1748-9326/aacc7a","ISSN":"17489326","author":[{"dropping-particle":"","family":"Estel","given":"Stephan","non-dropping-particle":"","parse-names":false,"suffix":""},{"dropping-particle":"","family":"Mader","given":"Sebastian","non-dropping-particle":"","parse-names":false,"suffix":""},{"dropping-particle":"","family":"Levers","given":"Christian","non-dropping-particle":"","parse-names":false,"suffix":""},{"dropping-particle":"","family":"Verburg","given":"Peter H.","non-dropping-particle":"","parse-names":false,"suffix":""},{"dropping-particle":"","family":"Baumann","given":"Matthias","non-dropping-particle":"","parse-names":false,"suffix":""},{"dropping-particle":"","family":"Kuemmerle","given":"Tobias","non-dropping-particle":"","parse-names":false,"suffix":""}],"container-title":"Environmental Research Letters","id":"ITEM-1","issue":"7","issued":{"date-parts":[["2018"]]},"title":"Combining satellite data and agricultural statistics to map grassland management intensity in Europe","type":"article-journal","volume":"13"},"uris":["http://www.mendeley.com/documents/?uuid=b8c9703e-4283-49c2-b515-eeba320f1208"]}],"mendeley":{"formattedCitation":"(Estel et al., 2018)","plainTextFormattedCitation":"(Estel et al., 2018)","previouslyFormattedCitation":"(Estel et al., 2018)"},"properties":{"noteIndex":0},"schema":"https://github.com/citation-style-language/schema/raw/master/csl-citation.json"}</w:instrText>
      </w:r>
      <w:r w:rsidRPr="001923D7">
        <w:fldChar w:fldCharType="separate"/>
      </w:r>
      <w:r w:rsidRPr="001923D7">
        <w:rPr>
          <w:noProof/>
        </w:rPr>
        <w:t>(Estel et al., 2018)</w:t>
      </w:r>
      <w:r w:rsidRPr="001923D7">
        <w:fldChar w:fldCharType="end"/>
      </w:r>
      <w:r w:rsidRPr="001923D7">
        <w:t>. We</w:t>
      </w:r>
      <w:r w:rsidRPr="001923D7">
        <w:rPr>
          <w:color w:val="000000"/>
        </w:rPr>
        <w:t xml:space="preserve"> interpolated the </w:t>
      </w:r>
      <w:r w:rsidRPr="001923D7">
        <w:t xml:space="preserve">data </w:t>
      </w:r>
      <w:r w:rsidRPr="001923D7">
        <w:rPr>
          <w:color w:val="000000"/>
        </w:rPr>
        <w:t>to cover all grazing grassland pixels, which are three classes: (1) annually one mowing event, (2) annually two mowing events, and (3) annually three or more mowing events. When combining the three indicators, LSU was used as the primary indicator and complemented by nitrogen and then the mowing frequency (</w:t>
      </w:r>
      <w:r w:rsidRPr="0056187F">
        <w:rPr>
          <w:color w:val="000000"/>
        </w:rPr>
        <w:t>Figure S4</w:t>
      </w:r>
      <w:r w:rsidRPr="001923D7">
        <w:rPr>
          <w:color w:val="000000"/>
        </w:rPr>
        <w:t xml:space="preserve">). For the non-EU region, we only used LSU as the indicator due to data availability. </w:t>
      </w:r>
    </w:p>
    <w:p w:rsidR="00666700" w:rsidRPr="00666700" w:rsidRDefault="00666700" w:rsidP="00666700">
      <w:pPr>
        <w:pStyle w:val="Heading2"/>
        <w:rPr>
          <w:rFonts w:ascii="Times New Roman" w:hAnsi="Times New Roman"/>
          <w:b/>
          <w:i/>
          <w:color w:val="auto"/>
          <w:sz w:val="24"/>
          <w:lang w:val="en-GB"/>
        </w:rPr>
      </w:pPr>
      <w:bookmarkStart w:id="6" w:name="_Toc60758346"/>
      <w:r w:rsidRPr="00666700">
        <w:rPr>
          <w:rFonts w:ascii="Times New Roman" w:hAnsi="Times New Roman"/>
          <w:b/>
          <w:i/>
          <w:color w:val="auto"/>
          <w:sz w:val="24"/>
          <w:lang w:val="en-GB"/>
        </w:rPr>
        <w:t>Cropland system</w:t>
      </w:r>
      <w:bookmarkEnd w:id="6"/>
      <w:r w:rsidRPr="00666700">
        <w:rPr>
          <w:rFonts w:ascii="Times New Roman" w:hAnsi="Times New Roman"/>
          <w:b/>
          <w:i/>
          <w:color w:val="auto"/>
          <w:sz w:val="24"/>
          <w:lang w:val="en-GB"/>
        </w:rPr>
        <w:t xml:space="preserve"> </w:t>
      </w:r>
    </w:p>
    <w:p w:rsidR="00666700" w:rsidRPr="00666700" w:rsidRDefault="00666700" w:rsidP="00666700">
      <w:pPr>
        <w:pStyle w:val="Heading3"/>
        <w:ind w:left="708"/>
        <w:rPr>
          <w:rFonts w:ascii="Times New Roman" w:hAnsi="Times New Roman" w:cs="Times New Roman"/>
          <w:b/>
          <w:color w:val="auto"/>
        </w:rPr>
      </w:pPr>
      <w:bookmarkStart w:id="7" w:name="_Toc60758347"/>
      <w:r w:rsidRPr="00666700">
        <w:rPr>
          <w:rFonts w:ascii="Times New Roman" w:hAnsi="Times New Roman" w:cs="Times New Roman"/>
          <w:b/>
          <w:color w:val="auto"/>
        </w:rPr>
        <w:t>Annual cropland</w:t>
      </w:r>
      <w:bookmarkEnd w:id="7"/>
      <w:r w:rsidRPr="00666700">
        <w:rPr>
          <w:rFonts w:ascii="Times New Roman" w:hAnsi="Times New Roman" w:cs="Times New Roman"/>
          <w:b/>
          <w:color w:val="auto"/>
        </w:rPr>
        <w:t xml:space="preserve"> </w:t>
      </w:r>
    </w:p>
    <w:p w:rsidR="00666700" w:rsidRPr="001923D7" w:rsidRDefault="00666700" w:rsidP="00666700">
      <w:pPr>
        <w:pBdr>
          <w:top w:val="nil"/>
          <w:left w:val="nil"/>
          <w:bottom w:val="nil"/>
          <w:right w:val="nil"/>
          <w:between w:val="nil"/>
        </w:pBdr>
        <w:ind w:firstLine="709"/>
        <w:rPr>
          <w:color w:val="000000"/>
        </w:rPr>
      </w:pPr>
      <w:r w:rsidRPr="001923D7">
        <w:rPr>
          <w:color w:val="000000"/>
        </w:rPr>
        <w:t>Agricultural intensity in general is defined as the ratio of inputs and outputs within an agricultural system</w:t>
      </w:r>
      <w:r w:rsidRPr="001923D7">
        <w:rPr>
          <w:color w:val="000000"/>
        </w:rPr>
        <w:fldChar w:fldCharType="begin" w:fldLock="1"/>
      </w:r>
      <w:r w:rsidRPr="001923D7">
        <w:rPr>
          <w:color w:val="000000"/>
        </w:rPr>
        <w:instrText>ADDIN CSL_CITATION {"citationItems":[{"id":"ITEM-1","itemData":{"DOI":"10.4081/ija.2015.656","ISSN":"11254718","abstract":"© I. Ruiz-Martinez et al., 2015 Since the 1960s, research has dealt with agricultural intensification (AI) as a solution to ensure global food security. Recently, sustainable intensification (SI) has increasingly been used to describe those agricultural and farming systems that ensure adequate ecosystem service provision. Studies differ in terms of the application scales and methodologies, thus we aim to summarize the main findings from the literature on how AI and SI are assessed, from the farm to global levels. Our literature review is based on 7865 papers selected from the Web of Science database and analysed using CorText software. A further selection of 105 relevant papers was used for an in-depth full-text analysis on: i) farming systems studied; ii) related ecosystem services; iii) indicators of intensity; and iv) temporal and spatial scales of analysis. Through this two-step analysis we were able to highlight three main research gaps in the AI research indicators. Firstly, the farming systems analysed for assessing AI are often quite simplified or monoculture-oriented, and they do not take the diversity and complex organisation of farming systems into account. Secondly, these studies mainly focus on northern countries or developing countries, whereas there is a gap of knowledge in Mediterranean areas, which are the areas with a high complexity of farming systems and diversity in ecosystem services. Finally, AI is mostly assessed through nitrogen inputs and economic yield, which are used the most both at very local and global levels. Intermediate regional or local levels, which are relevant for policy implementation and local planning, are often neglected.","author":[{"dropping-particle":"","family":"Ruiz-Martinez","given":"Irune","non-dropping-particle":"","parse-names":false,"suffix":""},{"dropping-particle":"","family":"Marraccini","given":"Elisa","non-dropping-particle":"","parse-names":false,"suffix":""},{"dropping-particle":"","family":"Debolini","given":"Marta","non-dropping-particle":"","parse-names":false,"suffix":""},{"dropping-particle":"","family":"Bonari","given":"Enrico","non-dropping-particle":"","parse-names":false,"suffix":""}],"container-title":"Italian Journal of Agronomy","id":"ITEM-1","issue":"2","issued":{"date-parts":[["2015"]]},"page":"74-84","title":"Indicators of agricultural intensity and intensification: A review of the literature","type":"article-journal","volume":"10"},"uris":["http://www.mendeley.com/documents/?uuid=ca194bb4-8905-4e5e-98ce-b73d2bedec6c"]}],"mendeley":{"formattedCitation":"(Ruiz-Martinez, Marraccini, Debolini, &amp; Bonari, 2015)","plainTextFormattedCitation":"(Ruiz-Martinez, Marraccini, Debolini, &amp; Bonari, 2015)","previouslyFormattedCitation":"(Ruiz-Martinez, Marraccini, Debolini, &amp; Bonari, 2015)"},"properties":{"noteIndex":0},"schema":"https://github.com/citation-style-language/schema/raw/master/csl-citation.json"}</w:instrText>
      </w:r>
      <w:r w:rsidRPr="001923D7">
        <w:rPr>
          <w:color w:val="000000"/>
        </w:rPr>
        <w:fldChar w:fldCharType="separate"/>
      </w:r>
      <w:r w:rsidRPr="001923D7">
        <w:rPr>
          <w:noProof/>
          <w:color w:val="000000"/>
        </w:rPr>
        <w:t>(Ruiz-Martinez, Marraccini, Debolini, &amp; Bonari, 2015)</w:t>
      </w:r>
      <w:r w:rsidRPr="001923D7">
        <w:rPr>
          <w:color w:val="000000"/>
        </w:rPr>
        <w:fldChar w:fldCharType="end"/>
      </w:r>
      <w:r w:rsidRPr="001923D7">
        <w:rPr>
          <w:color w:val="000000"/>
        </w:rPr>
        <w:t xml:space="preserve">. A conceptual framework for measuring land-use intensity was suggested, as moving beyond the simplified ratio measurement, to integrate the input (e.g., labour, land, capital) into production systems with the outputs (e.g., products, services) </w:t>
      </w:r>
      <w:r w:rsidRPr="001923D7">
        <w:rPr>
          <w:color w:val="000000"/>
        </w:rPr>
        <w:fldChar w:fldCharType="begin" w:fldLock="1"/>
      </w:r>
      <w:r w:rsidRPr="001923D7">
        <w:rPr>
          <w:color w:val="000000"/>
        </w:rPr>
        <w:instrText>ADDIN CSL_CITATION {"citationItems":[{"id":"ITEM-1","itemData":{"DOI":"10.1073/pnas.1211349110","ISSN":"1091-6490","PMID":"23733940","abstract":"Global increases in population, consumption, and gross domestic product raise concerns about the sustainability of the current and future use of natural resources. The human appropriation of net primary production (HANPP) provides a useful measure of human intervention into the biosphere. The productive capacity of land is appropriated by harvesting or burning biomass and by converting natural ecosystems to managed lands with lower productivity. This work analyzes trends in HANPP from 1910 to 2005 and finds that although human population has grown fourfold and economic output 17-fold, global HANPP has only doubled. Despite this increase in efficiency, HANPP has still risen from 6.9 Gt of carbon per y in 1910 to 14.8 GtC/y in 2005, i.e., from 13% to 25% of the net primary production of potential vegetation. Biomass harvested per capita and year has slightly declined despite growth in consumption because of a decline in reliance on bioenergy and higher conversion efficiencies of primary biomass to products. The rise in efficiency is overwhelmingly due to increased crop yields, albeit frequently associated with substantial ecological costs, such as fossil energy inputs, soil degradation, and biodiversity loss. If humans can maintain the past trend lines in efficiency gains, we estimate that HANPP might only grow to 27-29% by 2050, but providing large amounts of bioenergy could increase global HANPP to 44%. This result calls for caution in refocusing the energy economy on land-based resources and for strategies that foster the continuation of increases in land-use efficiency without excessively increasing ecological costs of intensification.","author":[{"dropping-particle":"","family":"Krausmann","given":"Fridolin","non-dropping-particle":"","parse-names":false,"suffix":""},{"dropping-particle":"","family":"Erb","given":"Karl-Heinz","non-dropping-particle":"","parse-names":false,"suffix":""},{"dropping-particle":"","family":"Gingrich","given":"Simone","non-dropping-particle":"","parse-names":false,"suffix":""},{"dropping-particle":"","family":"Haberl","given":"Helmut","non-dropping-particle":"","parse-names":false,"suffix":""},{"dropping-particle":"","family":"Bondeau","given":"Alberte","non-dropping-particle":"","parse-names":false,"suffix":""},{"dropping-particle":"","family":"Gaube","given":"Veronika","non-dropping-particle":"","parse-names":false,"suffix":""},{"dropping-particle":"","family":"Lauk","given":"Christian","non-dropping-particle":"","parse-names":false,"suffix":""},{"dropping-particle":"","family":"Plutzar","given":"Christoph","non-dropping-particle":"","parse-names":false,"suffix":""},{"dropping-particle":"","family":"Searchinger","given":"Timothy D","non-dropping-particle":"","parse-names":false,"suffix":""}],"container-title":"Proceedings of the National Academy of Sciences of the United States of America","id":"ITEM-1","issued":{"date-parts":[["2013","6","3"]]},"title":"Global human appropriation of net primary production doubled in the 20th century.","type":"article-journal"},"uris":["http://www.mendeley.com/documents/?uuid=47673141-bea1-403d-be09-185e0814187d"]}],"mendeley":{"formattedCitation":"(Krausmann et al., 2013)","plainTextFormattedCitation":"(Krausmann et al., 2013)","previouslyFormattedCitation":"(Krausmann et al., 2013)"},"properties":{"noteIndex":0},"schema":"https://github.com/citation-style-language/schema/raw/master/csl-citation.json"}</w:instrText>
      </w:r>
      <w:r w:rsidRPr="001923D7">
        <w:rPr>
          <w:color w:val="000000"/>
        </w:rPr>
        <w:fldChar w:fldCharType="separate"/>
      </w:r>
      <w:r w:rsidRPr="001923D7">
        <w:rPr>
          <w:noProof/>
          <w:color w:val="000000"/>
        </w:rPr>
        <w:t>(Krausmann et al., 2013)</w:t>
      </w:r>
      <w:r w:rsidRPr="001923D7">
        <w:rPr>
          <w:color w:val="000000"/>
        </w:rPr>
        <w:fldChar w:fldCharType="end"/>
      </w:r>
      <w:r w:rsidRPr="001923D7">
        <w:rPr>
          <w:color w:val="000000"/>
        </w:rPr>
        <w:t xml:space="preserve">. Here we focused on agricultural input, and chose nitrogen input and field size as a proxy for machinery usage to quantify the agricultural intensity. </w:t>
      </w:r>
    </w:p>
    <w:p w:rsidR="00666700" w:rsidRPr="001923D7" w:rsidRDefault="00666700" w:rsidP="00666700">
      <w:pPr>
        <w:pBdr>
          <w:top w:val="nil"/>
          <w:left w:val="nil"/>
          <w:bottom w:val="nil"/>
          <w:right w:val="nil"/>
          <w:between w:val="nil"/>
        </w:pBdr>
        <w:ind w:firstLine="709"/>
        <w:rPr>
          <w:color w:val="000000"/>
        </w:rPr>
      </w:pPr>
      <w:r w:rsidRPr="001923D7">
        <w:rPr>
          <w:color w:val="000000"/>
        </w:rPr>
        <w:t>The nitrogen input was based on CAPRI nitrogen database, from which we derived inorganic fertilizer input and manure input that was intentionally put into cropland. The amount of nitrogen input in each farm soil unit was aggregated and divided by the total amount of cropland to estimate the nitrogen input intensity. The nitrogen intensity was then classified into three classes that match the previous classes</w:t>
      </w:r>
      <w:r w:rsidRPr="001923D7">
        <w:rPr>
          <w:color w:val="000000"/>
        </w:rPr>
        <w:fldChar w:fldCharType="begin" w:fldLock="1"/>
      </w:r>
      <w:r w:rsidRPr="001923D7">
        <w:rPr>
          <w:color w:val="000000"/>
        </w:rPr>
        <w:instrText>ADDIN CSL_CITATION {"citationItems":[{"id":"ITEM-1","itemData":{"DOI":"10.1016/j.ecolind.2012.11.006","ISSN":"1470160X","abstract":"In Europe agricultural areas are of great importance to biodiversity conservation. One of the aims of the Common Agricultural Policy (CAP) after 2013 is to avoid additional loss of agriculture-related biodiversity. Farmland biodiversity is a public good that provides ecosystem services necessary for the sustainability of agriculture itself as well as for a sustainable environment as a whole. To evaluate policies such as the CAP and to monitor the development of biodiversity in agricultural areas, specifically designed indicators are needed. Current EU-level indicators of agricultural biodiversity are often limited to a specific species group, for example the group of farmland birds, and are not designed for evaluation of future policies. This study presents a methodology for a new indicator that is targeted specifically at biodiversity in agricultural areas, considering a large variety of species and focussing on policy. The methodology combines maps of the potential occurrence of 132 relevant species (plants and vertebrates) on a 50 km grid, with detailed information (1 km grid) on the influence of environmental pressures on these species. A first indicator map on a 1 km grid for the EU is provided, based on available data. This map shows great variety in the state of the biodiversity of agricultural areas in the EU. Generally speaking, biodiversity in agricultural areas in the south and east of the EU is in a better state than in the west and north. However, spatial variability is high between and even within regions. The presented indicator may be used to explore the dynamics of biodiversity following policy interventions, using the biodiversity map or by modelling the effect of policies on the environmental pressures that form the basis of the indicator. © 2012 Elsevier Ltd.","author":[{"dropping-particle":"","family":"Overmars","given":"Koen P.","non-dropping-particle":"","parse-names":false,"suffix":""},{"dropping-particle":"","family":"Schulp","given":"Catharina J E","non-dropping-particle":"","parse-names":false,"suffix":""},{"dropping-particle":"","family":"Alkemade","given":"Rob","non-dropping-particle":"","parse-names":false,"suffix":""},{"dropping-particle":"","family":"Verburg","given":"Peter H.","non-dropping-particle":"","parse-names":false,"suffix":""},{"dropping-particle":"","family":"Temme","given":"Arnaud J A M","non-dropping-particle":"","parse-names":false,"suffix":""},{"dropping-particle":"","family":"Omtzigt","given":"Nancy","non-dropping-particle":"","parse-names":false,"suffix":""},{"dropping-particle":"","family":"Schaminée","given":"Joop H J","non-dropping-particle":"","parse-names":false,"suffix":""}],"container-title":"Ecological Indicators","id":"ITEM-1","issue":"PART A","issued":{"date-parts":[["2014"]]},"page":"186-198","publisher":"Elsevier Ltd","title":"Developing a methodology for a species-based and spatially explicit indicator for biodiversity on agricultural land in the EU","type":"article-journal","volume":"37"},"uris":["http://www.mendeley.com/documents/?uuid=af813b21-09b5-4e08-b552-197f94f843ab"]}],"mendeley":{"formattedCitation":"(Overmars et al., 2014)","plainTextFormattedCitation":"(Overmars et al., 2014)","previouslyFormattedCitation":"(Overmars et al., 2014)"},"properties":{"noteIndex":0},"schema":"https://github.com/citation-style-language/schema/raw/master/csl-citation.json"}</w:instrText>
      </w:r>
      <w:r w:rsidRPr="001923D7">
        <w:rPr>
          <w:color w:val="000000"/>
        </w:rPr>
        <w:fldChar w:fldCharType="separate"/>
      </w:r>
      <w:r w:rsidRPr="00B71171">
        <w:rPr>
          <w:noProof/>
          <w:color w:val="000000"/>
        </w:rPr>
        <w:t>(Overmars et al., 2014)</w:t>
      </w:r>
      <w:r w:rsidRPr="001923D7">
        <w:rPr>
          <w:color w:val="000000"/>
        </w:rPr>
        <w:fldChar w:fldCharType="end"/>
      </w:r>
      <w:r w:rsidRPr="00B71171">
        <w:rPr>
          <w:color w:val="000000"/>
        </w:rPr>
        <w:t xml:space="preserve">: (1) &lt;50 kgN/ha, (2) 50-150 kgN/ha, and (3)&gt;150 kgN/ha. </w:t>
      </w:r>
      <w:r w:rsidRPr="001923D7">
        <w:rPr>
          <w:color w:val="000000"/>
        </w:rPr>
        <w:t>For the field size, we used the field size map created by</w:t>
      </w:r>
      <w:r w:rsidRPr="001923D7">
        <w:rPr>
          <w:color w:val="000000"/>
        </w:rPr>
        <w:fldChar w:fldCharType="begin" w:fldLock="1"/>
      </w:r>
      <w:r w:rsidRPr="001923D7">
        <w:rPr>
          <w:color w:val="000000"/>
        </w:rPr>
        <w:instrText>ADDIN CSL_CITATION {"citationItems":[{"id":"ITEM-1","itemData":{"DOI":"10.1016/j.landusepol.2016.12.001","ISSN":"02648377","abstract":"Almost all rural areas in Europe have been shaped or altered by humans and can be considered cultural landscapes, many of which now are considered to entail valuable cultural heritage. Current dynamics in land management have put cultural landscapes under a huge pressure of agricultural intensification and land abandonment. To prevent the loss of cultural landscapes, knowledge on the location of different types of cultural landscapes is needed. In this paper, we present a characterization of European cultural landscapes based on the prevalence of three key dimensions of cultural landscapes: landscape structure, management intensity, and value and meaning. We mapped these dimensions across Europe at a 1-km resolution by combining proxies on management intensity and landscape structure with new indicators such as social media usage and registered traditional food products. We integrated the three dimensions into a continuous “cultural landscape index” that allows for a characterization of Europe's rural landscapes. The characterization identifies hotspots of cultural landscapes, where all three dimensions are present, such as in the Mediterranean. On the other hand, Eastern and Northern European cultural landscapes are mostly characterized by only one of the dimensions. Our paper can help to identify pressures to cultural landscapes and thus to target measures for the conservation of these landscapes, to link similar landscapes in different regions, and to inform policy design on the most important characteristics of cultural landscapes at a regional scale.","author":[{"dropping-particle":"","family":"Tieskens","given":"Koen F.","non-dropping-particle":"","parse-names":false,"suffix":""},{"dropping-particle":"","family":"Schulp","given":"Catharina J.E.","non-dropping-particle":"","parse-names":false,"suffix":""},{"dropping-particle":"","family":"Levers","given":"Christian","non-dropping-particle":"","parse-names":false,"suffix":""},{"dropping-particle":"","family":"Lieskovský","given":"Juraj","non-dropping-particle":"","parse-names":false,"suffix":""},{"dropping-particle":"","family":"Kuemmerle","given":"Tobias","non-dropping-particle":"","parse-names":false,"suffix":""},{"dropping-particle":"","family":"Plieninger","given":"Tobias","non-dropping-particle":"","parse-names":false,"suffix":""},{"dropping-particle":"","family":"Verburg","given":"Peter H.","non-dropping-particle":"","parse-names":false,"suffix":""}],"container-title":"Land Use Policy","id":"ITEM-1","issued":{"date-parts":[["2017"]]},"page":"29-39","title":"Characterizing European cultural landscapes: Accounting for structure, management intensity and value of agricultural and forest landscapes","type":"article-journal","volume":"62"},"uris":["http://www.mendeley.com/documents/?uuid=be25fb50-34d7-44e1-9a88-7ac9bb66420d"]}],"mendeley":{"formattedCitation":"(Tieskens et al., 2017)","plainTextFormattedCitation":"(Tieskens et al., 2017)","previouslyFormattedCitation":"(Tieskens et al., 2017)"},"properties":{"noteIndex":0},"schema":"https://github.com/citation-style-language/schema/raw/master/csl-citation.json"}</w:instrText>
      </w:r>
      <w:r w:rsidRPr="001923D7">
        <w:rPr>
          <w:color w:val="000000"/>
        </w:rPr>
        <w:fldChar w:fldCharType="separate"/>
      </w:r>
      <w:r w:rsidRPr="001923D7">
        <w:rPr>
          <w:noProof/>
          <w:color w:val="000000"/>
        </w:rPr>
        <w:t>(Tieskens et al., 2017)</w:t>
      </w:r>
      <w:r w:rsidRPr="001923D7">
        <w:rPr>
          <w:color w:val="000000"/>
        </w:rPr>
        <w:fldChar w:fldCharType="end"/>
      </w:r>
      <w:r w:rsidRPr="001923D7">
        <w:rPr>
          <w:color w:val="000000"/>
        </w:rPr>
        <w:t>. It was interpolated to the 1-km grid based on the Land Use/Cover Area Frame Survey (LUCAS) 2012 raw database</w:t>
      </w:r>
      <w:r w:rsidRPr="001923D7">
        <w:rPr>
          <w:color w:val="000000"/>
        </w:rPr>
        <w:fldChar w:fldCharType="begin" w:fldLock="1"/>
      </w:r>
      <w:r w:rsidRPr="001923D7">
        <w:rPr>
          <w:color w:val="000000"/>
        </w:rPr>
        <w:instrText>ADDIN CSL_CITATION {"citationItems":[{"id":"ITEM-1","itemData":{"author":[{"dropping-particle":"","family":"Eurostat","given":"","non-dropping-particle":"","parse-names":false,"suffix":""}],"id":"ITEM-1","issued":{"date-parts":[["2012"]]},"title":"LUCAS micro data 2012","type":"article"},"uris":["http://www.mendeley.com/documents/?uuid=1460bf1c-822c-40bc-8377-8196ab918d8f"]}],"mendeley":{"formattedCitation":"(Eurostat, 2012)","plainTextFormattedCitation":"(Eurostat, 2012)","previouslyFormattedCitation":"(Eurostat, 2012)"},"properties":{"noteIndex":0},"schema":"https://github.com/citation-style-language/schema/raw/master/csl-citation.json"}</w:instrText>
      </w:r>
      <w:r w:rsidRPr="001923D7">
        <w:rPr>
          <w:color w:val="000000"/>
        </w:rPr>
        <w:fldChar w:fldCharType="separate"/>
      </w:r>
      <w:r w:rsidRPr="001923D7">
        <w:rPr>
          <w:noProof/>
          <w:color w:val="000000"/>
        </w:rPr>
        <w:t>(Eurostat, 2012)</w:t>
      </w:r>
      <w:r w:rsidRPr="001923D7">
        <w:rPr>
          <w:color w:val="000000"/>
        </w:rPr>
        <w:fldChar w:fldCharType="end"/>
      </w:r>
      <w:r w:rsidRPr="001923D7">
        <w:rPr>
          <w:color w:val="000000"/>
        </w:rPr>
        <w:t>. The field size was then reclassified into small (bottom 25%, &lt;3.75ha), medium(3.75-11.25), and large (top 25%, &gt;11.25 ha) fields. We used the nitrogen as primary intensity factor and the field size as secondary indicator (</w:t>
      </w:r>
      <w:r w:rsidRPr="0056187F">
        <w:rPr>
          <w:color w:val="000000"/>
        </w:rPr>
        <w:t>Figure S5</w:t>
      </w:r>
      <w:r w:rsidRPr="001923D7">
        <w:rPr>
          <w:color w:val="000000"/>
        </w:rPr>
        <w:t xml:space="preserve">). If a cropland pixel has high nitrogen input it is classified as high-intensity cropland unless it’s field size is in the small class. On the other hand, if a pixel has low nitrogen input it is a low-intensity cropland unless the field size is in the large class. </w:t>
      </w:r>
    </w:p>
    <w:p w:rsidR="00666700" w:rsidRPr="001923D7" w:rsidRDefault="00666700" w:rsidP="00666700">
      <w:pPr>
        <w:pBdr>
          <w:top w:val="nil"/>
          <w:left w:val="nil"/>
          <w:bottom w:val="nil"/>
          <w:right w:val="nil"/>
          <w:between w:val="nil"/>
        </w:pBdr>
        <w:ind w:firstLine="709"/>
        <w:rPr>
          <w:color w:val="000000"/>
        </w:rPr>
      </w:pPr>
      <w:r w:rsidRPr="001923D7">
        <w:rPr>
          <w:color w:val="000000"/>
        </w:rPr>
        <w:t xml:space="preserve">For the non-EU region, we used two global datasets. One is the global nitrogen application rate dataset from EarthStat </w:t>
      </w:r>
      <w:r w:rsidRPr="001923D7">
        <w:rPr>
          <w:color w:val="000000"/>
        </w:rPr>
        <w:fldChar w:fldCharType="begin" w:fldLock="1"/>
      </w:r>
      <w:r w:rsidRPr="001923D7">
        <w:rPr>
          <w:color w:val="000000"/>
        </w:rPr>
        <w:instrText>ADDIN CSL_CITATION {"citationItems":[{"id":"ITEM-1","itemData":{"DOI":"10.1038/nature11420","ISSN":"14764687","PMID":"22932270","abstract":"In the coming decades, a crucial challenge for humanity will be meeting future food demands without undermining further the integrity of the Earth's environmental systems. Agricultural systems are already major forces of global environmental degradation, but population growth and increasing consumption of calorie-and meat-intensive diets are expected to roughly double human food demand by 2050 (ref. 3). Responding to these pressures, there is increasing focus on 'sustainable intensification' as a means to increase yields on underperforming landscapes while simultaneously decreasing the environmental impacts of agricultural systems. However, it is unclear what such efforts might entail for the future of global agricultural landscapes. Here we present a global-scale assessment of intensification prospects from closing 'yield gaps' (differences between observed yields and those attainable in a given region), the spatial patterns of agricultural management practices and yield limitation, and the management changes that may be necessary to achieve increased yields. We find that global yield variability is heavily controlled by fertilizer use, irrigation and climate. Large production increases (45% to 70% for most crops) are possible from closing yield gaps to 100% of attainable yields, and the changes to management practices that are needed to close yield gaps vary considerably by region and current intensity. Furthermore, we find that there are large opportunities to reduce the environmental impact of agriculture by eliminating nutrient overuse, while still allowing an approximately 30% increase in production of major cereals (maize, wheat and rice). Meeting the food security and sustainability challenges of the coming decades is possible, but will require considerable changes in nutrient and water management. © 2012 Macmillan Publishers Limited. All rights reserved.","author":[{"dropping-particle":"","family":"Mueller","given":"Nathaniel D.","non-dropping-particle":"","parse-names":false,"suffix":""},{"dropping-particle":"","family":"Gerber","given":"James S.","non-dropping-particle":"","parse-names":false,"suffix":""},{"dropping-particle":"","family":"Johnston","given":"Matt","non-dropping-particle":"","parse-names":false,"suffix":""},{"dropping-particle":"","family":"Ray","given":"Deepak K.","non-dropping-particle":"","parse-names":false,"suffix":""},{"dropping-particle":"","family":"Ramankutty","given":"Navin","non-dropping-particle":"","parse-names":false,"suffix":""},{"dropping-particle":"","family":"Foley","given":"Jonathan A.","non-dropping-particle":"","parse-names":false,"suffix":""}],"container-title":"Nature","id":"ITEM-1","issue":"7419","issued":{"date-parts":[["2012"]]},"page":"254-257","publisher":"Nature Publishing Group","title":"Closing yield gaps through nutrient and water management","type":"article-journal","volume":"490"},"uris":["http://www.mendeley.com/documents/?uuid=10e8e152-b89a-497d-aa3b-d8939a24e1e1"]},{"id":"ITEM-2","itemData":{"author":[{"dropping-particle":"","family":"West","given":"Paul C","non-dropping-particle":"","parse-names":false,"suffix":""},{"dropping-particle":"","family":"Gerber","given":"James S","non-dropping-particle":"","parse-names":false,"suffix":""},{"dropping-particle":"","family":"Engstrom","given":"Peder M","non-dropping-particle":"","parse-names":false,"suffix":""},{"dropping-particle":"","family":"Mueller","given":"Nathaniel D","non-dropping-particle":"","parse-names":false,"suffix":""},{"dropping-particle":"","family":"Brauman","given":"Kate a","non-dropping-particle":"","parse-names":false,"suffix":""},{"dropping-particle":"","family":"Carlson","given":"Kimberly M","non-dropping-particle":"","parse-names":false,"suffix":""},{"dropping-particle":"","family":"Cassidy","given":"Emily S","non-dropping-particle":"","parse-names":false,"suffix":""},{"dropping-particle":"","family":"Johnston","given":"Matt","non-dropping-particle":"","parse-names":false,"suffix":""},{"dropping-particle":"","family":"Macdonald","given":"Graham K","non-dropping-particle":"","parse-names":false,"suffix":""},{"dropping-particle":"","family":"Ray","given":"Deepak K","non-dropping-particle":"","parse-names":false,"suffix":""},{"dropping-particle":"","family":"Siebert","given":"Stefan","non-dropping-particle":"","parse-names":false,"suffix":""}],"container-title":"Science","id":"ITEM-2","issue":"6194","issued":{"date-parts":[["2014"]]},"page":"325-328","title":"Leverage points for improving global food security and the environment","type":"article-journal","volume":"345"},"uris":["http://www.mendeley.com/documents/?uuid=1b57d30b-b5b4-4940-93ac-9a2bdb85dfe2"]}],"mendeley":{"formattedCitation":"(Mueller et al., 2012; West et al., 2014)","plainTextFormattedCitation":"(Mueller et al., 2012; West et al., 2014)","previouslyFormattedCitation":"(Mueller et al., 2012; West et al., 2014)"},"properties":{"noteIndex":0},"schema":"https://github.com/citation-style-language/schema/raw/master/csl-citation.json"}</w:instrText>
      </w:r>
      <w:r w:rsidRPr="001923D7">
        <w:rPr>
          <w:color w:val="000000"/>
        </w:rPr>
        <w:fldChar w:fldCharType="separate"/>
      </w:r>
      <w:r w:rsidRPr="00B71171">
        <w:rPr>
          <w:noProof/>
          <w:color w:val="000000"/>
        </w:rPr>
        <w:t>(Mueller et al., 2012; West et al., 2014)</w:t>
      </w:r>
      <w:r w:rsidRPr="001923D7">
        <w:rPr>
          <w:color w:val="000000"/>
        </w:rPr>
        <w:fldChar w:fldCharType="end"/>
      </w:r>
      <w:r w:rsidRPr="00B71171">
        <w:rPr>
          <w:color w:val="000000"/>
        </w:rPr>
        <w:t xml:space="preserve">. </w:t>
      </w:r>
      <w:r w:rsidRPr="001923D7">
        <w:rPr>
          <w:color w:val="000000"/>
        </w:rPr>
        <w:t>The other one is the global field size map</w:t>
      </w:r>
      <w:r w:rsidRPr="001923D7">
        <w:rPr>
          <w:color w:val="000000"/>
        </w:rPr>
        <w:fldChar w:fldCharType="begin" w:fldLock="1"/>
      </w:r>
      <w:r w:rsidRPr="001923D7">
        <w:rPr>
          <w:color w:val="000000"/>
        </w:rPr>
        <w:instrText>ADDIN CSL_CITATION {"citationItems":[{"id":"ITEM-1","itemData":{"DOI":"10.1111/gcb.14492","ISSN":"13652486","abstract":"© 2018 The Authors. Global Change Biology Published by John Wiley  &amp;  Sons Ltd. There is an increasing evidence that smallholder farms contribute substantially to food production globally, yet spatially explicit data on agricultural field sizes are currently lacking. Automated field size delineation using remote sensing or the estimation of average farm size at subnational level using census data are two approaches that have been used. However, both have limitations, for example, automatic field size delineation using remote sensing has not yet been implemented at a global scale while the spatial resolution is very coarse when using census data. This paper demonstrates a unique approach to quantifying and mapping agricultural field size globally using crowdsourcing. A campaign was run in June 2017, where participants were asked to visually interpret very high resolution satellite imagery from Google Maps and Bing using the Geo-Wiki application. During the campaign, participants collected field size data for 130 K unique locations around the globe. Using this sample, we have produced the most accurate global field size map to date and estimated the percentage of different field sizes, ranging from very small to very large, in agricultural areas at global, continental, and national levels. The results show that smallholder farms occupy up to 40% of agricultural areas globally, which means that, potentially, there are many more smallholder farms in comparison with the two different current global estimates of 12% and 24%. The global field size map and the crowdsourced data set are openly available and can be used for integrated assessment modeling, comparative studies of agricultural dynamics across different contexts, for training and validation of remote sensing field size delineation, and potential contributions to the Sustainable Development Goal of Ending hunger, achieve food security and improved nutrition and promote sustainable agriculture.","author":[{"dropping-particle":"","family":"Lesiv","given":"Myroslava","non-dropping-particle":"","parse-names":false,"suffix":""},{"dropping-particle":"","family":"Laso Bayas","given":"Juan Carlos","non-dropping-particle":"","parse-names":false,"suffix":""},{"dropping-particle":"","family":"See","given":"Linda","non-dropping-particle":"","parse-names":false,"suffix":""},{"dropping-particle":"","family":"Duerauer","given":"Martina","non-dropping-particle":"","parse-names":false,"suffix":""},{"dropping-particle":"","family":"Dahlia","given":"Domian","non-dropping-particle":"","parse-names":false,"suffix":""},{"dropping-particle":"","family":"Durando","given":"Neal","non-dropping-particle":"","parse-names":false,"suffix":""},{"dropping-particle":"","family":"Hazarika","given":"Rubul","non-dropping-particle":"","parse-names":false,"suffix":""},{"dropping-particle":"","family":"Kumar Sahariah","given":"Parag","non-dropping-particle":"","parse-names":false,"suffix":""},{"dropping-particle":"","family":"Vakolyuk","given":"Mar'yana","non-dropping-particle":"","parse-names":false,"suffix":""},{"dropping-particle":"","family":"Blyshchyk","given":"Volodymyr","non-dropping-particle":"","parse-names":false,"suffix":""},{"dropping-particle":"","family":"Bilous","given":"Andrii","non-dropping-particle":"","parse-names":false,"suffix":""},{"dropping-particle":"","family":"Perez-Hoyos","given":"Ana","non-dropping-particle":"","parse-names":false,"suffix":""},{"dropping-particle":"","family":"Gengler","given":"Sarah","non-dropping-particle":"","parse-names":false,"suffix":""},{"dropping-particle":"","family":"Prestele","given":"Reinhard","non-dropping-particle":"","parse-names":false,"suffix":""},{"dropping-particle":"","family":"Bilous","given":"Svitlana","non-dropping-particle":"","parse-names":false,"suffix":""},{"dropping-particle":"","family":"Akhtar","given":"Ibrar ul Hassan","non-dropping-particle":"","parse-names":false,"suffix":""},{"dropping-particle":"","family":"Singha","given":"Kuleswar","non-dropping-particle":"","parse-names":false,"suffix":""},{"dropping-particle":"","family":"Choudhury","given":"Sochin Boro","non-dropping-particle":"","parse-names":false,"suffix":""},{"dropping-particle":"","family":"Chetri","given":"Tilok","non-dropping-particle":"","parse-names":false,"suffix":""},{"dropping-particle":"","family":"Malek","given":"Žiga","non-dropping-particle":"","parse-names":false,"suffix":""},{"dropping-particle":"","family":"Bungnamei","given":"Khangsembou","non-dropping-particle":"","parse-names":false,"suffix":""},{"dropping-particle":"","family":"Saikia","given":"Anup","non-dropping-particle":"","parse-names":false,"suffix":""},{"dropping-particle":"","family":"Sahariah","given":"Dhrubajyoti","non-dropping-particle":"","parse-names":false,"suffix":""},{"dropping-particle":"","family":"Narzary","given":"William","non-dropping-particle":"","parse-names":false,"suffix":""},{"dropping-particle":"","family":"Danylo","given":"Olha","non-dropping-particle":"","parse-names":false,"suffix":""},{"dropping-particle":"","family":"Sturn","given":"Tobias","non-dropping-particle":"","parse-names":false,"suffix":""},{"dropping-particle":"","family":"Karner","given":"Mathias","non-dropping-particle":"","parse-names":false,"suffix":""},{"dropping-particle":"","family":"McCallum","given":"Ian","non-dropping-particle":"","parse-names":false,"suffix":""},{"dropping-particle":"","family":"Schepaschenko","given":"Dmitry","non-dropping-particle":"","parse-names":false,"suffix":""},{"dropping-particle":"","family":"Moltchanova","given":"Elena","non-dropping-particle":"","parse-names":false,"suffix":""},{"dropping-particle":"","family":"Fraisl","given":"Dilek","non-dropping-particle":"","parse-names":false,"suffix":""},{"dropping-particle":"","family":"Moorthy","given":"Inian","non-dropping-particle":"","parse-names":false,"suffix":""},{"dropping-particle":"","family":"Fritz","given":"Steffen","non-dropping-particle":"","parse-names":false,"suffix":""}],"container-title":"Global Change Biology","id":"ITEM-1","issue":"1","issued":{"date-parts":[["2019"]]},"page":"174-186","title":"Estimating the global distribution of field size using crowdsourcing","type":"article-journal","volume":"25"},"uris":["http://www.mendeley.com/documents/?uuid=94aae673-3e7e-4a38-ba9c-b800e06c7c1f"]}],"mendeley":{"formattedCitation":"(Lesiv et al., 2019)","plainTextFormattedCitation":"(Lesiv et al., 2019)","previouslyFormattedCitation":"(Lesiv et al., 2019)"},"properties":{"noteIndex":0},"schema":"https://github.com/citation-style-language/schema/raw/master/csl-citation.json"}</w:instrText>
      </w:r>
      <w:r w:rsidRPr="001923D7">
        <w:rPr>
          <w:color w:val="000000"/>
        </w:rPr>
        <w:fldChar w:fldCharType="separate"/>
      </w:r>
      <w:r w:rsidRPr="001923D7">
        <w:rPr>
          <w:noProof/>
          <w:color w:val="000000"/>
        </w:rPr>
        <w:t>(Lesiv et al., 2019)</w:t>
      </w:r>
      <w:r w:rsidRPr="001923D7">
        <w:rPr>
          <w:color w:val="000000"/>
        </w:rPr>
        <w:fldChar w:fldCharType="end"/>
      </w:r>
      <w:r w:rsidRPr="001923D7">
        <w:rPr>
          <w:color w:val="000000"/>
        </w:rPr>
        <w:t xml:space="preserve">. </w:t>
      </w:r>
      <w:r w:rsidRPr="001923D7">
        <w:t>W</w:t>
      </w:r>
      <w:r w:rsidRPr="001923D7">
        <w:rPr>
          <w:color w:val="000000"/>
        </w:rPr>
        <w:t xml:space="preserve">e weighted the crop nitrogen application on the proportion of major crop </w:t>
      </w:r>
      <w:r w:rsidRPr="001923D7">
        <w:t>harvested</w:t>
      </w:r>
      <w:r w:rsidRPr="001923D7">
        <w:rPr>
          <w:color w:val="000000"/>
        </w:rPr>
        <w:t xml:space="preserve"> areas in countries from the Balkan region </w:t>
      </w:r>
      <w:r w:rsidRPr="001923D7">
        <w:t>found on</w:t>
      </w:r>
      <w:r w:rsidRPr="001923D7">
        <w:rPr>
          <w:color w:val="000000"/>
        </w:rPr>
        <w:t xml:space="preserve"> </w:t>
      </w:r>
      <w:r w:rsidRPr="001923D7">
        <w:t>FAOSTAT (</w:t>
      </w:r>
      <w:hyperlink r:id="rId9" w:anchor="data/QC">
        <w:r w:rsidRPr="001923D7">
          <w:rPr>
            <w:color w:val="1155CC"/>
            <w:u w:val="single"/>
          </w:rPr>
          <w:t>http://www.fao.org/faostat/en/#data/QC</w:t>
        </w:r>
      </w:hyperlink>
      <w:r w:rsidRPr="001923D7">
        <w:t>)</w:t>
      </w:r>
      <w:r w:rsidRPr="001923D7">
        <w:rPr>
          <w:color w:val="000000"/>
        </w:rPr>
        <w:t xml:space="preserve">, then classified them into the same nitrogen levels as the EU region: (1) &lt;50 kgN/ha, (2) 50-150 kgN/ha, and (3)&gt;150 kgN/ha. The field size map was extracted and reclassified into small, medium, and large field size as well. For Switzerland, we assumed cropland above 800m as medium-intensity and below as high-intensity. </w:t>
      </w:r>
    </w:p>
    <w:p w:rsidR="00666700" w:rsidRPr="00666700" w:rsidRDefault="00666700" w:rsidP="00666700">
      <w:pPr>
        <w:pStyle w:val="Heading3"/>
        <w:ind w:left="708"/>
        <w:rPr>
          <w:rFonts w:ascii="Times New Roman" w:hAnsi="Times New Roman" w:cs="Times New Roman"/>
          <w:b/>
          <w:color w:val="auto"/>
        </w:rPr>
      </w:pPr>
      <w:bookmarkStart w:id="8" w:name="_Toc60758348"/>
      <w:r w:rsidRPr="00666700">
        <w:rPr>
          <w:rFonts w:ascii="Times New Roman" w:hAnsi="Times New Roman" w:cs="Times New Roman"/>
          <w:b/>
          <w:color w:val="auto"/>
        </w:rPr>
        <w:t>Permanent cropland</w:t>
      </w:r>
      <w:bookmarkEnd w:id="8"/>
      <w:r w:rsidRPr="00666700">
        <w:rPr>
          <w:rFonts w:ascii="Times New Roman" w:hAnsi="Times New Roman" w:cs="Times New Roman"/>
          <w:b/>
          <w:color w:val="auto"/>
        </w:rPr>
        <w:t xml:space="preserve"> </w:t>
      </w:r>
    </w:p>
    <w:p w:rsidR="00666700" w:rsidRPr="001923D7" w:rsidRDefault="00666700" w:rsidP="00666700">
      <w:pPr>
        <w:pBdr>
          <w:top w:val="nil"/>
          <w:left w:val="nil"/>
          <w:bottom w:val="nil"/>
          <w:right w:val="nil"/>
          <w:between w:val="nil"/>
        </w:pBdr>
        <w:ind w:firstLine="709"/>
        <w:rPr>
          <w:color w:val="000000"/>
        </w:rPr>
      </w:pPr>
      <w:r w:rsidRPr="001923D7">
        <w:rPr>
          <w:color w:val="000000"/>
        </w:rPr>
        <w:t>In addition to the intensity of annual crops, we want to single out permanent crops because they have different management styles and effects on biodiversity. We selected the classes of vineyards, olive groves, fruit trees and berry plantation, and annual crops associated with permanent crops from CLC and aggregated to 1km. We used 25% as the cutoff value for permanent crop</w:t>
      </w:r>
      <w:r w:rsidRPr="001923D7">
        <w:t>s, as they were found to occur in landscapes with annual crops or other land cover</w:t>
      </w:r>
      <w:r w:rsidRPr="001923D7">
        <w:rPr>
          <w:color w:val="000000"/>
        </w:rPr>
        <w:t xml:space="preserve"> (similar to the cropland extent used by</w:t>
      </w:r>
      <w:r w:rsidRPr="001923D7">
        <w:rPr>
          <w:color w:val="000000"/>
        </w:rPr>
        <w:fldChar w:fldCharType="begin" w:fldLock="1"/>
      </w:r>
      <w:r w:rsidRPr="001923D7">
        <w:rPr>
          <w:color w:val="000000"/>
        </w:rPr>
        <w:instrText>ADDIN CSL_CITATION {"citationItems":[{"id":"ITEM-1","itemData":{"DOI":"10.1016/j.landurbplan.2017.05.012","ISSN":"01692046","abstract":"In the Mediterranean region, land systems have been shaped gradually through centuries. They provide services to a large and growing population in a region that is among the most vulnerable to future global change. The spatial extent and distribution of Mediterranean land systems is, however, unknown. In this paper, we present a new, expert-based classification of Mediterranean land systems, representing landscapes as integrated social-ecological systems. We combined data on land cover, management intensity and livestock available on the European and global scale in a geographic information system based approach. We put special emphasis on agro-silvo-pastoral mosaic systems: multifunctional Mediterranean landscapes hosting different human activities that are not represented in common land cover maps. By analyzing location conditions of the identified land systems, we demonstrated the significance of both bio-physical (precipitation, soil) and socio-economic (population density, market influence) factors driving the occurrence of these systems. Agro-silvo-pastoral mosaic systems were estimated to cover 23.3% of the Mediterranean ecoregion and exhibited to a certain extent similar characteristics as forest and cropland systems. A reanalysis using data that are available with global coverage indicated that the choice of datasets leads to significant uncertainties in the extent and spatial pattern of these systems. The resulting land systems typology can be used to prioritize and protect landscapes of high cultural and environmental significance.","author":[{"dropping-particle":"","family":"Malek","given":"Žiga","non-dropping-particle":"","parse-names":false,"suffix":""},{"dropping-particle":"","family":"Verburg","given":"Peter","non-dropping-particle":"","parse-names":false,"suffix":""}],"container-title":"Landscape and Urban Planning","id":"ITEM-1","issue":"April","issued":{"date-parts":[["2017"]]},"page":"102-116","title":"Mediterranean land systems: Representing diversity and intensity of complex land systems in a dynamic region","type":"article-journal","volume":"165"},"uris":["http://www.mendeley.com/documents/?uuid=cd0564e2-574a-4a4a-8238-d31a5afbfc96"]}],"mendeley":{"formattedCitation":"(Malek &amp; Verburg, 2017)","plainTextFormattedCitation":"(Malek &amp; Verburg, 2017)","previouslyFormattedCitation":"(Malek &amp; Verburg, 2017)"},"properties":{"noteIndex":0},"schema":"https://github.com/citation-style-language/schema/raw/master/csl-citation.json"}</w:instrText>
      </w:r>
      <w:r w:rsidRPr="001923D7">
        <w:rPr>
          <w:color w:val="000000"/>
        </w:rPr>
        <w:fldChar w:fldCharType="separate"/>
      </w:r>
      <w:r w:rsidRPr="001923D7">
        <w:rPr>
          <w:noProof/>
          <w:color w:val="000000"/>
        </w:rPr>
        <w:t>(Malek &amp; Verburg, 2017)</w:t>
      </w:r>
      <w:r w:rsidRPr="001923D7">
        <w:rPr>
          <w:color w:val="000000"/>
        </w:rPr>
        <w:fldChar w:fldCharType="end"/>
      </w:r>
      <w:r w:rsidRPr="001923D7">
        <w:rPr>
          <w:color w:val="000000"/>
        </w:rPr>
        <w:t xml:space="preserve">. For biodiversity purposes, the understory between stripes of grapes and olive trees are important environment information for both habitat and management styles, therefore the second land cover type </w:t>
      </w:r>
      <w:r w:rsidRPr="001923D7">
        <w:t>identified in</w:t>
      </w:r>
      <w:r w:rsidRPr="001923D7">
        <w:rPr>
          <w:color w:val="000000"/>
        </w:rPr>
        <w:t xml:space="preserve"> LUCAS </w:t>
      </w:r>
      <w:r w:rsidRPr="001923D7">
        <w:rPr>
          <w:color w:val="000000"/>
        </w:rPr>
        <w:fldChar w:fldCharType="begin" w:fldLock="1"/>
      </w:r>
      <w:r w:rsidRPr="001923D7">
        <w:rPr>
          <w:color w:val="000000"/>
        </w:rPr>
        <w:instrText>ADDIN CSL_CITATION {"citationItems":[{"id":"ITEM-1","itemData":{"author":[{"dropping-particle":"","family":"Eurostat","given":"","non-dropping-particle":"","parse-names":false,"suffix":""}],"id":"ITEM-1","issued":{"date-parts":[["2018"]]},"title":"LUCAS micro data 2018","type":"article"},"uris":["http://www.mendeley.com/documents/?uuid=af97cfad-dc9f-4de1-833e-6cbff1b052b5"]}],"mendeley":{"formattedCitation":"(Eurostat, 2018)","plainTextFormattedCitation":"(Eurostat, 2018)","previouslyFormattedCitation":"(Eurostat, 2018)"},"properties":{"noteIndex":0},"schema":"https://github.com/citation-style-language/schema/raw/master/csl-citation.json"}</w:instrText>
      </w:r>
      <w:r w:rsidRPr="001923D7">
        <w:rPr>
          <w:color w:val="000000"/>
        </w:rPr>
        <w:fldChar w:fldCharType="separate"/>
      </w:r>
      <w:r w:rsidRPr="001923D7">
        <w:rPr>
          <w:noProof/>
          <w:color w:val="000000"/>
        </w:rPr>
        <w:t>(Eurostat, 2018)</w:t>
      </w:r>
      <w:r w:rsidRPr="001923D7">
        <w:rPr>
          <w:color w:val="000000"/>
        </w:rPr>
        <w:fldChar w:fldCharType="end"/>
      </w:r>
      <w:r w:rsidRPr="001923D7">
        <w:rPr>
          <w:color w:val="000000"/>
        </w:rPr>
        <w:t xml:space="preserve"> is selected as the indicator. We first subtracted the point observations of the permanent crops from LUCAS dataset, and classif</w:t>
      </w:r>
      <w:r w:rsidRPr="001923D7">
        <w:t>ied</w:t>
      </w:r>
      <w:r w:rsidRPr="001923D7">
        <w:rPr>
          <w:color w:val="000000"/>
        </w:rPr>
        <w:t xml:space="preserve"> the second land cover type of these points into (1) vegetated surfaces (e.g., tree/shrub, crops) and (2) bare land. </w:t>
      </w:r>
      <w:r w:rsidRPr="001923D7">
        <w:t>W</w:t>
      </w:r>
      <w:r w:rsidRPr="001923D7">
        <w:rPr>
          <w:color w:val="000000"/>
        </w:rPr>
        <w:t xml:space="preserve">e created a likelihood map using the Inverse Distance Weighting in ArcMap. Combining the understory likelihood with the permanent crop extent, we </w:t>
      </w:r>
      <w:r w:rsidRPr="001923D7">
        <w:t>classified</w:t>
      </w:r>
      <w:r w:rsidRPr="001923D7">
        <w:rPr>
          <w:color w:val="000000"/>
        </w:rPr>
        <w:t xml:space="preserve"> intensive and extensive permanent crops (</w:t>
      </w:r>
      <w:r w:rsidRPr="0056187F">
        <w:rPr>
          <w:color w:val="000000"/>
        </w:rPr>
        <w:t>Figure S6</w:t>
      </w:r>
      <w:r w:rsidRPr="001923D7">
        <w:rPr>
          <w:color w:val="000000"/>
        </w:rPr>
        <w:t xml:space="preserve">). </w:t>
      </w:r>
    </w:p>
    <w:p w:rsidR="00666700" w:rsidRPr="00666700" w:rsidRDefault="00666700" w:rsidP="00666700">
      <w:pPr>
        <w:pStyle w:val="Heading2"/>
        <w:rPr>
          <w:rFonts w:ascii="Times New Roman" w:hAnsi="Times New Roman"/>
          <w:b/>
          <w:i/>
          <w:color w:val="auto"/>
          <w:sz w:val="24"/>
          <w:lang w:val="en-GB"/>
        </w:rPr>
      </w:pPr>
      <w:bookmarkStart w:id="9" w:name="_Toc60758349"/>
      <w:r w:rsidRPr="00666700">
        <w:rPr>
          <w:rFonts w:ascii="Times New Roman" w:hAnsi="Times New Roman"/>
          <w:b/>
          <w:i/>
          <w:color w:val="auto"/>
          <w:sz w:val="24"/>
          <w:lang w:val="en-GB"/>
        </w:rPr>
        <w:t>Mosaic systems</w:t>
      </w:r>
      <w:bookmarkEnd w:id="9"/>
      <w:r w:rsidRPr="00666700">
        <w:rPr>
          <w:rFonts w:ascii="Times New Roman" w:hAnsi="Times New Roman"/>
          <w:b/>
          <w:i/>
          <w:color w:val="auto"/>
          <w:sz w:val="24"/>
          <w:lang w:val="en-GB"/>
        </w:rPr>
        <w:t xml:space="preserve"> </w:t>
      </w:r>
    </w:p>
    <w:p w:rsidR="00666700" w:rsidRPr="001923D7" w:rsidRDefault="00666700" w:rsidP="00666700">
      <w:pPr>
        <w:pBdr>
          <w:top w:val="nil"/>
          <w:left w:val="nil"/>
          <w:bottom w:val="nil"/>
          <w:right w:val="nil"/>
          <w:between w:val="nil"/>
        </w:pBdr>
        <w:ind w:firstLine="709"/>
        <w:rPr>
          <w:color w:val="000000"/>
        </w:rPr>
      </w:pPr>
      <w:r w:rsidRPr="001923D7">
        <w:t>We aggregated t</w:t>
      </w:r>
      <w:r w:rsidRPr="001923D7">
        <w:rPr>
          <w:color w:val="000000"/>
        </w:rPr>
        <w:t xml:space="preserve">he remaining pixels without dominant land cover types into mosaic systems. Two sub-mosaic systems were </w:t>
      </w:r>
      <w:r w:rsidRPr="001923D7">
        <w:t xml:space="preserve">classified: agricultural mosaics and forest/shrubs mosaics. </w:t>
      </w:r>
      <w:r w:rsidRPr="001923D7">
        <w:rPr>
          <w:color w:val="000000"/>
        </w:rPr>
        <w:t xml:space="preserve">Because of the </w:t>
      </w:r>
      <w:r w:rsidRPr="001923D7">
        <w:t>relatively</w:t>
      </w:r>
      <w:r w:rsidRPr="001923D7">
        <w:rPr>
          <w:color w:val="000000"/>
        </w:rPr>
        <w:t xml:space="preserve"> high threshold (7</w:t>
      </w:r>
      <w:r w:rsidRPr="001923D7">
        <w:t>0</w:t>
      </w:r>
      <w:r w:rsidRPr="001923D7">
        <w:rPr>
          <w:color w:val="000000"/>
        </w:rPr>
        <w:t xml:space="preserve">%) used for grassland and croplands, the rest croplands and grasslands </w:t>
      </w:r>
      <w:r w:rsidRPr="001923D7">
        <w:t xml:space="preserve">without any tree cover </w:t>
      </w:r>
      <w:r w:rsidRPr="001923D7">
        <w:rPr>
          <w:color w:val="000000"/>
        </w:rPr>
        <w:t>were a</w:t>
      </w:r>
      <w:r w:rsidRPr="001923D7">
        <w:t>ggregated to agricultural mosaic systems</w:t>
      </w:r>
      <w:r w:rsidRPr="001923D7">
        <w:rPr>
          <w:color w:val="000000"/>
        </w:rPr>
        <w:t xml:space="preserve">. This system was further classified into </w:t>
      </w:r>
      <w:r w:rsidRPr="001923D7">
        <w:t>three</w:t>
      </w:r>
      <w:r w:rsidRPr="001923D7">
        <w:rPr>
          <w:color w:val="000000"/>
        </w:rPr>
        <w:t xml:space="preserve"> </w:t>
      </w:r>
      <w:r w:rsidRPr="001923D7">
        <w:t>agricultural</w:t>
      </w:r>
      <w:r w:rsidRPr="001923D7">
        <w:rPr>
          <w:color w:val="000000"/>
        </w:rPr>
        <w:t xml:space="preserve"> intensities</w:t>
      </w:r>
      <w:r w:rsidRPr="001923D7">
        <w:t>: low, medium, and high</w:t>
      </w:r>
      <w:r w:rsidRPr="001923D7">
        <w:rPr>
          <w:color w:val="000000"/>
        </w:rPr>
        <w:t>.</w:t>
      </w:r>
      <w:r w:rsidRPr="001923D7">
        <w:t xml:space="preserve"> T</w:t>
      </w:r>
      <w:r w:rsidRPr="001923D7">
        <w:rPr>
          <w:color w:val="000000"/>
        </w:rPr>
        <w:t>wo indicators of livestock density unit (LSU) and nitrogen application rate were used. The LSU were derived from the global livestock database</w:t>
      </w:r>
      <w:r w:rsidRPr="001923D7">
        <w:rPr>
          <w:color w:val="000000"/>
        </w:rPr>
        <w:fldChar w:fldCharType="begin" w:fldLock="1"/>
      </w:r>
      <w:r w:rsidRPr="001923D7">
        <w:rPr>
          <w:color w:val="000000"/>
        </w:rPr>
        <w:instrText>ADDIN CSL_CITATION {"citationItems":[{"id":"ITEM-1","itemData":{"DOI":"10.1038/sdata.2018.227","ISSN":"20524463","abstract":"Global distribution data for cattle, buffaloes, horses, sheep, goats, pigs, chickens and ducks in 2010","author":[{"dropping-particle":"","family":"Gilbert","given":"Marius","non-dropping-particle":"","parse-names":false,"suffix":""},{"dropping-particle":"","family":"Nicolas","given":"Gaëlle","non-dropping-particle":"","parse-names":false,"suffix":""},{"dropping-particle":"","family":"Cinardi","given":"Giusepina","non-dropping-particle":"","parse-names":false,"suffix":""},{"dropping-particle":"","family":"Boeckel","given":"Thomas P.","non-dropping-particle":"Van","parse-names":false,"suffix":""},{"dropping-particle":"","family":"Vanwambeke","given":"Sophie O.","non-dropping-particle":"","parse-names":false,"suffix":""},{"dropping-particle":"","family":"Wint","given":"G. R.William","non-dropping-particle":"","parse-names":false,"suffix":""},{"dropping-particle":"","family":"Robinson","given":"Timothy P.","non-dropping-particle":"","parse-names":false,"suffix":""}],"container-title":"Scientific Data","id":"ITEM-1","issued":{"date-parts":[["2018"]]},"page":"1-11","publisher":"The Author(s)","title":"Global distribution data for cattle, buffaloes, horses, sheep, goats, pigs, chickens and ducks in 2010","type":"article-journal","volume":"5"},"uris":["http://www.mendeley.com/documents/?uuid=98315148-0e10-4711-9f11-3dc228713b61"]}],"mendeley":{"formattedCitation":"(Gilbert et al., 2018)","plainTextFormattedCitation":"(Gilbert et al., 2018)","previouslyFormattedCitation":"(Gilbert et al., 2018)"},"properties":{"noteIndex":0},"schema":"https://github.com/citation-style-language/schema/raw/master/csl-citation.json"}</w:instrText>
      </w:r>
      <w:r w:rsidRPr="001923D7">
        <w:rPr>
          <w:color w:val="000000"/>
        </w:rPr>
        <w:fldChar w:fldCharType="separate"/>
      </w:r>
      <w:r w:rsidRPr="001923D7">
        <w:rPr>
          <w:noProof/>
          <w:color w:val="000000"/>
        </w:rPr>
        <w:t>(Gilbert et al., 2018)</w:t>
      </w:r>
      <w:r w:rsidRPr="001923D7">
        <w:rPr>
          <w:color w:val="000000"/>
        </w:rPr>
        <w:fldChar w:fldCharType="end"/>
      </w:r>
      <w:r w:rsidRPr="001923D7">
        <w:rPr>
          <w:color w:val="000000"/>
        </w:rPr>
        <w:t xml:space="preserve"> and reclassified into three classes same as the ones used in the grassland system. The nitrogen application rate was calculated based on both inorganic fertilizer input, manure input in the cropland, deposited by grazing animals. It was regrouped into the three classes (&lt;50 kgN/ha, 50-150 kgN/ha, and &gt;150 kgN/ha). LSU was used as the primary indicator and nitrogen was the secondary indicator. </w:t>
      </w:r>
      <w:r w:rsidRPr="001923D7">
        <w:t xml:space="preserve">If </w:t>
      </w:r>
      <w:r w:rsidRPr="001923D7">
        <w:rPr>
          <w:color w:val="000000"/>
        </w:rPr>
        <w:t>an agricultural mosaic was in the low LSU class and low to medium nitrogen input, it fell in the low-intensity agricultural mosaic subdivision. But if this pixel was with a high nitrogen input, it would be classified as medium-intensity agricultural mosaic (</w:t>
      </w:r>
      <w:r w:rsidRPr="0056187F">
        <w:rPr>
          <w:color w:val="000000"/>
        </w:rPr>
        <w:t>Figure S7</w:t>
      </w:r>
      <w:r w:rsidRPr="001923D7">
        <w:rPr>
          <w:color w:val="000000"/>
        </w:rPr>
        <w:t xml:space="preserve">). </w:t>
      </w:r>
    </w:p>
    <w:p w:rsidR="00666700" w:rsidRDefault="00666700" w:rsidP="00666700">
      <w:pPr>
        <w:pBdr>
          <w:top w:val="nil"/>
          <w:left w:val="nil"/>
          <w:bottom w:val="nil"/>
          <w:right w:val="nil"/>
          <w:between w:val="nil"/>
        </w:pBdr>
        <w:ind w:firstLine="709"/>
      </w:pPr>
      <w:r w:rsidRPr="001923D7">
        <w:t xml:space="preserve">The forest/shrub mosaics include mixed land cover types with some portion of forest/shrubs. Forest and shrubs were combined as one in the mosaic systems, for their similarity serving as habitat in a mosaic land system. Small groups were assembled into the next group that are most resembling their land cover composition. In total, four mosaic systems with forest/shrubs were defined: forest/shrub and cropland, forest/shrub and grassland, forest/shrub and bare land, forest/shrub and mixed agricultural land. </w:t>
      </w:r>
    </w:p>
    <w:p w:rsidR="000573BF" w:rsidRPr="005F0D93" w:rsidRDefault="000573BF" w:rsidP="000573BF">
      <w:pPr>
        <w:pStyle w:val="Heading2"/>
        <w:rPr>
          <w:rFonts w:ascii="Times New Roman" w:hAnsi="Times New Roman"/>
          <w:b/>
          <w:i/>
          <w:color w:val="auto"/>
          <w:sz w:val="24"/>
          <w:highlight w:val="yellow"/>
          <w:lang w:val="en-GB"/>
        </w:rPr>
      </w:pPr>
      <w:bookmarkStart w:id="10" w:name="_Toc60758350"/>
      <w:r w:rsidRPr="005F0D93">
        <w:rPr>
          <w:rFonts w:ascii="Times New Roman" w:hAnsi="Times New Roman"/>
          <w:b/>
          <w:i/>
          <w:color w:val="auto"/>
          <w:sz w:val="24"/>
          <w:highlight w:val="yellow"/>
          <w:lang w:val="en-GB"/>
        </w:rPr>
        <w:t>Forest fragmentation</w:t>
      </w:r>
      <w:bookmarkEnd w:id="10"/>
    </w:p>
    <w:p w:rsidR="0050514A" w:rsidRPr="005F0D93" w:rsidRDefault="003B67DC" w:rsidP="0050514A">
      <w:pPr>
        <w:pBdr>
          <w:top w:val="nil"/>
          <w:left w:val="nil"/>
          <w:bottom w:val="nil"/>
          <w:right w:val="nil"/>
          <w:between w:val="nil"/>
        </w:pBdr>
        <w:ind w:firstLine="709"/>
        <w:rPr>
          <w:highlight w:val="yellow"/>
          <w:lang w:val="en-GB"/>
        </w:rPr>
      </w:pPr>
      <w:r w:rsidRPr="005F0D93">
        <w:rPr>
          <w:highlight w:val="yellow"/>
          <w:lang w:val="en-GB"/>
        </w:rPr>
        <w:t>The mosaics systems in our land systems classifications already contain certain</w:t>
      </w:r>
      <w:r w:rsidR="0050514A" w:rsidRPr="005F0D93">
        <w:rPr>
          <w:highlight w:val="yellow"/>
          <w:lang w:val="en-GB"/>
        </w:rPr>
        <w:t xml:space="preserve"> landscape ecology information, </w:t>
      </w:r>
      <w:r w:rsidRPr="005F0D93">
        <w:rPr>
          <w:highlight w:val="yellow"/>
          <w:lang w:val="en-GB"/>
        </w:rPr>
        <w:t>for which land cover diversity and fragme</w:t>
      </w:r>
      <w:r w:rsidR="0050514A" w:rsidRPr="005F0D93">
        <w:rPr>
          <w:highlight w:val="yellow"/>
          <w:lang w:val="en-GB"/>
        </w:rPr>
        <w:t>ntation is represented as sub-pixel information</w:t>
      </w:r>
      <w:r w:rsidRPr="005F0D93">
        <w:rPr>
          <w:highlight w:val="yellow"/>
          <w:lang w:val="en-GB"/>
        </w:rPr>
        <w:t xml:space="preserve">. Besides this, we used fragmentation of </w:t>
      </w:r>
      <w:r w:rsidR="0050514A" w:rsidRPr="005F0D93">
        <w:rPr>
          <w:highlight w:val="yellow"/>
          <w:lang w:val="en-GB"/>
        </w:rPr>
        <w:t>forest pixel</w:t>
      </w:r>
      <w:r w:rsidRPr="005F0D93">
        <w:rPr>
          <w:highlight w:val="yellow"/>
          <w:lang w:val="en-GB"/>
        </w:rPr>
        <w:t xml:space="preserve">s as a </w:t>
      </w:r>
      <w:r w:rsidR="00011ABF" w:rsidRPr="005F0D93">
        <w:rPr>
          <w:highlight w:val="yellow"/>
          <w:lang w:val="en-GB"/>
        </w:rPr>
        <w:t xml:space="preserve">spatial-context and </w:t>
      </w:r>
      <w:r w:rsidRPr="005F0D93">
        <w:rPr>
          <w:highlight w:val="yellow"/>
          <w:lang w:val="en-GB"/>
        </w:rPr>
        <w:t xml:space="preserve">structure-focused </w:t>
      </w:r>
      <w:r w:rsidR="0050514A" w:rsidRPr="005F0D93">
        <w:rPr>
          <w:highlight w:val="yellow"/>
          <w:lang w:val="en-GB"/>
        </w:rPr>
        <w:t>landscape characteristic, and conducted a M</w:t>
      </w:r>
      <w:r w:rsidR="00011ABF" w:rsidRPr="005F0D93">
        <w:rPr>
          <w:highlight w:val="yellow"/>
          <w:lang w:val="en-GB"/>
        </w:rPr>
        <w:t>axent species distribution mode</w:t>
      </w:r>
      <w:r w:rsidR="0050514A" w:rsidRPr="005F0D93">
        <w:rPr>
          <w:highlight w:val="yellow"/>
          <w:lang w:val="en-GB"/>
        </w:rPr>
        <w:t>l</w:t>
      </w:r>
      <w:r w:rsidR="00011ABF" w:rsidRPr="005F0D93">
        <w:rPr>
          <w:highlight w:val="yellow"/>
          <w:lang w:val="en-GB"/>
        </w:rPr>
        <w:t>i</w:t>
      </w:r>
      <w:r w:rsidR="0050514A" w:rsidRPr="005F0D93">
        <w:rPr>
          <w:highlight w:val="yellow"/>
          <w:lang w:val="en-GB"/>
        </w:rPr>
        <w:t>ng analysis</w:t>
      </w:r>
      <w:r w:rsidRPr="005F0D93">
        <w:rPr>
          <w:highlight w:val="yellow"/>
          <w:lang w:val="en-GB"/>
        </w:rPr>
        <w:t xml:space="preserve">. </w:t>
      </w:r>
    </w:p>
    <w:p w:rsidR="00610C57" w:rsidRDefault="000573BF" w:rsidP="0050514A">
      <w:pPr>
        <w:pBdr>
          <w:top w:val="nil"/>
          <w:left w:val="nil"/>
          <w:bottom w:val="nil"/>
          <w:right w:val="nil"/>
          <w:between w:val="nil"/>
        </w:pBdr>
        <w:ind w:firstLine="709"/>
      </w:pPr>
      <w:r w:rsidRPr="005F0D93">
        <w:rPr>
          <w:highlight w:val="yellow"/>
        </w:rPr>
        <w:t>We created a 3×3 km fishnet and co</w:t>
      </w:r>
      <w:r w:rsidR="00C854DA" w:rsidRPr="005F0D93">
        <w:rPr>
          <w:highlight w:val="yellow"/>
        </w:rPr>
        <w:t>unted the number of forest pixels</w:t>
      </w:r>
      <w:r w:rsidRPr="005F0D93">
        <w:rPr>
          <w:highlight w:val="yellow"/>
        </w:rPr>
        <w:t xml:space="preserve"> in </w:t>
      </w:r>
      <w:r w:rsidR="00C854DA" w:rsidRPr="005F0D93">
        <w:rPr>
          <w:highlight w:val="yellow"/>
        </w:rPr>
        <w:t>every</w:t>
      </w:r>
      <w:r w:rsidRPr="005F0D93">
        <w:rPr>
          <w:highlight w:val="yellow"/>
        </w:rPr>
        <w:t xml:space="preserve"> fishnet</w:t>
      </w:r>
      <w:r w:rsidR="00C854DA" w:rsidRPr="005F0D93">
        <w:rPr>
          <w:highlight w:val="yellow"/>
        </w:rPr>
        <w:t xml:space="preserve"> grid</w:t>
      </w:r>
      <w:r w:rsidRPr="005F0D93">
        <w:rPr>
          <w:highlight w:val="yellow"/>
        </w:rPr>
        <w:t xml:space="preserve">. If there </w:t>
      </w:r>
      <w:r w:rsidR="00C854DA" w:rsidRPr="005F0D93">
        <w:rPr>
          <w:highlight w:val="yellow"/>
        </w:rPr>
        <w:t>were</w:t>
      </w:r>
      <w:r w:rsidRPr="005F0D93">
        <w:rPr>
          <w:highlight w:val="yellow"/>
        </w:rPr>
        <w:t xml:space="preserve"> more than five (including five) pixels as forest (i.e., all intensity levels), we classified these forest pixels as non-fragment. </w:t>
      </w:r>
      <w:r w:rsidR="00610C57" w:rsidRPr="005F0D93">
        <w:rPr>
          <w:highlight w:val="yellow"/>
        </w:rPr>
        <w:t xml:space="preserve">To reduce the sensitivity </w:t>
      </w:r>
      <w:r w:rsidR="00B331CE" w:rsidRPr="005F0D93">
        <w:rPr>
          <w:highlight w:val="yellow"/>
        </w:rPr>
        <w:t xml:space="preserve">on forest edges </w:t>
      </w:r>
      <w:r w:rsidR="00610C57" w:rsidRPr="005F0D93">
        <w:rPr>
          <w:highlight w:val="yellow"/>
        </w:rPr>
        <w:t xml:space="preserve">caused by the shape of fishnet, we moved the </w:t>
      </w:r>
      <w:r w:rsidR="0050514A" w:rsidRPr="005F0D93">
        <w:rPr>
          <w:highlight w:val="yellow"/>
        </w:rPr>
        <w:t>left top corner</w:t>
      </w:r>
      <w:r w:rsidR="00610C57" w:rsidRPr="005F0D93">
        <w:rPr>
          <w:highlight w:val="yellow"/>
        </w:rPr>
        <w:t xml:space="preserve"> of the fishnet </w:t>
      </w:r>
      <w:r w:rsidR="00C854DA" w:rsidRPr="005F0D93">
        <w:rPr>
          <w:highlight w:val="yellow"/>
        </w:rPr>
        <w:t>over one pixel diagonally three times</w:t>
      </w:r>
      <w:r w:rsidR="00610C57" w:rsidRPr="005F0D93">
        <w:rPr>
          <w:highlight w:val="yellow"/>
        </w:rPr>
        <w:t xml:space="preserve">, and conducted the fragmentation count for </w:t>
      </w:r>
      <w:r w:rsidR="00C854DA" w:rsidRPr="005F0D93">
        <w:rPr>
          <w:highlight w:val="yellow"/>
        </w:rPr>
        <w:t>all three</w:t>
      </w:r>
      <w:r w:rsidR="00610C57" w:rsidRPr="005F0D93">
        <w:rPr>
          <w:highlight w:val="yellow"/>
        </w:rPr>
        <w:t xml:space="preserve"> fishnet</w:t>
      </w:r>
      <w:r w:rsidR="00C854DA" w:rsidRPr="005F0D93">
        <w:rPr>
          <w:highlight w:val="yellow"/>
        </w:rPr>
        <w:t>s</w:t>
      </w:r>
      <w:r w:rsidR="00610C57" w:rsidRPr="005F0D93">
        <w:rPr>
          <w:highlight w:val="yellow"/>
        </w:rPr>
        <w:t xml:space="preserve">. The final fragmentation classification was the result of the three fishnets combined. If one forest pixel was classified as non-fragmented in </w:t>
      </w:r>
      <w:r w:rsidR="0050514A" w:rsidRPr="005F0D93">
        <w:rPr>
          <w:highlight w:val="yellow"/>
        </w:rPr>
        <w:t>any</w:t>
      </w:r>
      <w:r w:rsidR="00610C57" w:rsidRPr="005F0D93">
        <w:rPr>
          <w:highlight w:val="yellow"/>
        </w:rPr>
        <w:t xml:space="preserve"> fishnet then it was non-fragmented. </w:t>
      </w:r>
      <w:r w:rsidR="00B331CE" w:rsidRPr="005F0D93">
        <w:rPr>
          <w:highlight w:val="yellow"/>
        </w:rPr>
        <w:t>To test the sensitivity we also changed the thresholds from five to four.</w:t>
      </w:r>
      <w:r w:rsidR="00B331CE">
        <w:t xml:space="preserve"> </w:t>
      </w:r>
    </w:p>
    <w:p w:rsidR="000573BF" w:rsidRDefault="000573BF" w:rsidP="00666700">
      <w:pPr>
        <w:pBdr>
          <w:top w:val="nil"/>
          <w:left w:val="nil"/>
          <w:bottom w:val="nil"/>
          <w:right w:val="nil"/>
          <w:between w:val="nil"/>
        </w:pBdr>
        <w:ind w:firstLine="709"/>
      </w:pPr>
      <w:r>
        <w:t xml:space="preserve">  </w:t>
      </w:r>
    </w:p>
    <w:p w:rsidR="002069D7" w:rsidRDefault="002069D7" w:rsidP="002069D7">
      <w:pPr>
        <w:pStyle w:val="SMHeading"/>
        <w:rPr>
          <w:lang w:val="en-GB"/>
        </w:rPr>
      </w:pPr>
      <w:bookmarkStart w:id="11" w:name="_Toc60758351"/>
      <w:r>
        <w:rPr>
          <w:lang w:val="en-GB"/>
        </w:rPr>
        <w:t>Selection of species</w:t>
      </w:r>
      <w:bookmarkEnd w:id="11"/>
    </w:p>
    <w:p w:rsidR="002069D7" w:rsidRPr="002069D7" w:rsidRDefault="002069D7" w:rsidP="002069D7">
      <w:pPr>
        <w:pStyle w:val="Heading2"/>
        <w:rPr>
          <w:rFonts w:ascii="Times New Roman" w:hAnsi="Times New Roman"/>
          <w:b/>
          <w:i/>
          <w:color w:val="auto"/>
          <w:sz w:val="24"/>
          <w:lang w:val="en-GB"/>
        </w:rPr>
      </w:pPr>
      <w:bookmarkStart w:id="12" w:name="_Toc60758352"/>
      <w:r w:rsidRPr="002069D7">
        <w:rPr>
          <w:rFonts w:ascii="Times New Roman" w:hAnsi="Times New Roman"/>
          <w:b/>
          <w:i/>
          <w:color w:val="auto"/>
          <w:sz w:val="24"/>
          <w:lang w:val="en-GB"/>
        </w:rPr>
        <w:t xml:space="preserve">Group A: species </w:t>
      </w:r>
      <w:r w:rsidR="00A753F8">
        <w:rPr>
          <w:rFonts w:ascii="Times New Roman" w:hAnsi="Times New Roman"/>
          <w:b/>
          <w:i/>
          <w:color w:val="auto"/>
          <w:sz w:val="24"/>
          <w:lang w:val="en-GB"/>
        </w:rPr>
        <w:t>sensitive</w:t>
      </w:r>
      <w:r w:rsidR="00A753F8" w:rsidRPr="002069D7">
        <w:rPr>
          <w:rFonts w:ascii="Times New Roman" w:hAnsi="Times New Roman"/>
          <w:b/>
          <w:i/>
          <w:color w:val="auto"/>
          <w:sz w:val="24"/>
          <w:lang w:val="en-GB"/>
        </w:rPr>
        <w:t xml:space="preserve"> </w:t>
      </w:r>
      <w:r w:rsidRPr="002069D7">
        <w:rPr>
          <w:rFonts w:ascii="Times New Roman" w:hAnsi="Times New Roman"/>
          <w:b/>
          <w:i/>
          <w:color w:val="auto"/>
          <w:sz w:val="24"/>
          <w:lang w:val="en-GB"/>
        </w:rPr>
        <w:t>to forest management</w:t>
      </w:r>
      <w:bookmarkEnd w:id="12"/>
    </w:p>
    <w:p w:rsidR="002069D7" w:rsidRDefault="002069D7" w:rsidP="002069D7">
      <w:pPr>
        <w:ind w:left="708"/>
        <w:rPr>
          <w:szCs w:val="24"/>
        </w:rPr>
      </w:pPr>
      <w:r w:rsidRPr="008846AE">
        <w:rPr>
          <w:bCs/>
          <w:i/>
          <w:szCs w:val="24"/>
        </w:rPr>
        <w:t>Columba oenas</w:t>
      </w:r>
      <w:r w:rsidRPr="002069D7">
        <w:rPr>
          <w:bCs/>
          <w:szCs w:val="24"/>
        </w:rPr>
        <w:t xml:space="preserve">, </w:t>
      </w:r>
      <w:r w:rsidRPr="002069D7">
        <w:rPr>
          <w:szCs w:val="24"/>
        </w:rPr>
        <w:t>Migratory, breeding period: April-October (416 total obs.; 300 cleaned obs.)</w:t>
      </w:r>
    </w:p>
    <w:p w:rsidR="00DD3527" w:rsidRPr="002069D7" w:rsidRDefault="00DD3527" w:rsidP="00DD3527">
      <w:pPr>
        <w:ind w:left="708"/>
        <w:rPr>
          <w:szCs w:val="24"/>
        </w:rPr>
      </w:pPr>
      <w:r w:rsidRPr="008846AE">
        <w:rPr>
          <w:bCs/>
          <w:i/>
          <w:szCs w:val="24"/>
        </w:rPr>
        <w:t>Dendrocopos major</w:t>
      </w:r>
      <w:r w:rsidRPr="002069D7">
        <w:rPr>
          <w:bCs/>
          <w:szCs w:val="24"/>
        </w:rPr>
        <w:t xml:space="preserve">, </w:t>
      </w:r>
      <w:r w:rsidRPr="002069D7">
        <w:rPr>
          <w:szCs w:val="24"/>
        </w:rPr>
        <w:t>Resident, breeding period: April-June (3637 total observations; 2727 cleaned obs.)</w:t>
      </w:r>
    </w:p>
    <w:p w:rsidR="00DD3527" w:rsidRPr="002069D7" w:rsidRDefault="00DD3527" w:rsidP="002069D7">
      <w:pPr>
        <w:ind w:left="708"/>
        <w:rPr>
          <w:szCs w:val="24"/>
        </w:rPr>
      </w:pPr>
    </w:p>
    <w:p w:rsidR="002069D7" w:rsidRPr="002069D7" w:rsidRDefault="002069D7" w:rsidP="002069D7">
      <w:pPr>
        <w:ind w:left="708"/>
        <w:rPr>
          <w:szCs w:val="24"/>
        </w:rPr>
      </w:pPr>
      <w:r w:rsidRPr="008846AE">
        <w:rPr>
          <w:bCs/>
          <w:i/>
          <w:szCs w:val="24"/>
        </w:rPr>
        <w:t>Lophophanes cristatus</w:t>
      </w:r>
      <w:r w:rsidRPr="002069D7">
        <w:rPr>
          <w:bCs/>
          <w:szCs w:val="24"/>
        </w:rPr>
        <w:t xml:space="preserve">, </w:t>
      </w:r>
      <w:r w:rsidRPr="002069D7">
        <w:rPr>
          <w:szCs w:val="24"/>
        </w:rPr>
        <w:t>Resident, breeding period: March-June (314 total obs; 271 cleaned obs.)</w:t>
      </w:r>
    </w:p>
    <w:p w:rsidR="002069D7" w:rsidRPr="002069D7" w:rsidRDefault="002069D7" w:rsidP="002069D7">
      <w:pPr>
        <w:pStyle w:val="Heading2"/>
        <w:rPr>
          <w:rFonts w:ascii="Times New Roman" w:hAnsi="Times New Roman"/>
          <w:b/>
          <w:i/>
          <w:color w:val="auto"/>
          <w:sz w:val="24"/>
          <w:lang w:val="en-GB"/>
        </w:rPr>
      </w:pPr>
      <w:bookmarkStart w:id="13" w:name="_Toc60758353"/>
      <w:r w:rsidRPr="002069D7">
        <w:rPr>
          <w:rFonts w:ascii="Times New Roman" w:hAnsi="Times New Roman"/>
          <w:b/>
          <w:i/>
          <w:color w:val="auto"/>
          <w:sz w:val="24"/>
          <w:lang w:val="en-GB"/>
        </w:rPr>
        <w:t xml:space="preserve">Group B: species </w:t>
      </w:r>
      <w:r w:rsidR="00A753F8">
        <w:rPr>
          <w:rFonts w:ascii="Times New Roman" w:hAnsi="Times New Roman"/>
          <w:b/>
          <w:i/>
          <w:color w:val="auto"/>
          <w:sz w:val="24"/>
          <w:lang w:val="en-GB"/>
        </w:rPr>
        <w:t>sensitive</w:t>
      </w:r>
      <w:r w:rsidRPr="002069D7">
        <w:rPr>
          <w:rFonts w:ascii="Times New Roman" w:hAnsi="Times New Roman"/>
          <w:b/>
          <w:i/>
          <w:color w:val="auto"/>
          <w:sz w:val="24"/>
          <w:lang w:val="en-GB"/>
        </w:rPr>
        <w:t xml:space="preserve"> to agricultural land</w:t>
      </w:r>
      <w:r w:rsidR="00A753F8">
        <w:rPr>
          <w:rFonts w:ascii="Times New Roman" w:hAnsi="Times New Roman"/>
          <w:b/>
          <w:i/>
          <w:color w:val="auto"/>
          <w:sz w:val="24"/>
          <w:lang w:val="en-GB"/>
        </w:rPr>
        <w:t xml:space="preserve"> </w:t>
      </w:r>
      <w:r w:rsidRPr="002069D7">
        <w:rPr>
          <w:rFonts w:ascii="Times New Roman" w:hAnsi="Times New Roman"/>
          <w:b/>
          <w:i/>
          <w:color w:val="auto"/>
          <w:sz w:val="24"/>
          <w:lang w:val="en-GB"/>
        </w:rPr>
        <w:t>use intensity</w:t>
      </w:r>
      <w:bookmarkEnd w:id="13"/>
    </w:p>
    <w:p w:rsidR="002069D7" w:rsidRPr="002069D7" w:rsidRDefault="002069D7" w:rsidP="002069D7">
      <w:pPr>
        <w:ind w:left="708"/>
        <w:rPr>
          <w:szCs w:val="24"/>
        </w:rPr>
      </w:pPr>
      <w:r w:rsidRPr="008846AE">
        <w:rPr>
          <w:bCs/>
          <w:i/>
          <w:szCs w:val="24"/>
        </w:rPr>
        <w:t>Alauda arvensis</w:t>
      </w:r>
      <w:r w:rsidRPr="002069D7">
        <w:rPr>
          <w:bCs/>
          <w:szCs w:val="24"/>
        </w:rPr>
        <w:t xml:space="preserve">, </w:t>
      </w:r>
      <w:r w:rsidRPr="002069D7">
        <w:rPr>
          <w:szCs w:val="24"/>
        </w:rPr>
        <w:t>Resident, breeding period: April-July (1231 total obs.; 805 cleaned obs.)</w:t>
      </w:r>
    </w:p>
    <w:p w:rsidR="002069D7" w:rsidRPr="002069D7" w:rsidRDefault="002069D7" w:rsidP="002069D7">
      <w:pPr>
        <w:ind w:left="708"/>
        <w:rPr>
          <w:szCs w:val="24"/>
        </w:rPr>
      </w:pPr>
      <w:r w:rsidRPr="008846AE">
        <w:rPr>
          <w:bCs/>
          <w:i/>
          <w:szCs w:val="24"/>
        </w:rPr>
        <w:t>Motacilla flava</w:t>
      </w:r>
      <w:r w:rsidRPr="002069D7">
        <w:rPr>
          <w:bCs/>
          <w:szCs w:val="24"/>
        </w:rPr>
        <w:t xml:space="preserve">, </w:t>
      </w:r>
      <w:r w:rsidRPr="002069D7">
        <w:rPr>
          <w:szCs w:val="24"/>
        </w:rPr>
        <w:t>Migratory, breeding period: April-August (2081 total obs.; 693 cleaned obs.)</w:t>
      </w:r>
    </w:p>
    <w:p w:rsidR="002069D7" w:rsidRPr="002069D7" w:rsidRDefault="002069D7" w:rsidP="002069D7">
      <w:pPr>
        <w:ind w:left="708"/>
        <w:rPr>
          <w:szCs w:val="24"/>
        </w:rPr>
      </w:pPr>
      <w:r w:rsidRPr="008846AE">
        <w:rPr>
          <w:bCs/>
          <w:i/>
          <w:szCs w:val="24"/>
        </w:rPr>
        <w:t>Tyto alba</w:t>
      </w:r>
      <w:r w:rsidRPr="002069D7">
        <w:rPr>
          <w:bCs/>
          <w:szCs w:val="24"/>
        </w:rPr>
        <w:t xml:space="preserve">, </w:t>
      </w:r>
      <w:r w:rsidRPr="002069D7">
        <w:rPr>
          <w:szCs w:val="24"/>
        </w:rPr>
        <w:t>Resident, breeding period: February-November (407 total obs., 365 cleaned obs.)</w:t>
      </w:r>
    </w:p>
    <w:p w:rsidR="002069D7" w:rsidRPr="002069D7" w:rsidRDefault="002069D7" w:rsidP="002069D7">
      <w:pPr>
        <w:pStyle w:val="Heading2"/>
        <w:rPr>
          <w:rFonts w:ascii="Times New Roman" w:hAnsi="Times New Roman"/>
          <w:b/>
          <w:i/>
          <w:color w:val="auto"/>
          <w:sz w:val="24"/>
          <w:lang w:val="en-GB"/>
        </w:rPr>
      </w:pPr>
      <w:bookmarkStart w:id="14" w:name="_Toc60758354"/>
      <w:r w:rsidRPr="002069D7">
        <w:rPr>
          <w:rFonts w:ascii="Times New Roman" w:hAnsi="Times New Roman"/>
          <w:b/>
          <w:i/>
          <w:color w:val="auto"/>
          <w:sz w:val="24"/>
          <w:lang w:val="en-GB"/>
        </w:rPr>
        <w:t>Group C: generalist species</w:t>
      </w:r>
      <w:bookmarkEnd w:id="14"/>
    </w:p>
    <w:p w:rsidR="002069D7" w:rsidRPr="002069D7" w:rsidRDefault="002069D7" w:rsidP="002069D7">
      <w:pPr>
        <w:ind w:left="708"/>
        <w:rPr>
          <w:szCs w:val="24"/>
        </w:rPr>
      </w:pPr>
      <w:r w:rsidRPr="008846AE">
        <w:rPr>
          <w:bCs/>
          <w:i/>
          <w:szCs w:val="24"/>
        </w:rPr>
        <w:t>Corvus corax</w:t>
      </w:r>
      <w:r w:rsidRPr="002069D7">
        <w:rPr>
          <w:bCs/>
          <w:szCs w:val="24"/>
        </w:rPr>
        <w:t xml:space="preserve">, </w:t>
      </w:r>
      <w:r w:rsidRPr="002069D7">
        <w:rPr>
          <w:szCs w:val="24"/>
        </w:rPr>
        <w:t>Resident, breeding period: February-June (1656 total obs,; 769 cleaned obs.)</w:t>
      </w:r>
    </w:p>
    <w:p w:rsidR="002069D7" w:rsidRPr="002069D7" w:rsidRDefault="002069D7" w:rsidP="002069D7">
      <w:pPr>
        <w:ind w:left="708"/>
        <w:rPr>
          <w:szCs w:val="24"/>
        </w:rPr>
      </w:pPr>
      <w:r w:rsidRPr="008846AE">
        <w:rPr>
          <w:bCs/>
          <w:i/>
          <w:szCs w:val="24"/>
        </w:rPr>
        <w:t>Hirundo rustica</w:t>
      </w:r>
      <w:r w:rsidRPr="002069D7">
        <w:rPr>
          <w:bCs/>
          <w:szCs w:val="24"/>
        </w:rPr>
        <w:t xml:space="preserve">, </w:t>
      </w:r>
      <w:r w:rsidRPr="002069D7">
        <w:rPr>
          <w:szCs w:val="24"/>
        </w:rPr>
        <w:t>Migratory, breeding period: May-August (4445 total obs.; 3446 cleaned obs.)</w:t>
      </w:r>
    </w:p>
    <w:p w:rsidR="002069D7" w:rsidRPr="002069D7" w:rsidRDefault="002069D7" w:rsidP="002069D7">
      <w:pPr>
        <w:ind w:left="708"/>
        <w:rPr>
          <w:szCs w:val="24"/>
        </w:rPr>
      </w:pPr>
      <w:r w:rsidRPr="008846AE">
        <w:rPr>
          <w:bCs/>
          <w:i/>
          <w:szCs w:val="24"/>
        </w:rPr>
        <w:t>Phoenicurus phoenicurus</w:t>
      </w:r>
      <w:r w:rsidRPr="002069D7">
        <w:rPr>
          <w:bCs/>
          <w:szCs w:val="24"/>
        </w:rPr>
        <w:t xml:space="preserve">, </w:t>
      </w:r>
      <w:r w:rsidRPr="002069D7">
        <w:rPr>
          <w:szCs w:val="24"/>
        </w:rPr>
        <w:t>Migratory, breeding period: April-July (2067 total obs.; 1389 cleaned obs.)</w:t>
      </w:r>
    </w:p>
    <w:p w:rsidR="007E0F0A" w:rsidRDefault="007E0F0A" w:rsidP="007E0F0A">
      <w:pPr>
        <w:rPr>
          <w:rStyle w:val="Hyperlink"/>
          <w:szCs w:val="24"/>
        </w:rPr>
      </w:pPr>
      <w:r w:rsidRPr="006D19DB">
        <w:rPr>
          <w:szCs w:val="24"/>
        </w:rPr>
        <w:t xml:space="preserve">Reference for breeding period, distribution and ecology: S. M. Billerman, B. K. Keeney, P. G. Rodewald, and T. S. Schulenberg (Editors) (2020). Birds of the World. Cornell Laboratory of Ornithology, Ithaca, NY, USA. </w:t>
      </w:r>
      <w:hyperlink r:id="rId10" w:history="1">
        <w:r w:rsidRPr="006D19DB">
          <w:rPr>
            <w:rStyle w:val="Hyperlink"/>
            <w:szCs w:val="24"/>
          </w:rPr>
          <w:t>https://birdsoftheworld.org/bow/home</w:t>
        </w:r>
      </w:hyperlink>
    </w:p>
    <w:p w:rsidR="00557C88" w:rsidRPr="005F0D93" w:rsidRDefault="00557C88" w:rsidP="00557C88">
      <w:pPr>
        <w:pStyle w:val="SMHeading"/>
        <w:rPr>
          <w:highlight w:val="yellow"/>
          <w:lang w:val="en-GB"/>
        </w:rPr>
      </w:pPr>
      <w:bookmarkStart w:id="15" w:name="_Toc60758355"/>
      <w:r w:rsidRPr="005F0D93">
        <w:rPr>
          <w:highlight w:val="yellow"/>
          <w:lang w:val="en-GB"/>
        </w:rPr>
        <w:t>Maxent parameter setting</w:t>
      </w:r>
      <w:bookmarkEnd w:id="15"/>
    </w:p>
    <w:p w:rsidR="00557C88" w:rsidRPr="005F0D93" w:rsidRDefault="0061197A" w:rsidP="00047223">
      <w:pPr>
        <w:ind w:firstLine="709"/>
        <w:rPr>
          <w:szCs w:val="24"/>
          <w:highlight w:val="yellow"/>
        </w:rPr>
      </w:pPr>
      <w:r w:rsidRPr="005F0D93">
        <w:rPr>
          <w:szCs w:val="24"/>
          <w:highlight w:val="yellow"/>
        </w:rPr>
        <w:t xml:space="preserve">Maxent is a commonly used species distribution </w:t>
      </w:r>
      <w:r w:rsidR="00011ABF" w:rsidRPr="005F0D93">
        <w:rPr>
          <w:szCs w:val="24"/>
          <w:highlight w:val="yellow"/>
        </w:rPr>
        <w:t>model which is</w:t>
      </w:r>
      <w:r w:rsidR="003702C3" w:rsidRPr="005F0D93">
        <w:rPr>
          <w:szCs w:val="24"/>
          <w:highlight w:val="yellow"/>
        </w:rPr>
        <w:t xml:space="preserve"> </w:t>
      </w:r>
      <w:r w:rsidR="00011ABF" w:rsidRPr="005F0D93">
        <w:rPr>
          <w:szCs w:val="24"/>
          <w:highlight w:val="yellow"/>
        </w:rPr>
        <w:t xml:space="preserve">based on </w:t>
      </w:r>
      <w:r w:rsidR="003702C3" w:rsidRPr="005F0D93">
        <w:rPr>
          <w:szCs w:val="24"/>
          <w:highlight w:val="yellow"/>
        </w:rPr>
        <w:t>the concept of maximum entropy where a species is found at locations with the least variability given environmental constraints. Maxent is also included in the ensemble of SDMs. We used Maxent to demonstrate the effect of including forest fragmentation</w:t>
      </w:r>
      <w:r w:rsidR="0050514A" w:rsidRPr="005F0D93">
        <w:rPr>
          <w:szCs w:val="24"/>
          <w:highlight w:val="yellow"/>
        </w:rPr>
        <w:t xml:space="preserve"> as additional attribute of the land system map</w:t>
      </w:r>
      <w:r w:rsidR="00011ABF" w:rsidRPr="005F0D93">
        <w:rPr>
          <w:szCs w:val="24"/>
          <w:highlight w:val="yellow"/>
        </w:rPr>
        <w:t>.</w:t>
      </w:r>
      <w:r w:rsidR="009F3A64" w:rsidRPr="005F0D93">
        <w:rPr>
          <w:szCs w:val="24"/>
          <w:highlight w:val="yellow"/>
        </w:rPr>
        <w:t xml:space="preserve"> The predictive ability of the models is measured by AUC (area under receiver operating characteristic curve) and the variable contribution is the relative contribution of the environmental variables to the predicting model.</w:t>
      </w:r>
      <w:r w:rsidR="00011ABF" w:rsidRPr="005F0D93">
        <w:rPr>
          <w:szCs w:val="24"/>
          <w:highlight w:val="yellow"/>
        </w:rPr>
        <w:t xml:space="preserve"> </w:t>
      </w:r>
      <w:r w:rsidR="009F3A64" w:rsidRPr="005F0D93">
        <w:rPr>
          <w:szCs w:val="24"/>
          <w:highlight w:val="yellow"/>
        </w:rPr>
        <w:t>In</w:t>
      </w:r>
      <w:r w:rsidR="003702C3" w:rsidRPr="005F0D93">
        <w:rPr>
          <w:szCs w:val="24"/>
          <w:highlight w:val="yellow"/>
        </w:rPr>
        <w:t xml:space="preserve"> the main text, we only reported the ensemble of SDMs on the compariso</w:t>
      </w:r>
      <w:r w:rsidR="0050514A" w:rsidRPr="005F0D93">
        <w:rPr>
          <w:szCs w:val="24"/>
          <w:highlight w:val="yellow"/>
        </w:rPr>
        <w:t>n of all land cover/system</w:t>
      </w:r>
      <w:r w:rsidR="003702C3" w:rsidRPr="005F0D93">
        <w:rPr>
          <w:szCs w:val="24"/>
          <w:highlight w:val="yellow"/>
        </w:rPr>
        <w:t xml:space="preserve"> maps</w:t>
      </w:r>
      <w:r w:rsidR="00011ABF" w:rsidRPr="005F0D93">
        <w:rPr>
          <w:szCs w:val="24"/>
          <w:highlight w:val="yellow"/>
        </w:rPr>
        <w:t xml:space="preserve"> without forest fragmentation attribute</w:t>
      </w:r>
      <w:r w:rsidR="003702C3" w:rsidRPr="005F0D93">
        <w:rPr>
          <w:szCs w:val="24"/>
          <w:highlight w:val="yellow"/>
        </w:rPr>
        <w:t>. The settings of the Maxent are in the following table</w:t>
      </w:r>
      <w:r w:rsidR="00011ABF" w:rsidRPr="005F0D93">
        <w:rPr>
          <w:szCs w:val="24"/>
          <w:highlight w:val="yellow"/>
        </w:rPr>
        <w:t xml:space="preserve"> (S1)</w:t>
      </w:r>
      <w:r w:rsidR="003702C3" w:rsidRPr="005F0D93">
        <w:rPr>
          <w:szCs w:val="24"/>
          <w:highlight w:val="yellow"/>
        </w:rPr>
        <w:t xml:space="preserve">. </w:t>
      </w:r>
    </w:p>
    <w:p w:rsidR="005417FE" w:rsidRPr="005F0D93" w:rsidRDefault="005417FE" w:rsidP="00047223">
      <w:pPr>
        <w:pStyle w:val="SMHeading"/>
        <w:jc w:val="center"/>
        <w:rPr>
          <w:highlight w:val="yellow"/>
          <w:lang w:val="en-GB"/>
        </w:rPr>
      </w:pPr>
      <w:bookmarkStart w:id="16" w:name="_Toc60758356"/>
      <w:r w:rsidRPr="005F0D93">
        <w:rPr>
          <w:highlight w:val="yellow"/>
          <w:lang w:val="en-GB"/>
        </w:rPr>
        <w:t>Table S</w:t>
      </w:r>
      <w:r w:rsidR="00047223" w:rsidRPr="005F0D93">
        <w:rPr>
          <w:highlight w:val="yellow"/>
          <w:lang w:val="en-GB"/>
        </w:rPr>
        <w:t>1</w:t>
      </w:r>
      <w:r w:rsidRPr="005F0D93">
        <w:rPr>
          <w:highlight w:val="yellow"/>
          <w:lang w:val="en-GB"/>
        </w:rPr>
        <w:t xml:space="preserve"> Maxent parameter setting</w:t>
      </w:r>
      <w:bookmarkEnd w:id="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702C3" w:rsidRPr="005F0D93" w:rsidTr="00C500E7">
        <w:tc>
          <w:tcPr>
            <w:tcW w:w="4508" w:type="dxa"/>
            <w:tcBorders>
              <w:top w:val="single" w:sz="12" w:space="0" w:color="auto"/>
              <w:bottom w:val="single" w:sz="12" w:space="0" w:color="auto"/>
            </w:tcBorders>
          </w:tcPr>
          <w:p w:rsidR="003702C3" w:rsidRPr="005F0D93" w:rsidRDefault="00C500E7" w:rsidP="007E0F0A">
            <w:pPr>
              <w:rPr>
                <w:b/>
                <w:szCs w:val="24"/>
                <w:highlight w:val="yellow"/>
              </w:rPr>
            </w:pPr>
            <w:r w:rsidRPr="005F0D93">
              <w:rPr>
                <w:b/>
                <w:szCs w:val="24"/>
                <w:highlight w:val="yellow"/>
              </w:rPr>
              <w:t>P</w:t>
            </w:r>
            <w:r w:rsidR="00A446D0" w:rsidRPr="005F0D93">
              <w:rPr>
                <w:b/>
                <w:szCs w:val="24"/>
                <w:highlight w:val="yellow"/>
              </w:rPr>
              <w:t>arameter</w:t>
            </w:r>
          </w:p>
        </w:tc>
        <w:tc>
          <w:tcPr>
            <w:tcW w:w="4508" w:type="dxa"/>
            <w:tcBorders>
              <w:top w:val="single" w:sz="12" w:space="0" w:color="auto"/>
              <w:bottom w:val="single" w:sz="12" w:space="0" w:color="auto"/>
            </w:tcBorders>
          </w:tcPr>
          <w:p w:rsidR="003702C3" w:rsidRPr="005F0D93" w:rsidRDefault="00C500E7" w:rsidP="007E0F0A">
            <w:pPr>
              <w:rPr>
                <w:b/>
                <w:szCs w:val="24"/>
                <w:highlight w:val="yellow"/>
              </w:rPr>
            </w:pPr>
            <w:r w:rsidRPr="005F0D93">
              <w:rPr>
                <w:b/>
                <w:szCs w:val="24"/>
                <w:highlight w:val="yellow"/>
              </w:rPr>
              <w:t>S</w:t>
            </w:r>
            <w:r w:rsidR="00A446D0" w:rsidRPr="005F0D93">
              <w:rPr>
                <w:b/>
                <w:szCs w:val="24"/>
                <w:highlight w:val="yellow"/>
              </w:rPr>
              <w:t>ettings</w:t>
            </w:r>
          </w:p>
        </w:tc>
      </w:tr>
      <w:tr w:rsidR="003702C3" w:rsidRPr="005F0D93" w:rsidTr="00C500E7">
        <w:tc>
          <w:tcPr>
            <w:tcW w:w="4508" w:type="dxa"/>
            <w:tcBorders>
              <w:top w:val="single" w:sz="12" w:space="0" w:color="auto"/>
            </w:tcBorders>
          </w:tcPr>
          <w:p w:rsidR="003702C3" w:rsidRPr="005F0D93" w:rsidRDefault="003702C3" w:rsidP="007E0F0A">
            <w:pPr>
              <w:rPr>
                <w:szCs w:val="24"/>
                <w:highlight w:val="yellow"/>
              </w:rPr>
            </w:pPr>
            <w:r w:rsidRPr="005F0D93">
              <w:rPr>
                <w:szCs w:val="24"/>
                <w:highlight w:val="yellow"/>
              </w:rPr>
              <w:t>Replicated run type</w:t>
            </w:r>
          </w:p>
        </w:tc>
        <w:tc>
          <w:tcPr>
            <w:tcW w:w="4508" w:type="dxa"/>
            <w:tcBorders>
              <w:top w:val="single" w:sz="12" w:space="0" w:color="auto"/>
            </w:tcBorders>
          </w:tcPr>
          <w:p w:rsidR="003702C3" w:rsidRPr="005F0D93" w:rsidRDefault="00011ABF" w:rsidP="00A446D0">
            <w:pPr>
              <w:rPr>
                <w:szCs w:val="24"/>
                <w:highlight w:val="yellow"/>
              </w:rPr>
            </w:pPr>
            <w:r w:rsidRPr="005F0D93">
              <w:rPr>
                <w:szCs w:val="24"/>
                <w:highlight w:val="yellow"/>
              </w:rPr>
              <w:t>Cross validate</w:t>
            </w:r>
            <w:r w:rsidR="00A446D0" w:rsidRPr="005F0D93">
              <w:rPr>
                <w:szCs w:val="24"/>
                <w:highlight w:val="yellow"/>
              </w:rPr>
              <w:t xml:space="preserve"> (in comparison to bootstramp and subsample)</w:t>
            </w:r>
          </w:p>
        </w:tc>
      </w:tr>
      <w:tr w:rsidR="003702C3" w:rsidRPr="005F0D93" w:rsidTr="00C500E7">
        <w:tc>
          <w:tcPr>
            <w:tcW w:w="4508" w:type="dxa"/>
          </w:tcPr>
          <w:p w:rsidR="003702C3" w:rsidRPr="005F0D93" w:rsidRDefault="003702C3" w:rsidP="007E0F0A">
            <w:pPr>
              <w:rPr>
                <w:szCs w:val="24"/>
                <w:highlight w:val="yellow"/>
              </w:rPr>
            </w:pPr>
            <w:r w:rsidRPr="005F0D93">
              <w:rPr>
                <w:szCs w:val="24"/>
                <w:highlight w:val="yellow"/>
              </w:rPr>
              <w:t>Maximum iterations</w:t>
            </w:r>
          </w:p>
        </w:tc>
        <w:tc>
          <w:tcPr>
            <w:tcW w:w="4508" w:type="dxa"/>
          </w:tcPr>
          <w:p w:rsidR="003702C3" w:rsidRPr="005F0D93" w:rsidRDefault="003702C3" w:rsidP="007E0F0A">
            <w:pPr>
              <w:rPr>
                <w:szCs w:val="24"/>
                <w:highlight w:val="yellow"/>
              </w:rPr>
            </w:pPr>
            <w:r w:rsidRPr="005F0D93">
              <w:rPr>
                <w:szCs w:val="24"/>
                <w:highlight w:val="yellow"/>
              </w:rPr>
              <w:t>500</w:t>
            </w:r>
          </w:p>
        </w:tc>
      </w:tr>
      <w:tr w:rsidR="003702C3" w:rsidRPr="005F0D93" w:rsidTr="00C500E7">
        <w:tc>
          <w:tcPr>
            <w:tcW w:w="4508" w:type="dxa"/>
          </w:tcPr>
          <w:p w:rsidR="003702C3" w:rsidRPr="005F0D93" w:rsidRDefault="003702C3" w:rsidP="007E0F0A">
            <w:pPr>
              <w:rPr>
                <w:szCs w:val="24"/>
                <w:highlight w:val="yellow"/>
              </w:rPr>
            </w:pPr>
            <w:r w:rsidRPr="005F0D93">
              <w:rPr>
                <w:szCs w:val="24"/>
                <w:highlight w:val="yellow"/>
              </w:rPr>
              <w:t>Adjust sample radius</w:t>
            </w:r>
          </w:p>
        </w:tc>
        <w:tc>
          <w:tcPr>
            <w:tcW w:w="4508" w:type="dxa"/>
          </w:tcPr>
          <w:p w:rsidR="003702C3" w:rsidRPr="005F0D93" w:rsidRDefault="003702C3" w:rsidP="007E0F0A">
            <w:pPr>
              <w:rPr>
                <w:szCs w:val="24"/>
                <w:highlight w:val="yellow"/>
              </w:rPr>
            </w:pPr>
            <w:r w:rsidRPr="005F0D93">
              <w:rPr>
                <w:szCs w:val="24"/>
                <w:highlight w:val="yellow"/>
              </w:rPr>
              <w:t>0</w:t>
            </w:r>
            <w:r w:rsidR="00A446D0" w:rsidRPr="005F0D93">
              <w:rPr>
                <w:szCs w:val="24"/>
                <w:highlight w:val="yellow"/>
              </w:rPr>
              <w:t>, 5, 10</w:t>
            </w:r>
          </w:p>
        </w:tc>
      </w:tr>
      <w:tr w:rsidR="003702C3" w:rsidRPr="005F0D93" w:rsidTr="00C500E7">
        <w:tc>
          <w:tcPr>
            <w:tcW w:w="4508" w:type="dxa"/>
          </w:tcPr>
          <w:p w:rsidR="003702C3" w:rsidRPr="005F0D93" w:rsidRDefault="003702C3" w:rsidP="007E0F0A">
            <w:pPr>
              <w:rPr>
                <w:szCs w:val="24"/>
                <w:highlight w:val="yellow"/>
              </w:rPr>
            </w:pPr>
            <w:r w:rsidRPr="005F0D93">
              <w:rPr>
                <w:szCs w:val="24"/>
                <w:highlight w:val="yellow"/>
              </w:rPr>
              <w:t>Probability format</w:t>
            </w:r>
          </w:p>
        </w:tc>
        <w:tc>
          <w:tcPr>
            <w:tcW w:w="4508" w:type="dxa"/>
          </w:tcPr>
          <w:p w:rsidR="003702C3" w:rsidRPr="005F0D93" w:rsidRDefault="003702C3" w:rsidP="007E0F0A">
            <w:pPr>
              <w:rPr>
                <w:szCs w:val="24"/>
                <w:highlight w:val="yellow"/>
              </w:rPr>
            </w:pPr>
            <w:r w:rsidRPr="005F0D93">
              <w:rPr>
                <w:szCs w:val="24"/>
                <w:highlight w:val="yellow"/>
              </w:rPr>
              <w:t>Cloglog</w:t>
            </w:r>
          </w:p>
        </w:tc>
      </w:tr>
      <w:tr w:rsidR="003702C3" w:rsidTr="00C500E7">
        <w:tc>
          <w:tcPr>
            <w:tcW w:w="4508" w:type="dxa"/>
            <w:tcBorders>
              <w:bottom w:val="single" w:sz="12" w:space="0" w:color="auto"/>
            </w:tcBorders>
          </w:tcPr>
          <w:p w:rsidR="003702C3" w:rsidRPr="005F0D93" w:rsidRDefault="003702C3" w:rsidP="007E0F0A">
            <w:pPr>
              <w:rPr>
                <w:szCs w:val="24"/>
                <w:highlight w:val="yellow"/>
              </w:rPr>
            </w:pPr>
            <w:r w:rsidRPr="005F0D93">
              <w:rPr>
                <w:szCs w:val="24"/>
                <w:highlight w:val="yellow"/>
              </w:rPr>
              <w:t>Responsive curve</w:t>
            </w:r>
          </w:p>
        </w:tc>
        <w:tc>
          <w:tcPr>
            <w:tcW w:w="4508" w:type="dxa"/>
            <w:tcBorders>
              <w:bottom w:val="single" w:sz="12" w:space="0" w:color="auto"/>
            </w:tcBorders>
          </w:tcPr>
          <w:p w:rsidR="003702C3" w:rsidRDefault="00A446D0" w:rsidP="007E0F0A">
            <w:pPr>
              <w:rPr>
                <w:szCs w:val="24"/>
              </w:rPr>
            </w:pPr>
            <w:r w:rsidRPr="005F0D93">
              <w:rPr>
                <w:szCs w:val="24"/>
                <w:highlight w:val="yellow"/>
              </w:rPr>
              <w:t>Numeric to climate variables and categorical to land classes</w:t>
            </w:r>
          </w:p>
        </w:tc>
      </w:tr>
    </w:tbl>
    <w:p w:rsidR="003702C3" w:rsidRDefault="003702C3" w:rsidP="007E0F0A">
      <w:pPr>
        <w:rPr>
          <w:szCs w:val="24"/>
        </w:rPr>
      </w:pPr>
    </w:p>
    <w:p w:rsidR="003702C3" w:rsidRPr="006D19DB" w:rsidRDefault="003702C3" w:rsidP="007E0F0A">
      <w:pPr>
        <w:rPr>
          <w:szCs w:val="24"/>
        </w:rPr>
      </w:pPr>
    </w:p>
    <w:p w:rsidR="00666700" w:rsidRDefault="00666700" w:rsidP="00666700">
      <w:pPr>
        <w:pStyle w:val="SMHeading"/>
        <w:rPr>
          <w:lang w:val="en-GB"/>
        </w:rPr>
      </w:pPr>
      <w:bookmarkStart w:id="17" w:name="_Toc60758357"/>
      <w:r>
        <w:rPr>
          <w:lang w:val="en-GB"/>
        </w:rPr>
        <w:t>Detailed land system description</w:t>
      </w:r>
      <w:bookmarkEnd w:id="17"/>
    </w:p>
    <w:p w:rsidR="00EC7776" w:rsidRPr="00EC7776" w:rsidRDefault="00EC7776" w:rsidP="00EC7776">
      <w:pPr>
        <w:pStyle w:val="Heading2"/>
        <w:rPr>
          <w:rFonts w:ascii="Times New Roman" w:hAnsi="Times New Roman"/>
          <w:b/>
          <w:i/>
          <w:color w:val="auto"/>
          <w:sz w:val="24"/>
          <w:lang w:val="en-GB"/>
        </w:rPr>
      </w:pPr>
      <w:bookmarkStart w:id="18" w:name="_Toc60758358"/>
      <w:r w:rsidRPr="00EC7776">
        <w:rPr>
          <w:rFonts w:ascii="Times New Roman" w:hAnsi="Times New Roman"/>
          <w:b/>
          <w:i/>
          <w:color w:val="auto"/>
          <w:sz w:val="24"/>
          <w:lang w:val="en-GB"/>
        </w:rPr>
        <w:t>Settlement systems</w:t>
      </w:r>
      <w:bookmarkEnd w:id="18"/>
    </w:p>
    <w:p w:rsidR="00EC7776" w:rsidRPr="001923D7" w:rsidRDefault="00EC7776" w:rsidP="00EC7776">
      <w:pPr>
        <w:ind w:firstLine="720"/>
      </w:pPr>
      <w:r w:rsidRPr="001923D7">
        <w:t xml:space="preserve">High-intensity settlements, conceptualized as urban centers, have the average imperviousness degree around 42%. The medium and low intensity settlement classes, which can be understood as peri-urban and rural areas, have the average imperviousness degree of 12% and 10% respectively, with the rest covered by cropland (37 and 36% respectively) and grassland (23 and 24% respectively).    </w:t>
      </w:r>
    </w:p>
    <w:p w:rsidR="00EC7776" w:rsidRPr="001923D7" w:rsidRDefault="00EC7776" w:rsidP="00EC7776">
      <w:pPr>
        <w:ind w:left="45" w:firstLine="675"/>
      </w:pPr>
      <w:r w:rsidRPr="001923D7">
        <w:t>Settlements systems in Europe cover 7.1% of the total continent, far above the global average of only 2% of the total land surface</w:t>
      </w:r>
      <w:r w:rsidRPr="001923D7">
        <w:fldChar w:fldCharType="begin" w:fldLock="1"/>
      </w:r>
      <w:r w:rsidRPr="001923D7">
        <w:instrText>ADDIN CSL_CITATION {"citationItems":[{"id":"ITEM-1","itemData":{"DOI":"10.1111/j.1365-2486.2012.02759.x","ISSN":"13541013","abstract":"Current global scale land-change models used for integrated assessments and climate modeling are based on classifications of land cover. However, land-use management intensity and livestock keeping are also important aspects of land use, and are an integrated part of land systems. This article aims to classify, map, and to characterize Land Systems (LS) at a global scale and analyze the spatial determinants of these systems. Besides proposing such a classification, the article tests if global assessments can be based on globally uniform allocation rules. Land cover, livestock, and agricultural intensity data are used to map LS using a hierarchical classification method. Logistic regressions are used to analyze variation in spatial determinants of LS. The analysis of the spatial determinants of LS indicates strong associations between LS and a range of socioeconomic and biophysical indicators of human-environment interactions. The set of identified spatial determinants of a LS differs among regions and scales, especially for (mosaic) cropland systems, grassland systems with livestock, and settlements. (Semi-)Natural LS have more similar spatial determinants across regions and scales. Using LS in global models is expected to result in a more accurate representation of land use capturing important aspects of land systems and land architecture: the variation in land cover and the link between land-use intensity and landscape composition. Because the set of most important spatial determinants of LS varies among regions and scales, land-change models that include the human drivers of land change are best parameterized at sub-global level, where similar biophysical, socioeconomic and cultural conditions prevail in the specific regions.","author":[{"dropping-particle":"","family":"Asselen","given":"Sanneke","non-dropping-particle":"van","parse-names":false,"suffix":""},{"dropping-particle":"","family":"Verburg","given":"Peter H.","non-dropping-particle":"","parse-names":false,"suffix":""}],"container-title":"Global Change Biology","id":"ITEM-1","issue":"10","issued":{"date-parts":[["2012"]]},"note":"this paper is about land system used for climate models. not so much on biodiversity","page":"3125-3148","title":"A Land System representation for global assessments and land-use modeling","type":"article-journal","volume":"18"},"uris":["http://www.mendeley.com/documents/?uuid=735138ba-b8d9-46e2-b09b-a20c0d8b2bdb"]}],"mendeley":{"formattedCitation":"(van Asselen &amp; Verburg, 2012)","plainTextFormattedCitation":"(van Asselen &amp; Verburg, 2012)","previouslyFormattedCitation":"(van Asselen &amp; Verburg, 2012)"},"properties":{"noteIndex":0},"schema":"https://github.com/citation-style-language/schema/raw/master/csl-citation.json"}</w:instrText>
      </w:r>
      <w:r w:rsidRPr="001923D7">
        <w:fldChar w:fldCharType="separate"/>
      </w:r>
      <w:r w:rsidRPr="001923D7">
        <w:rPr>
          <w:noProof/>
        </w:rPr>
        <w:t>(van Asselen &amp; Verburg, 2012)</w:t>
      </w:r>
      <w:r w:rsidRPr="001923D7">
        <w:fldChar w:fldCharType="end"/>
      </w:r>
      <w:r w:rsidRPr="001923D7">
        <w:t>. Western Europe has the highest coverage (about 13%) of settlement systems among the four regions (</w:t>
      </w:r>
      <w:r w:rsidR="006D0172">
        <w:t>Fig.2</w:t>
      </w:r>
      <w:r w:rsidRPr="001923D7">
        <w:t>) where the medium-intensity class is the largest among the three (5.9%). Southern Europe shares the same characteristics as Western Europe, with medium-intensity (3.4%) also being the dominant among three intensity classes(i.e., low-intensity 2.5% and high-intensity 1.7%). In Eastern Europe, low-intensity settlement has the largest area (2.6%) among the three intensity classes where the high-intensity settlement accounts for less than 1%. However, in Northern Europe, three intensity classes of the settlement system together cover 1.8%. The spatial patterns of intensities of settlements between and within each region are also distinguishable. For instance, Western Europe has the largest area and the highest density of metropolitan areas(in</w:t>
      </w:r>
      <w:r w:rsidR="006D0172">
        <w:t xml:space="preserve"> Fig.2</w:t>
      </w:r>
      <w:r w:rsidRPr="001923D7">
        <w:t xml:space="preserve">). Linear regions with large medium-intensity settlement classes can be found along coastlines and mountain valleys in Southern Europe, such as from Lisbon to Porto in Portugal and in the Po Valley of Italy(in </w:t>
      </w:r>
      <w:r w:rsidR="006D0172">
        <w:t>Fig.3</w:t>
      </w:r>
      <w:r w:rsidRPr="001923D7">
        <w:t xml:space="preserve">). </w:t>
      </w:r>
    </w:p>
    <w:p w:rsidR="00EC7776" w:rsidRPr="00EC7776" w:rsidRDefault="00EC7776" w:rsidP="00EC7776">
      <w:pPr>
        <w:pStyle w:val="Heading2"/>
        <w:rPr>
          <w:rFonts w:ascii="Times New Roman" w:hAnsi="Times New Roman"/>
          <w:b/>
          <w:i/>
          <w:color w:val="auto"/>
          <w:sz w:val="24"/>
          <w:lang w:val="en-GB"/>
        </w:rPr>
      </w:pPr>
      <w:bookmarkStart w:id="19" w:name="_Toc60758359"/>
      <w:r w:rsidRPr="00EC7776">
        <w:rPr>
          <w:rFonts w:ascii="Times New Roman" w:hAnsi="Times New Roman"/>
          <w:b/>
          <w:i/>
          <w:color w:val="auto"/>
          <w:sz w:val="24"/>
          <w:lang w:val="en-GB"/>
        </w:rPr>
        <w:t>Forest systems</w:t>
      </w:r>
      <w:bookmarkEnd w:id="19"/>
    </w:p>
    <w:p w:rsidR="00EC7776" w:rsidRPr="001923D7" w:rsidRDefault="00EC7776" w:rsidP="00EC7776">
      <w:pPr>
        <w:ind w:firstLine="720"/>
      </w:pPr>
      <w:r w:rsidRPr="001923D7">
        <w:t>Forest systems are characterized by the high forest cover of over 70% and the rest as some grassland and cropland. The high-intensity forest has the average annual wood production of 36.5 m</w:t>
      </w:r>
      <w:r w:rsidRPr="001923D7">
        <w:rPr>
          <w:vertAlign w:val="superscript"/>
        </w:rPr>
        <w:t>3</w:t>
      </w:r>
      <w:r w:rsidRPr="001923D7">
        <w:t>/km</w:t>
      </w:r>
      <w:r w:rsidRPr="001923D7">
        <w:rPr>
          <w:vertAlign w:val="superscript"/>
        </w:rPr>
        <w:t>2</w:t>
      </w:r>
      <w:r w:rsidRPr="001923D7">
        <w:t>, and this number is 15.2 m</w:t>
      </w:r>
      <w:r w:rsidRPr="001923D7">
        <w:rPr>
          <w:vertAlign w:val="superscript"/>
        </w:rPr>
        <w:t>3</w:t>
      </w:r>
      <w:r w:rsidRPr="001923D7">
        <w:t>/km</w:t>
      </w:r>
      <w:r w:rsidRPr="001923D7">
        <w:rPr>
          <w:vertAlign w:val="superscript"/>
        </w:rPr>
        <w:t xml:space="preserve">2 </w:t>
      </w:r>
      <w:r w:rsidRPr="001923D7">
        <w:t>and 4.6 m</w:t>
      </w:r>
      <w:r w:rsidRPr="001923D7">
        <w:rPr>
          <w:vertAlign w:val="superscript"/>
        </w:rPr>
        <w:t>3</w:t>
      </w:r>
      <w:r w:rsidRPr="001923D7">
        <w:t>/km</w:t>
      </w:r>
      <w:r w:rsidRPr="001923D7">
        <w:rPr>
          <w:vertAlign w:val="superscript"/>
        </w:rPr>
        <w:t xml:space="preserve">2 </w:t>
      </w:r>
      <w:r w:rsidRPr="001923D7">
        <w:t xml:space="preserve">for medium and low-intensity forest. </w:t>
      </w:r>
    </w:p>
    <w:p w:rsidR="00EC7776" w:rsidRPr="001923D7" w:rsidRDefault="00EC7776" w:rsidP="00EC7776">
      <w:pPr>
        <w:ind w:firstLine="720"/>
      </w:pPr>
      <w:r w:rsidRPr="001923D7">
        <w:t>Forest systems are the largest land system in Europe with a total of 1.6 million km</w:t>
      </w:r>
      <w:r w:rsidRPr="001923D7">
        <w:rPr>
          <w:vertAlign w:val="superscript"/>
        </w:rPr>
        <w:t>2</w:t>
      </w:r>
      <w:r w:rsidRPr="001923D7">
        <w:t xml:space="preserve"> area covering 32.3%, making Europe more forested than the global average of 21% </w:t>
      </w:r>
      <w:r w:rsidRPr="001923D7">
        <w:fldChar w:fldCharType="begin" w:fldLock="1"/>
      </w:r>
      <w:r w:rsidRPr="001923D7">
        <w:instrText>ADDIN CSL_CITATION {"citationItems":[{"id":"ITEM-1","itemData":{"DOI":"10.1111/j.1365-2486.2012.02759.x","ISSN":"13541013","abstract":"Current global scale land-change models used for integrated assessments and climate modeling are based on classifications of land cover. However, land-use management intensity and livestock keeping are also important aspects of land use, and are an integrated part of land systems. This article aims to classify, map, and to characterize Land Systems (LS) at a global scale and analyze the spatial determinants of these systems. Besides proposing such a classification, the article tests if global assessments can be based on globally uniform allocation rules. Land cover, livestock, and agricultural intensity data are used to map LS using a hierarchical classification method. Logistic regressions are used to analyze variation in spatial determinants of LS. The analysis of the spatial determinants of LS indicates strong associations between LS and a range of socioeconomic and biophysical indicators of human-environment interactions. The set of identified spatial determinants of a LS differs among regions and scales, especially for (mosaic) cropland systems, grassland systems with livestock, and settlements. (Semi-)Natural LS have more similar spatial determinants across regions and scales. Using LS in global models is expected to result in a more accurate representation of land use capturing important aspects of land systems and land architecture: the variation in land cover and the link between land-use intensity and landscape composition. Because the set of most important spatial determinants of LS varies among regions and scales, land-change models that include the human drivers of land change are best parameterized at sub-global level, where similar biophysical, socioeconomic and cultural conditions prevail in the specific regions.","author":[{"dropping-particle":"","family":"Asselen","given":"Sanneke","non-dropping-particle":"van","parse-names":false,"suffix":""},{"dropping-particle":"","family":"Verburg","given":"Peter H.","non-dropping-particle":"","parse-names":false,"suffix":""}],"container-title":"Global Change Biology","id":"ITEM-1","issue":"10","issued":{"date-parts":[["2012"]]},"note":"this paper is about land system used for climate models. not so much on biodiversity","page":"3125-3148","title":"A Land System representation for global assessments and land-use modeling","type":"article-journal","volume":"18"},"uris":["http://www.mendeley.com/documents/?uuid=735138ba-b8d9-46e2-b09b-a20c0d8b2bdb"]}],"mendeley":{"formattedCitation":"(van Asselen &amp; Verburg, 2012)","plainTextFormattedCitation":"(van Asselen &amp; Verburg, 2012)","previouslyFormattedCitation":"(van Asselen &amp; Verburg, 2012)"},"properties":{"noteIndex":0},"schema":"https://github.com/citation-style-language/schema/raw/master/csl-citation.json"}</w:instrText>
      </w:r>
      <w:r w:rsidRPr="001923D7">
        <w:fldChar w:fldCharType="separate"/>
      </w:r>
      <w:r w:rsidRPr="001923D7">
        <w:rPr>
          <w:noProof/>
        </w:rPr>
        <w:t>(van Asselen &amp; Verburg, 2012)</w:t>
      </w:r>
      <w:r w:rsidRPr="001923D7">
        <w:fldChar w:fldCharType="end"/>
      </w:r>
      <w:r w:rsidRPr="001923D7">
        <w:t>.  In Northern Europe, forest systems cover almost half of the area, with a relatively even distribution among low, medium, and high intensity (</w:t>
      </w:r>
      <w:r w:rsidR="006D0172">
        <w:t>Fig.2</w:t>
      </w:r>
      <w:r w:rsidRPr="001923D7">
        <w:t xml:space="preserve"> and</w:t>
      </w:r>
      <w:r w:rsidR="006D0172">
        <w:t xml:space="preserve"> Fig.3</w:t>
      </w:r>
      <w:r w:rsidRPr="001923D7">
        <w:t>). In the southern and eastern regions of Europe, forest systems share similar coverage (31.8% and 31.2% respectively). However, in Southern Europe (</w:t>
      </w:r>
      <w:r w:rsidR="006D0172">
        <w:t>Fig.3C</w:t>
      </w:r>
      <w:r w:rsidRPr="001923D7">
        <w:t xml:space="preserve">), most forests are used with a low-intensity (20.7%) while in the east most forests are under medium and high intensity (16.5% and 11.7%). Compared to the other three regions, Western Europe has the lowest forest cover (a total of 19%) and most of the forests are with high (10.6%) and medium (7.3%) intensity levels. </w:t>
      </w:r>
    </w:p>
    <w:p w:rsidR="00CD52D5" w:rsidRPr="001923D7" w:rsidRDefault="00EC7776" w:rsidP="00045E34">
      <w:pPr>
        <w:ind w:firstLine="720"/>
        <w:rPr>
          <w:color w:val="000000"/>
        </w:rPr>
      </w:pPr>
      <w:r w:rsidRPr="001923D7">
        <w:t>Nonetheless, forests of low-intensity level are the smallest within the three intensity levels, accounting for 30.3% of the total forest cover and 9.8% of the total European land surface. The low-intensity forests are mostly located in the mountain areas of Europe, including the Alps, Pyrenees, the Carpathian Mountains(</w:t>
      </w:r>
      <w:r w:rsidR="006D0172">
        <w:t>Fig.3</w:t>
      </w:r>
      <w:r w:rsidRPr="001923D7">
        <w:t xml:space="preserve">), and in the Scandinavian Mountains. However, large areas of forests in Western Europe are used with  high-intensity, particularly in Germany, France, and southern Sweden.    </w:t>
      </w:r>
    </w:p>
    <w:p w:rsidR="00EC7776" w:rsidRPr="00EC7776" w:rsidRDefault="00EC7776" w:rsidP="00EC7776">
      <w:pPr>
        <w:pStyle w:val="Heading2"/>
        <w:rPr>
          <w:rFonts w:ascii="Times New Roman" w:hAnsi="Times New Roman"/>
          <w:b/>
          <w:i/>
          <w:color w:val="auto"/>
          <w:sz w:val="24"/>
          <w:lang w:val="en-GB"/>
        </w:rPr>
      </w:pPr>
      <w:bookmarkStart w:id="20" w:name="_1fob9te" w:colFirst="0" w:colLast="0"/>
      <w:bookmarkStart w:id="21" w:name="_u7k9q4kyqnaz" w:colFirst="0" w:colLast="0"/>
      <w:bookmarkStart w:id="22" w:name="_Toc60758360"/>
      <w:bookmarkEnd w:id="20"/>
      <w:bookmarkEnd w:id="21"/>
      <w:r w:rsidRPr="00EC7776">
        <w:rPr>
          <w:rFonts w:ascii="Times New Roman" w:hAnsi="Times New Roman"/>
          <w:b/>
          <w:i/>
          <w:color w:val="auto"/>
          <w:sz w:val="24"/>
          <w:lang w:val="en-GB"/>
        </w:rPr>
        <w:t>Grassland systems</w:t>
      </w:r>
      <w:bookmarkEnd w:id="22"/>
    </w:p>
    <w:p w:rsidR="00EC7776" w:rsidRPr="001923D7" w:rsidRDefault="00EC7776" w:rsidP="00EC7776">
      <w:pPr>
        <w:ind w:firstLine="720"/>
      </w:pPr>
      <w:r w:rsidRPr="001923D7">
        <w:t xml:space="preserve">The three intensity levels (i.e., low, medium, and high-intensity) of grassland are different in three aspects: livestock unit density (LSU), nitrogen input, and mowing frequency. The low-intensity grassland has an average LSU value of 19 and nitrogen input of 124 kg/ha. The average LSU value of the medium-intensity grassland is 65 and 125 for the high-intensity grassland. The average nitrogen input, which shares the similar trend with the LSU, is 50% higher in the medium-intensity and more than 200% higher in the high-intensity grassland compared to the low-intensity grassland.  </w:t>
      </w:r>
    </w:p>
    <w:p w:rsidR="00EC7776" w:rsidRPr="001923D7" w:rsidRDefault="00EC7776" w:rsidP="00EC7776">
      <w:pPr>
        <w:ind w:firstLine="720"/>
      </w:pPr>
      <w:r w:rsidRPr="001923D7">
        <w:t>Grassland systems cover about 6.2% of the total European land surface, most of which are in Western Europe (i.e., an area of 0.2 million km</w:t>
      </w:r>
      <w:r w:rsidRPr="001923D7">
        <w:rPr>
          <w:vertAlign w:val="superscript"/>
        </w:rPr>
        <w:t>2</w:t>
      </w:r>
      <w:r w:rsidRPr="001923D7">
        <w:t xml:space="preserve"> and 67% of total grassland coverage in Europe). In Southern and Eastern Europe, the grassland coverage is about ⅓ of the western region. In terms of intensity, most grassland in Western Europe is classified as medium and high-intensity, which account for 73,146 and 80,814 km</w:t>
      </w:r>
      <w:r w:rsidRPr="001923D7">
        <w:rPr>
          <w:vertAlign w:val="superscript"/>
        </w:rPr>
        <w:t>2</w:t>
      </w:r>
      <w:r w:rsidRPr="001923D7">
        <w:t xml:space="preserve"> respectively. Most high-intensity grassland areas are concentrated in Ireland, the Netherlands(</w:t>
      </w:r>
      <w:r w:rsidR="006D0172">
        <w:t>Fig.3</w:t>
      </w:r>
      <w:r w:rsidRPr="001923D7">
        <w:t>), northern Germany, and middle France. Others are scattered in Southern Europe and Eastern Europe, and little grassland in the Northern region.</w:t>
      </w:r>
    </w:p>
    <w:p w:rsidR="00EC7776" w:rsidRPr="00EC7776" w:rsidRDefault="00EC7776" w:rsidP="00EC7776">
      <w:pPr>
        <w:pStyle w:val="Heading2"/>
        <w:rPr>
          <w:rFonts w:ascii="Times New Roman" w:hAnsi="Times New Roman"/>
          <w:b/>
          <w:i/>
          <w:color w:val="auto"/>
          <w:sz w:val="24"/>
          <w:lang w:val="en-GB"/>
        </w:rPr>
      </w:pPr>
      <w:bookmarkStart w:id="23" w:name="_Toc60758361"/>
      <w:r w:rsidRPr="00EC7776">
        <w:rPr>
          <w:rFonts w:ascii="Times New Roman" w:hAnsi="Times New Roman"/>
          <w:b/>
          <w:i/>
          <w:color w:val="auto"/>
          <w:sz w:val="24"/>
          <w:lang w:val="en-GB"/>
        </w:rPr>
        <w:t>Cropland systems</w:t>
      </w:r>
      <w:bookmarkEnd w:id="23"/>
    </w:p>
    <w:p w:rsidR="00EC7776" w:rsidRPr="001923D7" w:rsidRDefault="00EC7776" w:rsidP="00EC7776">
      <w:pPr>
        <w:ind w:firstLine="720"/>
      </w:pPr>
      <w:r w:rsidRPr="001923D7">
        <w:t xml:space="preserve">The annual cropland classes are characterized by a high average of 84% cropland cover and some forest, grassland, with low imperviousness degree. The low and medium intensity levels of annual cropland classes have an average nitrogen input of 87kg/ha and 157kg/ha respectively. The average nitrogen input of the high-intensity level is as high as 338 kg/ha, almost four times the nitrogen value of low-intensity annual cropland.  </w:t>
      </w:r>
    </w:p>
    <w:p w:rsidR="00EC7776" w:rsidRPr="001923D7" w:rsidRDefault="00EC7776" w:rsidP="00EC7776">
      <w:pPr>
        <w:ind w:firstLine="720"/>
      </w:pPr>
      <w:r w:rsidRPr="001923D7">
        <w:t xml:space="preserve">In total, cropland systems cover 24.8% of Europe, which is significantly higher than the global coverage of 8% </w:t>
      </w:r>
      <w:r w:rsidRPr="001923D7">
        <w:fldChar w:fldCharType="begin" w:fldLock="1"/>
      </w:r>
      <w:r w:rsidRPr="001923D7">
        <w:instrText>ADDIN CSL_CITATION {"citationItems":[{"id":"ITEM-1","itemData":{"DOI":"10.1111/j.1365-2486.2012.02759.x","ISSN":"13541013","abstract":"Current global scale land-change models used for integrated assessments and climate modeling are based on classifications of land cover. However, land-use management intensity and livestock keeping are also important aspects of land use, and are an integrated part of land systems. This article aims to classify, map, and to characterize Land Systems (LS) at a global scale and analyze the spatial determinants of these systems. Besides proposing such a classification, the article tests if global assessments can be based on globally uniform allocation rules. Land cover, livestock, and agricultural intensity data are used to map LS using a hierarchical classification method. Logistic regressions are used to analyze variation in spatial determinants of LS. The analysis of the spatial determinants of LS indicates strong associations between LS and a range of socioeconomic and biophysical indicators of human-environment interactions. The set of identified spatial determinants of a LS differs among regions and scales, especially for (mosaic) cropland systems, grassland systems with livestock, and settlements. (Semi-)Natural LS have more similar spatial determinants across regions and scales. Using LS in global models is expected to result in a more accurate representation of land use capturing important aspects of land systems and land architecture: the variation in land cover and the link between land-use intensity and landscape composition. Because the set of most important spatial determinants of LS varies among regions and scales, land-change models that include the human drivers of land change are best parameterized at sub-global level, where similar biophysical, socioeconomic and cultural conditions prevail in the specific regions.","author":[{"dropping-particle":"","family":"Asselen","given":"Sanneke","non-dropping-particle":"van","parse-names":false,"suffix":""},{"dropping-particle":"","family":"Verburg","given":"Peter H.","non-dropping-particle":"","parse-names":false,"suffix":""}],"container-title":"Global Change Biology","id":"ITEM-1","issue":"10","issued":{"date-parts":[["2012"]]},"note":"this paper is about land system used for climate models. not so much on biodiversity","page":"3125-3148","title":"A Land System representation for global assessments and land-use modeling","type":"article-journal","volume":"18"},"uris":["http://www.mendeley.com/documents/?uuid=735138ba-b8d9-46e2-b09b-a20c0d8b2bdb"]}],"mendeley":{"formattedCitation":"(van Asselen &amp; Verburg, 2012)","plainTextFormattedCitation":"(van Asselen &amp; Verburg, 2012)","previouslyFormattedCitation":"(van Asselen &amp; Verburg, 2012)"},"properties":{"noteIndex":0},"schema":"https://github.com/citation-style-language/schema/raw/master/csl-citation.json"}</w:instrText>
      </w:r>
      <w:r w:rsidRPr="001923D7">
        <w:fldChar w:fldCharType="separate"/>
      </w:r>
      <w:r w:rsidRPr="001923D7">
        <w:rPr>
          <w:noProof/>
        </w:rPr>
        <w:t>(van Asselen &amp; Verburg, 2012)</w:t>
      </w:r>
      <w:r w:rsidRPr="001923D7">
        <w:fldChar w:fldCharType="end"/>
      </w:r>
      <w:r w:rsidRPr="001923D7">
        <w:t xml:space="preserve">and the agricultural landscape estimation of Europe </w:t>
      </w:r>
      <w:r w:rsidRPr="001923D7">
        <w:fldChar w:fldCharType="begin" w:fldLock="1"/>
      </w:r>
      <w:r w:rsidRPr="001923D7">
        <w:instrText>ADDIN CSL_CITATION {"citationItems":[{"id":"ITEM-1","itemData":{"DOI":"10.1016/j.landurbplan.2016.02.005","ISSN":"01692046","abstract":"Comprehensive maps that characterize the variation in agricultural landscapes across Europe are lacking. In this paper we present a new Europe-wide, spatially-explicit typology and inventory of the diversity in composition, spatial structure and management intensity of European agricultural landscapes. Agricultural landscape types were characterized at a 1 km2 resolution based on Europe-wide datasets that represent land cover, landscape structure and land management intensity. Two alternative approaches for typology development were used: an expert-based top-down approach, and a bottom-up approach based on automated clustering using Self Organizing Maps (SOMs). Comparison with available national and European landscape typologies showed that our typology deviates from existing biophysical and anthropocentric typologies relevant to agricultural landscapes as result of the inclusion of land management aspects. Concordance occurred between specific European typology classes, while the comparison with national landscape typologies showed a correspondence in agricultural landscape patterns. Our agricultural landscape typology can provide a basis for landscape assessment at a European-scale to help to identify agricultural landscape types prone to change and landscapes that may require policy response.","author":[{"dropping-particle":"","family":"Zanden","given":"Emma H.","non-dropping-particle":"van der","parse-names":false,"suffix":""},{"dropping-particle":"","family":"Levers","given":"Christian","non-dropping-particle":"","parse-names":false,"suffix":""},{"dropping-particle":"","family":"Verburg","given":"Peter H.","non-dropping-particle":"","parse-names":false,"suffix":""},{"dropping-particle":"","family":"Kuemmerle","given":"Tobias","non-dropping-particle":"","parse-names":false,"suffix":""}],"container-title":"Landscape and Urban Planning","id":"ITEM-1","issued":{"date-parts":[["2016"]]},"page":"36-49","publisher":"Elsevier B.V.","title":"Representing composition, spatial structure and management intensity of European agricultural landscapes: A new typology","type":"article-journal","volume":"150"},"uris":["http://www.mendeley.com/documents/?uuid=6a4eb2b1-625c-47bc-ac09-711e53d566a1"]}],"mendeley":{"formattedCitation":"(van der Zanden, Levers, Verburg, &amp; Kuemmerle, 2016)","plainTextFormattedCitation":"(van der Zanden, Levers, Verburg, &amp; Kuemmerle, 2016)","previouslyFormattedCitation":"(van der Zanden, Levers, Verburg, &amp; Kuemmerle, 2016)"},"properties":{"noteIndex":0},"schema":"https://github.com/citation-style-language/schema/raw/master/csl-citation.json"}</w:instrText>
      </w:r>
      <w:r w:rsidRPr="001923D7">
        <w:fldChar w:fldCharType="separate"/>
      </w:r>
      <w:r w:rsidRPr="001923D7">
        <w:rPr>
          <w:noProof/>
        </w:rPr>
        <w:t>(van der Zanden, Levers, Verburg, &amp; Kuemmerle, 2016)</w:t>
      </w:r>
      <w:r w:rsidRPr="001923D7">
        <w:fldChar w:fldCharType="end"/>
      </w:r>
      <w:r w:rsidRPr="001923D7">
        <w:t xml:space="preserve"> but lower than the 34.5% estimated by another European study</w:t>
      </w:r>
      <w:r w:rsidRPr="001923D7">
        <w:fldChar w:fldCharType="begin" w:fldLock="1"/>
      </w:r>
      <w:r w:rsidRPr="001923D7">
        <w:instrText>ADDIN CSL_CITATION {"citationItems":[{"id":"ITEM-1","itemData":{"DOI":"10.1007/s10113-015-0907-x","ISSN":"1436378X","abstract":"Assessments of land-system change have dominantly focused on conversions among broad land-use categories, whereas intensity changes within these categories have received less attention. Considering that both modes of land change typically result in diverse patterns and trajectories of land-system change, there is a need to develop approaches to reduce this complexity. Using Europe as a case study, we applied a clustering approach based on self-organising maps and 12 land-use indicators to map (1) land-system archetypes for the year 2006, defined as characteristic patterns of land-use extent and intensity, and (2) archetypical change trajectories, defined as characteristic changes in these indicators between 1990 and 2006. Our analysis identified 15 land-system archetypes, with low-intensity archetypes dominating (ca. 55 {%} coverage) followed by high-intensity archetypes (ca. 26 {%}). In terms of change, we identified 17 archetypical change trajectories, clustered in four broad categories. Stable land systems were most widespread (ca. 40 {%} of the EU27), followed by land systems characterised by land-use conversions (ca. 26 {%}), de-intensification trends (ca. 18 {%}), and intensification trends (ca. 15 {%}). Intensively used and intensifying land systems were particularly widespread in Western Europe, whereas low-intensity and de-intensifying land systems dominated in Europe's east. Comparing our archetypes with environmental and socio-economic factors revealed that good accessibility and favourable topographic, climatic, and soil conditions characterised intensively managed areas. Intensification was also most common in these areas, suggesting an ongoing polarisation of intensification in favourable areas and de-intensification and abandonment trends in more marginal areas. By providing spatially and thematically improved maps of land-use patterns and changes therein, our archetypes could serve as useful inputs for more detailed assessments of ecosystem service demand and supply, as well as explorations of land-system change trade-offs, especially with regard to land-use intensity. Further, they could serve useful for identifying regions within which similar policy tools could be valuable to develop regionalised, context-specific land-management policies to steer European land systems onto desired pathways.","author":[{"dropping-particle":"","family":"Levers","given":"Christian","non-dropping-particle":"","parse-names":false,"suffix":""},{"dropping-particle":"","family":"Müller","given":"Daniel","non-dropping-particle":"","parse-names":false,"suffix":""},{"dropping-particle":"","family":"Erb","given":"Karlheinz","non-dropping-particle":"","parse-names":false,"suffix":""},{"dropping-particle":"","family":"Haberl","given":"Helmut","non-dropping-particle":"","parse-names":false,"suffix":""},{"dropping-particle":"","family":"Jepsen","given":"Martin Rudbeck","non-dropping-particle":"","parse-names":false,"suffix":""},{"dropping-particle":"","family":"Metzger","given":"Marc J.","non-dropping-particle":"","parse-names":false,"suffix":""},{"dropping-particle":"","family":"Meyfroidt","given":"Patrick","non-dropping-particle":"","parse-names":false,"suffix":""},{"dropping-particle":"","family":"Plieninger","given":"Tobias","non-dropping-particle":"","parse-names":false,"suffix":""},{"dropping-particle":"","family":"Plutzar","given":"Christoph","non-dropping-particle":"","parse-names":false,"suffix":""},{"dropping-particle":"","family":"Stürck","given":"Julia","non-dropping-particle":"","parse-names":false,"suffix":""},{"dropping-particle":"","family":"Verburg","given":"Peter H.","non-dropping-particle":"","parse-names":false,"suffix":""},{"dropping-particle":"","family":"Verkerk","given":"Pieter J.","non-dropping-particle":"","parse-names":false,"suffix":""},{"dropping-particle":"","family":"Kuemmerle","given":"Tobias","non-dropping-particle":"","parse-names":false,"suffix":""}],"container-title":"Regional Environmental Change","id":"ITEM-1","issue":"3","issued":{"date-parts":[["2018"]]},"page":"715-732","title":"Archetypical patterns and trajectories of land systems in Europe","type":"article-journal","volume":"18"},"uris":["http://www.mendeley.com/documents/?uuid=04da5447-91ee-426f-aaaf-aa1fdf022091"]}],"mendeley":{"formattedCitation":"(Levers et al., 2018)","plainTextFormattedCitation":"(Levers et al., 2018)","previouslyFormattedCitation":"(Levers et al., 2018)"},"properties":{"noteIndex":0},"schema":"https://github.com/citation-style-language/schema/raw/master/csl-citation.json"}</w:instrText>
      </w:r>
      <w:r w:rsidRPr="001923D7">
        <w:fldChar w:fldCharType="separate"/>
      </w:r>
      <w:r w:rsidRPr="001923D7">
        <w:rPr>
          <w:noProof/>
        </w:rPr>
        <w:t>(Levers et al., 2018)</w:t>
      </w:r>
      <w:r w:rsidRPr="001923D7">
        <w:fldChar w:fldCharType="end"/>
      </w:r>
      <w:r w:rsidRPr="001923D7">
        <w:t>. Cropland systems are the largest systems covering about a third of the area in all three regions of western, southern, and eastern except the northern region. In Western Europe, only 1.1% is low-intensity cropland, while medium and high-intensity cropland cover 10.3% and 11.4%. Most croplands in Eastern Europe are medium-intensity (22.8%), the rest are are low (7.5%) and high-intensity (3.7%). Croplands in Southern Europe are mostly medium and low intensity (</w:t>
      </w:r>
      <w:r w:rsidRPr="001923D7">
        <w:fldChar w:fldCharType="begin"/>
      </w:r>
      <w:r w:rsidRPr="001923D7">
        <w:instrText xml:space="preserve"> REF _Ref33620909 \h </w:instrText>
      </w:r>
      <w:r>
        <w:instrText xml:space="preserve"> \* MERGEFORMAT </w:instrText>
      </w:r>
      <w:r w:rsidRPr="001923D7">
        <w:fldChar w:fldCharType="separate"/>
      </w:r>
      <w:r w:rsidR="00B72354">
        <w:rPr>
          <w:b/>
          <w:bCs/>
        </w:rPr>
        <w:t>.</w:t>
      </w:r>
      <w:r w:rsidRPr="001923D7">
        <w:fldChar w:fldCharType="end"/>
      </w:r>
      <w:r w:rsidRPr="001923D7">
        <w:t xml:space="preserve"> d).  </w:t>
      </w:r>
    </w:p>
    <w:p w:rsidR="00EC7776" w:rsidRPr="001923D7" w:rsidRDefault="00EC7776" w:rsidP="00EC7776">
      <w:pPr>
        <w:ind w:firstLine="720"/>
      </w:pPr>
      <w:r w:rsidRPr="001923D7">
        <w:t>In addition, there is some extensive and very few intensive permanent crops in the western region, covering about 1.1%. Eastern Europe shares the same distribution of extensive and intensive permanent crops. Majority extensive permanent crops are found in Southern Europe with an area of 75,968 km</w:t>
      </w:r>
      <w:r w:rsidRPr="001923D7">
        <w:rPr>
          <w:vertAlign w:val="superscript"/>
        </w:rPr>
        <w:t>2</w:t>
      </w:r>
      <w:r w:rsidRPr="001923D7">
        <w:t xml:space="preserve">. In addition, majority of intensive permanent crops are also found in southern Spain and along the coastlines of Italy. </w:t>
      </w:r>
    </w:p>
    <w:p w:rsidR="00EC7776" w:rsidRPr="00EC7776" w:rsidRDefault="00EC7776" w:rsidP="00EC7776">
      <w:pPr>
        <w:pStyle w:val="Heading2"/>
        <w:rPr>
          <w:rFonts w:ascii="Times New Roman" w:hAnsi="Times New Roman"/>
          <w:b/>
          <w:i/>
          <w:color w:val="auto"/>
          <w:sz w:val="24"/>
          <w:lang w:val="en-GB"/>
        </w:rPr>
      </w:pPr>
      <w:bookmarkStart w:id="24" w:name="_Toc60758362"/>
      <w:r w:rsidRPr="00EC7776">
        <w:rPr>
          <w:rFonts w:ascii="Times New Roman" w:hAnsi="Times New Roman"/>
          <w:b/>
          <w:i/>
          <w:color w:val="auto"/>
          <w:sz w:val="24"/>
          <w:lang w:val="en-GB"/>
        </w:rPr>
        <w:t>Mosaic systems</w:t>
      </w:r>
      <w:bookmarkEnd w:id="24"/>
    </w:p>
    <w:p w:rsidR="00EC7776" w:rsidRPr="001923D7" w:rsidRDefault="00EC7776" w:rsidP="00EC7776">
      <w:pPr>
        <w:ind w:firstLine="720"/>
      </w:pPr>
      <w:r w:rsidRPr="001923D7">
        <w:t xml:space="preserve">There is no dominant land cover for this system but mixed land cover types that constitute a functional landscape. Mosaic systems hence are characterized by a mixed low to medium coverage of cropland (6%-50%), grassland (10%-48%), and forest (6%-44%), without substantial imperviousness degree (0.0%-0.8%).  </w:t>
      </w:r>
    </w:p>
    <w:p w:rsidR="00EC7776" w:rsidRPr="001923D7" w:rsidRDefault="00EC7776" w:rsidP="00EC7776">
      <w:pPr>
        <w:ind w:firstLine="720"/>
      </w:pPr>
      <w:r w:rsidRPr="001923D7">
        <w:t xml:space="preserve">Mosaic systems cover 14.5% of Europe. This is lower than the global average of 28% </w:t>
      </w:r>
      <w:r w:rsidRPr="001923D7">
        <w:fldChar w:fldCharType="begin" w:fldLock="1"/>
      </w:r>
      <w:r w:rsidRPr="001923D7">
        <w:instrText>ADDIN CSL_CITATION {"citationItems":[{"id":"ITEM-1","itemData":{"DOI":"10.1111/j.1365-2486.2012.02759.x","ISSN":"13541013","abstract":"Current global scale land-change models used for integrated assessments and climate modeling are based on classifications of land cover. However, land-use management intensity and livestock keeping are also important aspects of land use, and are an integrated part of land systems. This article aims to classify, map, and to characterize Land Systems (LS) at a global scale and analyze the spatial determinants of these systems. Besides proposing such a classification, the article tests if global assessments can be based on globally uniform allocation rules. Land cover, livestock, and agricultural intensity data are used to map LS using a hierarchical classification method. Logistic regressions are used to analyze variation in spatial determinants of LS. The analysis of the spatial determinants of LS indicates strong associations between LS and a range of socioeconomic and biophysical indicators of human-environment interactions. The set of identified spatial determinants of a LS differs among regions and scales, especially for (mosaic) cropland systems, grassland systems with livestock, and settlements. (Semi-)Natural LS have more similar spatial determinants across regions and scales. Using LS in global models is expected to result in a more accurate representation of land use capturing important aspects of land systems and land architecture: the variation in land cover and the link between land-use intensity and landscape composition. Because the set of most important spatial determinants of LS varies among regions and scales, land-change models that include the human drivers of land change are best parameterized at sub-global level, where similar biophysical, socioeconomic and cultural conditions prevail in the specific regions.","author":[{"dropping-particle":"","family":"Asselen","given":"Sanneke","non-dropping-particle":"van","parse-names":false,"suffix":""},{"dropping-particle":"","family":"Verburg","given":"Peter H.","non-dropping-particle":"","parse-names":false,"suffix":""}],"container-title":"Global Change Biology","id":"ITEM-1","issue":"10","issued":{"date-parts":[["2012"]]},"note":"this paper is about land system used for climate models. not so much on biodiversity","page":"3125-3148","title":"A Land System representation for global assessments and land-use modeling","type":"article-journal","volume":"18"},"uris":["http://www.mendeley.com/documents/?uuid=735138ba-b8d9-46e2-b09b-a20c0d8b2bdb"]}],"mendeley":{"formattedCitation":"(van Asselen &amp; Verburg, 2012)","plainTextFormattedCitation":"(van Asselen &amp; Verburg, 2012)","previouslyFormattedCitation":"(van Asselen &amp; Verburg, 2012)"},"properties":{"noteIndex":0},"schema":"https://github.com/citation-style-language/schema/raw/master/csl-citation.json"}</w:instrText>
      </w:r>
      <w:r w:rsidRPr="001923D7">
        <w:fldChar w:fldCharType="separate"/>
      </w:r>
      <w:r w:rsidRPr="001923D7">
        <w:rPr>
          <w:noProof/>
        </w:rPr>
        <w:t>(van Asselen &amp; Verburg, 2012)</w:t>
      </w:r>
      <w:r w:rsidRPr="001923D7">
        <w:fldChar w:fldCharType="end"/>
      </w:r>
      <w:r w:rsidRPr="001923D7">
        <w:t xml:space="preserve"> but similar to the study of EU 23 16.0% </w:t>
      </w:r>
      <w:r w:rsidRPr="001923D7">
        <w:fldChar w:fldCharType="begin" w:fldLock="1"/>
      </w:r>
      <w:r w:rsidRPr="001923D7">
        <w:instrText>ADDIN CSL_CITATION {"citationItems":[{"id":"ITEM-1","itemData":{"DOI":"10.1007/s10113-015-0907-x","ISSN":"1436378X","abstract":"Assessments of land-system change have dominantly focused on conversions among broad land-use categories, whereas intensity changes within these categories have received less attention. Considering that both modes of land change typically result in diverse patterns and trajectories of land-system change, there is a need to develop approaches to reduce this complexity. Using Europe as a case study, we applied a clustering approach based on self-organising maps and 12 land-use indicators to map (1) land-system archetypes for the year 2006, defined as characteristic patterns of land-use extent and intensity, and (2) archetypical change trajectories, defined as characteristic changes in these indicators between 1990 and 2006. Our analysis identified 15 land-system archetypes, with low-intensity archetypes dominating (ca. 55 {%} coverage) followed by high-intensity archetypes (ca. 26 {%}). In terms of change, we identified 17 archetypical change trajectories, clustered in four broad categories. Stable land systems were most widespread (ca. 40 {%} of the EU27), followed by land systems characterised by land-use conversions (ca. 26 {%}), de-intensification trends (ca. 18 {%}), and intensification trends (ca. 15 {%}). Intensively used and intensifying land systems were particularly widespread in Western Europe, whereas low-intensity and de-intensifying land systems dominated in Europe's east. Comparing our archetypes with environmental and socio-economic factors revealed that good accessibility and favourable topographic, climatic, and soil conditions characterised intensively managed areas. Intensification was also most common in these areas, suggesting an ongoing polarisation of intensification in favourable areas and de-intensification and abandonment trends in more marginal areas. By providing spatially and thematically improved maps of land-use patterns and changes therein, our archetypes could serve as useful inputs for more detailed assessments of ecosystem service demand and supply, as well as explorations of land-system change trade-offs, especially with regard to land-use intensity. Further, they could serve useful for identifying regions within which similar policy tools could be valuable to develop regionalised, context-specific land-management policies to steer European land systems onto desired pathways.","author":[{"dropping-particle":"","family":"Levers","given":"Christian","non-dropping-particle":"","parse-names":false,"suffix":""},{"dropping-particle":"","family":"Müller","given":"Daniel","non-dropping-particle":"","parse-names":false,"suffix":""},{"dropping-particle":"","family":"Erb","given":"Karlheinz","non-dropping-particle":"","parse-names":false,"suffix":""},{"dropping-particle":"","family":"Haberl","given":"Helmut","non-dropping-particle":"","parse-names":false,"suffix":""},{"dropping-particle":"","family":"Jepsen","given":"Martin Rudbeck","non-dropping-particle":"","parse-names":false,"suffix":""},{"dropping-particle":"","family":"Metzger","given":"Marc J.","non-dropping-particle":"","parse-names":false,"suffix":""},{"dropping-particle":"","family":"Meyfroidt","given":"Patrick","non-dropping-particle":"","parse-names":false,"suffix":""},{"dropping-particle":"","family":"Plieninger","given":"Tobias","non-dropping-particle":"","parse-names":false,"suffix":""},{"dropping-particle":"","family":"Plutzar","given":"Christoph","non-dropping-particle":"","parse-names":false,"suffix":""},{"dropping-particle":"","family":"Stürck","given":"Julia","non-dropping-particle":"","parse-names":false,"suffix":""},{"dropping-particle":"","family":"Verburg","given":"Peter H.","non-dropping-particle":"","parse-names":false,"suffix":""},{"dropping-particle":"","family":"Verkerk","given":"Pieter J.","non-dropping-particle":"","parse-names":false,"suffix":""},{"dropping-particle":"","family":"Kuemmerle","given":"Tobias","non-dropping-particle":"","parse-names":false,"suffix":""}],"container-title":"Regional Environmental Change","id":"ITEM-1","issue":"3","issued":{"date-parts":[["2018"]]},"page":"715-732","title":"Archetypical patterns and trajectories of land systems in Europe","type":"article-journal","volume":"18"},"uris":["http://www.mendeley.com/documents/?uuid=04da5447-91ee-426f-aaaf-aa1fdf022091"]}],"mendeley":{"formattedCitation":"(Levers et al., 2018)","plainTextFormattedCitation":"(Levers et al., 2018)","previouslyFormattedCitation":"(Levers et al., 2018)"},"properties":{"noteIndex":0},"schema":"https://github.com/citation-style-language/schema/raw/master/csl-citation.json"}</w:instrText>
      </w:r>
      <w:r w:rsidRPr="001923D7">
        <w:fldChar w:fldCharType="separate"/>
      </w:r>
      <w:r w:rsidRPr="001923D7">
        <w:rPr>
          <w:noProof/>
        </w:rPr>
        <w:t>(Levers et al., 2018)</w:t>
      </w:r>
      <w:r w:rsidRPr="001923D7">
        <w:fldChar w:fldCharType="end"/>
      </w:r>
      <w:r w:rsidRPr="001923D7">
        <w:t>. There are two subsystems as mosaics with forest/shrub (11.0%) and agriculture mosaics (3.4%). The largest coverage of mosaic systems, 20.0%, is in the western region of Europe, of which about 12.9% is forest/shrub mosaics. The rest 7.1% is agricultural moscais and the majority are medium and high-intensity (</w:t>
      </w:r>
      <w:r w:rsidR="006D0172">
        <w:t>Fig.3</w:t>
      </w:r>
      <w:r w:rsidRPr="001923D7">
        <w:t>). The smallest coverage (5.4%) of mosaic systems is in Northern Europe, where most of the mosaics are forest/shrub mosaics with cropland (3.5%) and bare land (</w:t>
      </w:r>
      <w:r w:rsidR="006D0172">
        <w:t>Fig.3</w:t>
      </w:r>
      <w:r w:rsidRPr="001923D7">
        <w:t>) (1.3%). Similarly, the two largest mosaic classes in Eastern Europe are forest/shrub with cropland (8.9%) and grassland (4.2%) respectively. In addition, there are 3.4% low-intensity and 0.6% medium-intensity agricultural mosaics (</w:t>
      </w:r>
      <w:r w:rsidRPr="0056187F">
        <w:t>e and f</w:t>
      </w:r>
      <w:r w:rsidRPr="001923D7">
        <w:t>). In Southern Europe, there is only 1.3% low-intensity agricultural mosaics and the rest are mostly forest/shrub mosaics with cropland (6.6%), grassland (3.3%), mixed agricultural land (1.3%), and bare land (0.4%). This is because the popular agroforestry landscape in Spain and Portugal, where forestry, grazing animals, and crop cultivation are found simultaneously in the same landscape (</w:t>
      </w:r>
      <w:r w:rsidR="006D0172">
        <w:t>Fig.3C</w:t>
      </w:r>
      <w:r w:rsidRPr="001923D7">
        <w:t xml:space="preserve">).  </w:t>
      </w:r>
    </w:p>
    <w:p w:rsidR="00EC7776" w:rsidRPr="00EC7776" w:rsidRDefault="00EC7776" w:rsidP="00EC7776">
      <w:pPr>
        <w:pStyle w:val="Heading2"/>
        <w:rPr>
          <w:rFonts w:ascii="Times New Roman" w:hAnsi="Times New Roman"/>
          <w:b/>
          <w:i/>
          <w:color w:val="auto"/>
          <w:sz w:val="24"/>
          <w:lang w:val="en-GB"/>
        </w:rPr>
      </w:pPr>
      <w:bookmarkStart w:id="25" w:name="_7x29nteizool" w:colFirst="0" w:colLast="0"/>
      <w:bookmarkStart w:id="26" w:name="_Toc60758363"/>
      <w:bookmarkEnd w:id="25"/>
      <w:r w:rsidRPr="00EC7776">
        <w:rPr>
          <w:rFonts w:ascii="Times New Roman" w:hAnsi="Times New Roman"/>
          <w:b/>
          <w:i/>
          <w:color w:val="auto"/>
          <w:sz w:val="24"/>
          <w:lang w:val="en-GB"/>
        </w:rPr>
        <w:t>Snow, water, and wetland</w:t>
      </w:r>
      <w:bookmarkEnd w:id="26"/>
      <w:r w:rsidRPr="00EC7776">
        <w:rPr>
          <w:rFonts w:ascii="Times New Roman" w:hAnsi="Times New Roman"/>
          <w:b/>
          <w:i/>
          <w:color w:val="auto"/>
          <w:sz w:val="24"/>
          <w:lang w:val="en-GB"/>
        </w:rPr>
        <w:t xml:space="preserve"> </w:t>
      </w:r>
    </w:p>
    <w:p w:rsidR="00EC7776" w:rsidRPr="001923D7" w:rsidRDefault="00EC7776" w:rsidP="00EC7776">
      <w:pPr>
        <w:ind w:firstLine="720"/>
        <w:rPr>
          <w:szCs w:val="24"/>
        </w:rPr>
      </w:pPr>
      <w:r w:rsidRPr="001923D7">
        <w:t>Snow, water, and wetland contains some portion of forest, grassland, and cropland, and low imperviousness degree. Other land system studies have not included this system.</w:t>
      </w:r>
      <w:r w:rsidRPr="001923D7">
        <w:rPr>
          <w:szCs w:val="24"/>
        </w:rPr>
        <w:t xml:space="preserve"> </w:t>
      </w:r>
      <w:r w:rsidRPr="001923D7">
        <w:t xml:space="preserve">This system covers about 10.0% of Europe, of which 3.1% is water body, 6.8% is wetland, and 0.1% is snow. Northern Europe has the largest proportion of snow, water, and wetland among the four regions, with a total 27% coverage. Southern Europe has the smallest proportion of snow, water, and wetlands, which covers only 1.9% of the area. The west and east of Europe have 7.2% and 4.4% of the coverage, of which mostly are wetland.  </w:t>
      </w:r>
      <w:r w:rsidRPr="001923D7">
        <w:rPr>
          <w:szCs w:val="24"/>
        </w:rPr>
        <w:t xml:space="preserve"> </w:t>
      </w:r>
    </w:p>
    <w:p w:rsidR="00EC7776" w:rsidRPr="00EC7776" w:rsidRDefault="00EC7776" w:rsidP="00EC7776">
      <w:pPr>
        <w:pStyle w:val="Heading2"/>
        <w:rPr>
          <w:rFonts w:ascii="Times New Roman" w:hAnsi="Times New Roman"/>
          <w:b/>
          <w:i/>
          <w:color w:val="auto"/>
          <w:sz w:val="24"/>
          <w:lang w:val="en-GB"/>
        </w:rPr>
      </w:pPr>
      <w:bookmarkStart w:id="27" w:name="_g0i3c9159ua7" w:colFirst="0" w:colLast="0"/>
      <w:bookmarkStart w:id="28" w:name="_Toc60758364"/>
      <w:bookmarkEnd w:id="27"/>
      <w:r w:rsidRPr="00EC7776">
        <w:rPr>
          <w:rFonts w:ascii="Times New Roman" w:hAnsi="Times New Roman"/>
          <w:b/>
          <w:i/>
          <w:color w:val="auto"/>
          <w:sz w:val="24"/>
          <w:lang w:val="en-GB"/>
        </w:rPr>
        <w:t>Shrubs and bare</w:t>
      </w:r>
      <w:bookmarkEnd w:id="28"/>
    </w:p>
    <w:p w:rsidR="00EC7776" w:rsidRDefault="00EC7776" w:rsidP="00EC7776">
      <w:pPr>
        <w:ind w:firstLine="720"/>
      </w:pPr>
      <w:r w:rsidRPr="001923D7">
        <w:t xml:space="preserve">Shrubs cover about 4.5% of our study region, mostly in Northern and Southern Europe. Despite the small coverage, bare and rocks are quite important for certain species and cover about 0.7% of Europe, the majority of which are in Northern and Southern Europe. </w:t>
      </w:r>
    </w:p>
    <w:p w:rsidR="00045E34" w:rsidRPr="005F0D93" w:rsidRDefault="00045E34" w:rsidP="00045E34">
      <w:pPr>
        <w:pStyle w:val="SMHeading"/>
        <w:rPr>
          <w:highlight w:val="yellow"/>
          <w:lang w:val="en-GB"/>
        </w:rPr>
      </w:pPr>
      <w:bookmarkStart w:id="29" w:name="_Toc60758365"/>
      <w:r w:rsidRPr="005F0D93">
        <w:rPr>
          <w:highlight w:val="yellow"/>
          <w:lang w:val="en-GB"/>
        </w:rPr>
        <w:t xml:space="preserve">Forest fragmentation and </w:t>
      </w:r>
      <w:r w:rsidR="005F0D93">
        <w:rPr>
          <w:highlight w:val="yellow"/>
          <w:lang w:val="en-GB"/>
        </w:rPr>
        <w:t>M</w:t>
      </w:r>
      <w:r w:rsidRPr="005F0D93">
        <w:rPr>
          <w:highlight w:val="yellow"/>
          <w:lang w:val="en-GB"/>
        </w:rPr>
        <w:t>axent results</w:t>
      </w:r>
      <w:bookmarkEnd w:id="29"/>
    </w:p>
    <w:p w:rsidR="00045E34" w:rsidRPr="005F0D93" w:rsidRDefault="00045E34" w:rsidP="00045E34">
      <w:pPr>
        <w:pBdr>
          <w:top w:val="nil"/>
          <w:left w:val="nil"/>
          <w:bottom w:val="nil"/>
          <w:right w:val="nil"/>
          <w:between w:val="nil"/>
        </w:pBdr>
        <w:ind w:firstLine="709"/>
        <w:rPr>
          <w:color w:val="000000"/>
          <w:highlight w:val="yellow"/>
        </w:rPr>
      </w:pPr>
      <w:r w:rsidRPr="005F0D93">
        <w:rPr>
          <w:color w:val="000000"/>
          <w:highlight w:val="yellow"/>
        </w:rPr>
        <w:t>Overall the fragmented forest pixels account for 5% of the total forest pixels</w:t>
      </w:r>
      <w:r w:rsidR="009F3A64" w:rsidRPr="005F0D93">
        <w:rPr>
          <w:color w:val="000000"/>
          <w:highlight w:val="yellow"/>
        </w:rPr>
        <w:t>,</w:t>
      </w:r>
      <w:r w:rsidRPr="005F0D93">
        <w:rPr>
          <w:color w:val="000000"/>
          <w:highlight w:val="yellow"/>
        </w:rPr>
        <w:t xml:space="preserve"> when the frag</w:t>
      </w:r>
      <w:r w:rsidR="005417FE" w:rsidRPr="005F0D93">
        <w:rPr>
          <w:color w:val="000000"/>
          <w:highlight w:val="yellow"/>
        </w:rPr>
        <w:t xml:space="preserve">mentation threshold was set at five (Table </w:t>
      </w:r>
      <w:r w:rsidR="00622C6B" w:rsidRPr="005F0D93">
        <w:rPr>
          <w:color w:val="000000"/>
          <w:highlight w:val="yellow"/>
        </w:rPr>
        <w:t>S2</w:t>
      </w:r>
      <w:r w:rsidR="005417FE" w:rsidRPr="005F0D93">
        <w:rPr>
          <w:color w:val="000000"/>
          <w:highlight w:val="yellow"/>
        </w:rPr>
        <w:t>)</w:t>
      </w:r>
      <w:r w:rsidRPr="005F0D93">
        <w:rPr>
          <w:color w:val="000000"/>
          <w:highlight w:val="yellow"/>
        </w:rPr>
        <w:t xml:space="preserve">. </w:t>
      </w:r>
      <w:r w:rsidR="00D31521" w:rsidRPr="005F0D93">
        <w:rPr>
          <w:color w:val="000000"/>
          <w:highlight w:val="yellow"/>
        </w:rPr>
        <w:t xml:space="preserve">The proportion of fragmented forest pixels is relatively same across three intensity levels. </w:t>
      </w:r>
    </w:p>
    <w:p w:rsidR="00932FD9" w:rsidRPr="005F0D93" w:rsidRDefault="005417FE" w:rsidP="0045026E">
      <w:pPr>
        <w:pStyle w:val="SMHeading"/>
        <w:jc w:val="center"/>
        <w:rPr>
          <w:highlight w:val="yellow"/>
          <w:lang w:val="en-GB"/>
        </w:rPr>
      </w:pPr>
      <w:bookmarkStart w:id="30" w:name="_Toc60758366"/>
      <w:r w:rsidRPr="005F0D93">
        <w:rPr>
          <w:highlight w:val="yellow"/>
          <w:lang w:val="en-GB"/>
        </w:rPr>
        <w:t>Table S2 Forest fragmentation and intensity</w:t>
      </w:r>
      <w:bookmarkEnd w:id="3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1363"/>
        <w:gridCol w:w="1803"/>
        <w:gridCol w:w="1363"/>
        <w:gridCol w:w="1803"/>
      </w:tblGrid>
      <w:tr w:rsidR="005417FE" w:rsidRPr="005F0D93" w:rsidTr="00C500E7">
        <w:tc>
          <w:tcPr>
            <w:tcW w:w="0" w:type="auto"/>
            <w:tcBorders>
              <w:top w:val="single" w:sz="12" w:space="0" w:color="auto"/>
            </w:tcBorders>
          </w:tcPr>
          <w:p w:rsidR="005417FE" w:rsidRPr="005F0D93" w:rsidRDefault="005417FE" w:rsidP="008E7461">
            <w:pPr>
              <w:rPr>
                <w:color w:val="000000"/>
                <w:highlight w:val="yellow"/>
              </w:rPr>
            </w:pPr>
          </w:p>
        </w:tc>
        <w:tc>
          <w:tcPr>
            <w:tcW w:w="0" w:type="auto"/>
            <w:gridSpan w:val="4"/>
            <w:tcBorders>
              <w:top w:val="single" w:sz="12" w:space="0" w:color="auto"/>
            </w:tcBorders>
          </w:tcPr>
          <w:p w:rsidR="005417FE" w:rsidRPr="005F0D93" w:rsidRDefault="005417FE" w:rsidP="00127ED9">
            <w:pPr>
              <w:jc w:val="center"/>
              <w:rPr>
                <w:color w:val="000000"/>
                <w:highlight w:val="yellow"/>
              </w:rPr>
            </w:pPr>
            <w:r w:rsidRPr="005F0D93">
              <w:rPr>
                <w:color w:val="000000"/>
                <w:highlight w:val="yellow"/>
              </w:rPr>
              <w:t>Threshold of forest in the 3×3km fishnet</w:t>
            </w:r>
          </w:p>
        </w:tc>
      </w:tr>
      <w:tr w:rsidR="00045E34" w:rsidRPr="005F0D93" w:rsidTr="00C500E7">
        <w:tc>
          <w:tcPr>
            <w:tcW w:w="0" w:type="auto"/>
          </w:tcPr>
          <w:p w:rsidR="00045E34" w:rsidRPr="005F0D93" w:rsidRDefault="00045E34" w:rsidP="008E7461">
            <w:pPr>
              <w:rPr>
                <w:color w:val="000000"/>
                <w:highlight w:val="yellow"/>
              </w:rPr>
            </w:pPr>
          </w:p>
        </w:tc>
        <w:tc>
          <w:tcPr>
            <w:tcW w:w="0" w:type="auto"/>
            <w:gridSpan w:val="2"/>
          </w:tcPr>
          <w:p w:rsidR="00045E34" w:rsidRPr="005F0D93" w:rsidRDefault="00045E34" w:rsidP="00127ED9">
            <w:pPr>
              <w:jc w:val="center"/>
              <w:rPr>
                <w:color w:val="000000"/>
                <w:highlight w:val="yellow"/>
              </w:rPr>
            </w:pPr>
            <w:r w:rsidRPr="005F0D93">
              <w:rPr>
                <w:color w:val="000000"/>
                <w:highlight w:val="yellow"/>
              </w:rPr>
              <w:t>5</w:t>
            </w:r>
          </w:p>
        </w:tc>
        <w:tc>
          <w:tcPr>
            <w:tcW w:w="0" w:type="auto"/>
            <w:gridSpan w:val="2"/>
          </w:tcPr>
          <w:p w:rsidR="00045E34" w:rsidRPr="005F0D93" w:rsidRDefault="00045E34" w:rsidP="00127ED9">
            <w:pPr>
              <w:jc w:val="center"/>
              <w:rPr>
                <w:color w:val="000000"/>
                <w:highlight w:val="yellow"/>
              </w:rPr>
            </w:pPr>
            <w:r w:rsidRPr="005F0D93">
              <w:rPr>
                <w:color w:val="000000"/>
                <w:highlight w:val="yellow"/>
              </w:rPr>
              <w:t>4</w:t>
            </w:r>
          </w:p>
        </w:tc>
      </w:tr>
      <w:tr w:rsidR="00045E34" w:rsidRPr="005F0D93" w:rsidTr="00C500E7">
        <w:tc>
          <w:tcPr>
            <w:tcW w:w="0" w:type="auto"/>
            <w:tcBorders>
              <w:bottom w:val="single" w:sz="12" w:space="0" w:color="auto"/>
            </w:tcBorders>
          </w:tcPr>
          <w:p w:rsidR="00045E34" w:rsidRPr="005F0D93" w:rsidRDefault="00045E34" w:rsidP="008E7461">
            <w:pPr>
              <w:rPr>
                <w:color w:val="000000"/>
                <w:highlight w:val="yellow"/>
              </w:rPr>
            </w:pPr>
          </w:p>
        </w:tc>
        <w:tc>
          <w:tcPr>
            <w:tcW w:w="0" w:type="auto"/>
            <w:tcBorders>
              <w:bottom w:val="single" w:sz="12" w:space="0" w:color="auto"/>
            </w:tcBorders>
          </w:tcPr>
          <w:p w:rsidR="00045E34" w:rsidRPr="005F0D93" w:rsidRDefault="00C500E7" w:rsidP="008E7461">
            <w:pPr>
              <w:rPr>
                <w:color w:val="000000"/>
                <w:highlight w:val="yellow"/>
              </w:rPr>
            </w:pPr>
            <w:r w:rsidRPr="005F0D93">
              <w:rPr>
                <w:color w:val="000000"/>
                <w:highlight w:val="yellow"/>
              </w:rPr>
              <w:t>F</w:t>
            </w:r>
            <w:r w:rsidR="00045E34" w:rsidRPr="005F0D93">
              <w:rPr>
                <w:color w:val="000000"/>
                <w:highlight w:val="yellow"/>
              </w:rPr>
              <w:t>ragmented</w:t>
            </w:r>
          </w:p>
        </w:tc>
        <w:tc>
          <w:tcPr>
            <w:tcW w:w="0" w:type="auto"/>
            <w:tcBorders>
              <w:bottom w:val="single" w:sz="12" w:space="0" w:color="auto"/>
            </w:tcBorders>
          </w:tcPr>
          <w:p w:rsidR="00045E34" w:rsidRPr="005F0D93" w:rsidRDefault="00045E34" w:rsidP="008E7461">
            <w:pPr>
              <w:rPr>
                <w:color w:val="000000"/>
                <w:highlight w:val="yellow"/>
              </w:rPr>
            </w:pPr>
            <w:r w:rsidRPr="005F0D93">
              <w:rPr>
                <w:color w:val="000000"/>
                <w:highlight w:val="yellow"/>
              </w:rPr>
              <w:t>Non-fragmented</w:t>
            </w:r>
          </w:p>
        </w:tc>
        <w:tc>
          <w:tcPr>
            <w:tcW w:w="0" w:type="auto"/>
            <w:tcBorders>
              <w:bottom w:val="single" w:sz="12" w:space="0" w:color="auto"/>
            </w:tcBorders>
          </w:tcPr>
          <w:p w:rsidR="00045E34" w:rsidRPr="005F0D93" w:rsidRDefault="00C500E7" w:rsidP="008E7461">
            <w:pPr>
              <w:rPr>
                <w:color w:val="000000"/>
                <w:highlight w:val="yellow"/>
              </w:rPr>
            </w:pPr>
            <w:r w:rsidRPr="005F0D93">
              <w:rPr>
                <w:color w:val="000000"/>
                <w:highlight w:val="yellow"/>
              </w:rPr>
              <w:t>F</w:t>
            </w:r>
            <w:r w:rsidR="00045E34" w:rsidRPr="005F0D93">
              <w:rPr>
                <w:color w:val="000000"/>
                <w:highlight w:val="yellow"/>
              </w:rPr>
              <w:t>ragmented</w:t>
            </w:r>
          </w:p>
        </w:tc>
        <w:tc>
          <w:tcPr>
            <w:tcW w:w="0" w:type="auto"/>
            <w:tcBorders>
              <w:bottom w:val="single" w:sz="12" w:space="0" w:color="auto"/>
            </w:tcBorders>
          </w:tcPr>
          <w:p w:rsidR="00045E34" w:rsidRPr="005F0D93" w:rsidRDefault="00045E34" w:rsidP="008E7461">
            <w:pPr>
              <w:rPr>
                <w:color w:val="000000"/>
                <w:highlight w:val="yellow"/>
              </w:rPr>
            </w:pPr>
            <w:r w:rsidRPr="005F0D93">
              <w:rPr>
                <w:color w:val="000000"/>
                <w:highlight w:val="yellow"/>
              </w:rPr>
              <w:t>Non-fragmented</w:t>
            </w:r>
          </w:p>
        </w:tc>
      </w:tr>
      <w:tr w:rsidR="00045E34" w:rsidRPr="005F0D93" w:rsidTr="00C500E7">
        <w:tc>
          <w:tcPr>
            <w:tcW w:w="0" w:type="auto"/>
            <w:tcBorders>
              <w:top w:val="single" w:sz="12" w:space="0" w:color="auto"/>
            </w:tcBorders>
          </w:tcPr>
          <w:p w:rsidR="00045E34" w:rsidRPr="005F0D93" w:rsidRDefault="00045E34" w:rsidP="008E7461">
            <w:pPr>
              <w:rPr>
                <w:color w:val="000000"/>
                <w:highlight w:val="yellow"/>
              </w:rPr>
            </w:pPr>
            <w:r w:rsidRPr="005F0D93">
              <w:rPr>
                <w:color w:val="000000"/>
                <w:highlight w:val="yellow"/>
              </w:rPr>
              <w:t>Low-intensity forest</w:t>
            </w:r>
          </w:p>
        </w:tc>
        <w:tc>
          <w:tcPr>
            <w:tcW w:w="0" w:type="auto"/>
            <w:tcBorders>
              <w:top w:val="single" w:sz="12" w:space="0" w:color="auto"/>
            </w:tcBorders>
          </w:tcPr>
          <w:p w:rsidR="00045E34" w:rsidRPr="005F0D93" w:rsidRDefault="00045E34" w:rsidP="008E7461">
            <w:pPr>
              <w:rPr>
                <w:color w:val="000000"/>
                <w:highlight w:val="yellow"/>
              </w:rPr>
            </w:pPr>
            <w:r w:rsidRPr="005F0D93">
              <w:rPr>
                <w:color w:val="000000"/>
                <w:highlight w:val="yellow"/>
              </w:rPr>
              <w:t>28020</w:t>
            </w:r>
          </w:p>
        </w:tc>
        <w:tc>
          <w:tcPr>
            <w:tcW w:w="0" w:type="auto"/>
            <w:tcBorders>
              <w:top w:val="single" w:sz="12" w:space="0" w:color="auto"/>
            </w:tcBorders>
          </w:tcPr>
          <w:p w:rsidR="00045E34" w:rsidRPr="005F0D93" w:rsidRDefault="00045E34" w:rsidP="008E7461">
            <w:pPr>
              <w:rPr>
                <w:color w:val="000000"/>
                <w:highlight w:val="yellow"/>
              </w:rPr>
            </w:pPr>
            <w:r w:rsidRPr="005F0D93">
              <w:rPr>
                <w:color w:val="000000"/>
                <w:highlight w:val="yellow"/>
              </w:rPr>
              <w:t>458591</w:t>
            </w:r>
          </w:p>
        </w:tc>
        <w:tc>
          <w:tcPr>
            <w:tcW w:w="0" w:type="auto"/>
            <w:tcBorders>
              <w:top w:val="single" w:sz="12" w:space="0" w:color="auto"/>
            </w:tcBorders>
          </w:tcPr>
          <w:p w:rsidR="00045E34" w:rsidRPr="005F0D93" w:rsidRDefault="00045E34" w:rsidP="008E7461">
            <w:pPr>
              <w:rPr>
                <w:color w:val="000000"/>
                <w:highlight w:val="yellow"/>
              </w:rPr>
            </w:pPr>
            <w:r w:rsidRPr="005F0D93">
              <w:rPr>
                <w:color w:val="000000"/>
                <w:highlight w:val="yellow"/>
              </w:rPr>
              <w:t>18707</w:t>
            </w:r>
          </w:p>
        </w:tc>
        <w:tc>
          <w:tcPr>
            <w:tcW w:w="0" w:type="auto"/>
            <w:tcBorders>
              <w:top w:val="single" w:sz="12" w:space="0" w:color="auto"/>
            </w:tcBorders>
          </w:tcPr>
          <w:p w:rsidR="00045E34" w:rsidRPr="005F0D93" w:rsidRDefault="00045E34" w:rsidP="008E7461">
            <w:pPr>
              <w:rPr>
                <w:color w:val="000000"/>
                <w:highlight w:val="yellow"/>
              </w:rPr>
            </w:pPr>
            <w:r w:rsidRPr="005F0D93">
              <w:rPr>
                <w:color w:val="000000"/>
                <w:highlight w:val="yellow"/>
              </w:rPr>
              <w:t>467904</w:t>
            </w:r>
          </w:p>
        </w:tc>
      </w:tr>
      <w:tr w:rsidR="00045E34" w:rsidRPr="005F0D93" w:rsidTr="00C500E7">
        <w:tc>
          <w:tcPr>
            <w:tcW w:w="0" w:type="auto"/>
          </w:tcPr>
          <w:p w:rsidR="00045E34" w:rsidRPr="005F0D93" w:rsidRDefault="00045E34" w:rsidP="008E7461">
            <w:pPr>
              <w:rPr>
                <w:color w:val="000000"/>
                <w:highlight w:val="yellow"/>
              </w:rPr>
            </w:pPr>
            <w:r w:rsidRPr="005F0D93">
              <w:rPr>
                <w:color w:val="000000"/>
                <w:highlight w:val="yellow"/>
              </w:rPr>
              <w:t>Medium-intensity forest</w:t>
            </w:r>
          </w:p>
        </w:tc>
        <w:tc>
          <w:tcPr>
            <w:tcW w:w="0" w:type="auto"/>
          </w:tcPr>
          <w:p w:rsidR="00045E34" w:rsidRPr="005F0D93" w:rsidRDefault="00045E34" w:rsidP="008E7461">
            <w:pPr>
              <w:rPr>
                <w:color w:val="000000"/>
                <w:highlight w:val="yellow"/>
              </w:rPr>
            </w:pPr>
            <w:r w:rsidRPr="005F0D93">
              <w:rPr>
                <w:color w:val="000000"/>
                <w:highlight w:val="yellow"/>
              </w:rPr>
              <w:t>32000</w:t>
            </w:r>
          </w:p>
        </w:tc>
        <w:tc>
          <w:tcPr>
            <w:tcW w:w="0" w:type="auto"/>
          </w:tcPr>
          <w:p w:rsidR="00045E34" w:rsidRPr="005F0D93" w:rsidRDefault="00045E34" w:rsidP="008E7461">
            <w:pPr>
              <w:rPr>
                <w:color w:val="000000"/>
                <w:highlight w:val="yellow"/>
              </w:rPr>
            </w:pPr>
            <w:r w:rsidRPr="005F0D93">
              <w:rPr>
                <w:color w:val="000000"/>
                <w:highlight w:val="yellow"/>
              </w:rPr>
              <w:t>608114</w:t>
            </w:r>
          </w:p>
        </w:tc>
        <w:tc>
          <w:tcPr>
            <w:tcW w:w="0" w:type="auto"/>
          </w:tcPr>
          <w:p w:rsidR="00045E34" w:rsidRPr="005F0D93" w:rsidRDefault="00045E34" w:rsidP="008E7461">
            <w:pPr>
              <w:rPr>
                <w:color w:val="000000"/>
                <w:highlight w:val="yellow"/>
              </w:rPr>
            </w:pPr>
            <w:r w:rsidRPr="005F0D93">
              <w:rPr>
                <w:color w:val="000000"/>
                <w:highlight w:val="yellow"/>
              </w:rPr>
              <w:t>20278</w:t>
            </w:r>
          </w:p>
        </w:tc>
        <w:tc>
          <w:tcPr>
            <w:tcW w:w="0" w:type="auto"/>
          </w:tcPr>
          <w:p w:rsidR="00045E34" w:rsidRPr="005F0D93" w:rsidRDefault="00045E34" w:rsidP="008E7461">
            <w:pPr>
              <w:rPr>
                <w:color w:val="000000"/>
                <w:highlight w:val="yellow"/>
              </w:rPr>
            </w:pPr>
            <w:r w:rsidRPr="005F0D93">
              <w:rPr>
                <w:color w:val="000000"/>
                <w:highlight w:val="yellow"/>
              </w:rPr>
              <w:t>619836</w:t>
            </w:r>
          </w:p>
        </w:tc>
      </w:tr>
      <w:tr w:rsidR="00045E34" w:rsidRPr="005F0D93" w:rsidTr="00C500E7">
        <w:tc>
          <w:tcPr>
            <w:tcW w:w="0" w:type="auto"/>
          </w:tcPr>
          <w:p w:rsidR="00045E34" w:rsidRPr="005F0D93" w:rsidRDefault="00045E34" w:rsidP="008E7461">
            <w:pPr>
              <w:rPr>
                <w:color w:val="000000"/>
                <w:highlight w:val="yellow"/>
              </w:rPr>
            </w:pPr>
            <w:r w:rsidRPr="005F0D93">
              <w:rPr>
                <w:color w:val="000000"/>
                <w:highlight w:val="yellow"/>
              </w:rPr>
              <w:t>High-intensity forest</w:t>
            </w:r>
          </w:p>
        </w:tc>
        <w:tc>
          <w:tcPr>
            <w:tcW w:w="0" w:type="auto"/>
          </w:tcPr>
          <w:p w:rsidR="00045E34" w:rsidRPr="005F0D93" w:rsidRDefault="00045E34" w:rsidP="008E7461">
            <w:pPr>
              <w:rPr>
                <w:color w:val="000000"/>
                <w:highlight w:val="yellow"/>
              </w:rPr>
            </w:pPr>
            <w:r w:rsidRPr="005F0D93">
              <w:rPr>
                <w:color w:val="000000"/>
                <w:highlight w:val="yellow"/>
              </w:rPr>
              <w:t>20354</w:t>
            </w:r>
          </w:p>
        </w:tc>
        <w:tc>
          <w:tcPr>
            <w:tcW w:w="0" w:type="auto"/>
          </w:tcPr>
          <w:p w:rsidR="00045E34" w:rsidRPr="005F0D93" w:rsidRDefault="00045E34" w:rsidP="008E7461">
            <w:pPr>
              <w:rPr>
                <w:color w:val="000000"/>
                <w:highlight w:val="yellow"/>
              </w:rPr>
            </w:pPr>
            <w:r w:rsidRPr="005F0D93">
              <w:rPr>
                <w:color w:val="000000"/>
                <w:highlight w:val="yellow"/>
              </w:rPr>
              <w:t>474237</w:t>
            </w:r>
          </w:p>
        </w:tc>
        <w:tc>
          <w:tcPr>
            <w:tcW w:w="0" w:type="auto"/>
          </w:tcPr>
          <w:p w:rsidR="00045E34" w:rsidRPr="005F0D93" w:rsidRDefault="00045E34" w:rsidP="008E7461">
            <w:pPr>
              <w:rPr>
                <w:color w:val="000000"/>
                <w:highlight w:val="yellow"/>
              </w:rPr>
            </w:pPr>
            <w:r w:rsidRPr="005F0D93">
              <w:rPr>
                <w:color w:val="000000"/>
                <w:highlight w:val="yellow"/>
              </w:rPr>
              <w:t>11515</w:t>
            </w:r>
          </w:p>
        </w:tc>
        <w:tc>
          <w:tcPr>
            <w:tcW w:w="0" w:type="auto"/>
          </w:tcPr>
          <w:p w:rsidR="00045E34" w:rsidRPr="005F0D93" w:rsidRDefault="00045E34" w:rsidP="008E7461">
            <w:pPr>
              <w:rPr>
                <w:color w:val="000000"/>
                <w:highlight w:val="yellow"/>
              </w:rPr>
            </w:pPr>
            <w:r w:rsidRPr="005F0D93">
              <w:rPr>
                <w:color w:val="000000"/>
                <w:highlight w:val="yellow"/>
              </w:rPr>
              <w:t>483076</w:t>
            </w:r>
          </w:p>
        </w:tc>
      </w:tr>
      <w:tr w:rsidR="00045E34" w:rsidRPr="005F0D93" w:rsidTr="00C500E7">
        <w:tc>
          <w:tcPr>
            <w:tcW w:w="0" w:type="auto"/>
            <w:tcBorders>
              <w:bottom w:val="single" w:sz="12" w:space="0" w:color="auto"/>
            </w:tcBorders>
          </w:tcPr>
          <w:p w:rsidR="00045E34" w:rsidRPr="005F0D93" w:rsidRDefault="00045E34" w:rsidP="008E7461">
            <w:pPr>
              <w:rPr>
                <w:color w:val="000000"/>
                <w:highlight w:val="yellow"/>
              </w:rPr>
            </w:pPr>
            <w:r w:rsidRPr="005F0D93">
              <w:rPr>
                <w:color w:val="000000"/>
                <w:highlight w:val="yellow"/>
              </w:rPr>
              <w:t>Total forest</w:t>
            </w:r>
          </w:p>
        </w:tc>
        <w:tc>
          <w:tcPr>
            <w:tcW w:w="0" w:type="auto"/>
            <w:tcBorders>
              <w:bottom w:val="single" w:sz="12" w:space="0" w:color="auto"/>
            </w:tcBorders>
            <w:vAlign w:val="center"/>
          </w:tcPr>
          <w:p w:rsidR="00045E34" w:rsidRPr="005F0D93" w:rsidRDefault="00045E34" w:rsidP="008E7461">
            <w:pPr>
              <w:rPr>
                <w:color w:val="000000"/>
                <w:highlight w:val="yellow"/>
              </w:rPr>
            </w:pPr>
            <w:r w:rsidRPr="005F0D93">
              <w:rPr>
                <w:color w:val="000000"/>
                <w:highlight w:val="yellow"/>
              </w:rPr>
              <w:t>80374</w:t>
            </w:r>
          </w:p>
        </w:tc>
        <w:tc>
          <w:tcPr>
            <w:tcW w:w="0" w:type="auto"/>
            <w:tcBorders>
              <w:bottom w:val="single" w:sz="12" w:space="0" w:color="auto"/>
            </w:tcBorders>
            <w:vAlign w:val="center"/>
          </w:tcPr>
          <w:p w:rsidR="00045E34" w:rsidRPr="005F0D93" w:rsidRDefault="00045E34" w:rsidP="008E7461">
            <w:pPr>
              <w:rPr>
                <w:color w:val="000000"/>
                <w:highlight w:val="yellow"/>
              </w:rPr>
            </w:pPr>
            <w:r w:rsidRPr="005F0D93">
              <w:rPr>
                <w:color w:val="000000"/>
                <w:highlight w:val="yellow"/>
              </w:rPr>
              <w:t>1540942</w:t>
            </w:r>
          </w:p>
        </w:tc>
        <w:tc>
          <w:tcPr>
            <w:tcW w:w="0" w:type="auto"/>
            <w:tcBorders>
              <w:bottom w:val="single" w:sz="12" w:space="0" w:color="auto"/>
            </w:tcBorders>
            <w:vAlign w:val="center"/>
          </w:tcPr>
          <w:p w:rsidR="00045E34" w:rsidRPr="005F0D93" w:rsidRDefault="00045E34" w:rsidP="008E7461">
            <w:pPr>
              <w:rPr>
                <w:color w:val="000000"/>
                <w:highlight w:val="yellow"/>
              </w:rPr>
            </w:pPr>
            <w:r w:rsidRPr="005F0D93">
              <w:rPr>
                <w:color w:val="000000"/>
                <w:highlight w:val="yellow"/>
              </w:rPr>
              <w:t>50500</w:t>
            </w:r>
          </w:p>
        </w:tc>
        <w:tc>
          <w:tcPr>
            <w:tcW w:w="0" w:type="auto"/>
            <w:tcBorders>
              <w:bottom w:val="single" w:sz="12" w:space="0" w:color="auto"/>
            </w:tcBorders>
            <w:vAlign w:val="center"/>
          </w:tcPr>
          <w:p w:rsidR="00045E34" w:rsidRPr="005F0D93" w:rsidRDefault="00045E34" w:rsidP="008E7461">
            <w:pPr>
              <w:rPr>
                <w:color w:val="000000"/>
                <w:highlight w:val="yellow"/>
              </w:rPr>
            </w:pPr>
            <w:r w:rsidRPr="005F0D93">
              <w:rPr>
                <w:color w:val="000000"/>
                <w:highlight w:val="yellow"/>
              </w:rPr>
              <w:t>1570816</w:t>
            </w:r>
          </w:p>
        </w:tc>
      </w:tr>
    </w:tbl>
    <w:p w:rsidR="00045E34" w:rsidRPr="005F0D93" w:rsidRDefault="00045E34" w:rsidP="00045E34">
      <w:pPr>
        <w:pBdr>
          <w:top w:val="nil"/>
          <w:left w:val="nil"/>
          <w:bottom w:val="nil"/>
          <w:right w:val="nil"/>
          <w:between w:val="nil"/>
        </w:pBdr>
        <w:rPr>
          <w:color w:val="000000"/>
          <w:highlight w:val="yellow"/>
        </w:rPr>
      </w:pPr>
    </w:p>
    <w:p w:rsidR="00635B0B" w:rsidRPr="005F0D93" w:rsidRDefault="005C32D9" w:rsidP="005C32D9">
      <w:pPr>
        <w:ind w:firstLine="720"/>
        <w:rPr>
          <w:szCs w:val="24"/>
          <w:highlight w:val="yellow"/>
        </w:rPr>
      </w:pPr>
      <w:r w:rsidRPr="005F0D93">
        <w:rPr>
          <w:szCs w:val="24"/>
          <w:highlight w:val="yellow"/>
        </w:rPr>
        <w:t>Overall, the models with both climate variables and land cover/</w:t>
      </w:r>
      <w:r w:rsidR="00751A1C" w:rsidRPr="005F0D93">
        <w:rPr>
          <w:szCs w:val="24"/>
          <w:highlight w:val="yellow"/>
        </w:rPr>
        <w:t>system</w:t>
      </w:r>
      <w:r w:rsidRPr="005F0D93">
        <w:rPr>
          <w:szCs w:val="24"/>
          <w:highlight w:val="yellow"/>
        </w:rPr>
        <w:t xml:space="preserve"> maps have the highest </w:t>
      </w:r>
      <w:r w:rsidR="00AA57CB" w:rsidRPr="005F0D93">
        <w:rPr>
          <w:szCs w:val="24"/>
          <w:highlight w:val="yellow"/>
        </w:rPr>
        <w:t xml:space="preserve">AUC </w:t>
      </w:r>
      <w:r w:rsidRPr="005F0D93">
        <w:rPr>
          <w:szCs w:val="24"/>
          <w:highlight w:val="yellow"/>
        </w:rPr>
        <w:t>in all modeled species</w:t>
      </w:r>
      <w:r w:rsidR="005417FE" w:rsidRPr="005F0D93">
        <w:rPr>
          <w:szCs w:val="24"/>
          <w:highlight w:val="yellow"/>
        </w:rPr>
        <w:t xml:space="preserve"> (Figure </w:t>
      </w:r>
      <w:r w:rsidR="00622C6B" w:rsidRPr="005F0D93">
        <w:rPr>
          <w:szCs w:val="24"/>
          <w:highlight w:val="yellow"/>
        </w:rPr>
        <w:t>S</w:t>
      </w:r>
      <w:r w:rsidR="005417FE" w:rsidRPr="005F0D93">
        <w:rPr>
          <w:szCs w:val="24"/>
          <w:highlight w:val="yellow"/>
        </w:rPr>
        <w:t>1)</w:t>
      </w:r>
      <w:r w:rsidRPr="005F0D93">
        <w:rPr>
          <w:szCs w:val="24"/>
          <w:highlight w:val="yellow"/>
        </w:rPr>
        <w:t>. Models with the second highest fit are calibrated with climate vari</w:t>
      </w:r>
      <w:r w:rsidR="00751A1C" w:rsidRPr="005F0D93">
        <w:rPr>
          <w:szCs w:val="24"/>
          <w:highlight w:val="yellow"/>
        </w:rPr>
        <w:t>ables only and no land cover/system</w:t>
      </w:r>
      <w:r w:rsidRPr="005F0D93">
        <w:rPr>
          <w:szCs w:val="24"/>
          <w:highlight w:val="yellow"/>
        </w:rPr>
        <w:t xml:space="preserve"> maps. Models with lowest AUC appear to be</w:t>
      </w:r>
      <w:r w:rsidR="00751A1C" w:rsidRPr="005F0D93">
        <w:rPr>
          <w:szCs w:val="24"/>
          <w:highlight w:val="yellow"/>
        </w:rPr>
        <w:t xml:space="preserve"> using land cover/system</w:t>
      </w:r>
      <w:r w:rsidRPr="005F0D93">
        <w:rPr>
          <w:szCs w:val="24"/>
          <w:highlight w:val="yellow"/>
        </w:rPr>
        <w:t xml:space="preserve"> maps only and no climate variables. Although climate variables are visibly dominant in these models, the inclusion of land cover/</w:t>
      </w:r>
      <w:r w:rsidR="00751A1C" w:rsidRPr="005F0D93">
        <w:rPr>
          <w:szCs w:val="24"/>
          <w:highlight w:val="yellow"/>
        </w:rPr>
        <w:t>system</w:t>
      </w:r>
      <w:r w:rsidRPr="005F0D93">
        <w:rPr>
          <w:szCs w:val="24"/>
          <w:highlight w:val="yellow"/>
        </w:rPr>
        <w:t xml:space="preserve"> maps consistently </w:t>
      </w:r>
      <w:r w:rsidR="00751A1C" w:rsidRPr="005F0D93">
        <w:rPr>
          <w:szCs w:val="24"/>
          <w:highlight w:val="yellow"/>
        </w:rPr>
        <w:t>increase</w:t>
      </w:r>
      <w:r w:rsidRPr="005F0D93">
        <w:rPr>
          <w:szCs w:val="24"/>
          <w:highlight w:val="yellow"/>
        </w:rPr>
        <w:t xml:space="preserve">s </w:t>
      </w:r>
      <w:r w:rsidR="00AA57CB" w:rsidRPr="005F0D93">
        <w:rPr>
          <w:szCs w:val="24"/>
          <w:highlight w:val="yellow"/>
        </w:rPr>
        <w:t>AUC</w:t>
      </w:r>
      <w:r w:rsidRPr="005F0D93">
        <w:rPr>
          <w:szCs w:val="24"/>
          <w:highlight w:val="yellow"/>
        </w:rPr>
        <w:t xml:space="preserve"> despite the size of the increase. For certain species, such as </w:t>
      </w:r>
      <w:r w:rsidRPr="005F0D93">
        <w:rPr>
          <w:i/>
          <w:szCs w:val="24"/>
          <w:highlight w:val="yellow"/>
        </w:rPr>
        <w:t>Dendrocopos major</w:t>
      </w:r>
      <w:r w:rsidRPr="005F0D93">
        <w:rPr>
          <w:szCs w:val="24"/>
          <w:highlight w:val="yellow"/>
        </w:rPr>
        <w:t xml:space="preserve"> and </w:t>
      </w:r>
      <w:r w:rsidRPr="005F0D93">
        <w:rPr>
          <w:i/>
          <w:szCs w:val="24"/>
          <w:highlight w:val="yellow"/>
        </w:rPr>
        <w:t>Motacilla flava</w:t>
      </w:r>
      <w:r w:rsidRPr="005F0D93">
        <w:rPr>
          <w:szCs w:val="24"/>
          <w:highlight w:val="yellow"/>
        </w:rPr>
        <w:t xml:space="preserve">, adding land system map to climate variables allows the </w:t>
      </w:r>
      <w:r w:rsidR="00AA57CB" w:rsidRPr="005F0D93">
        <w:rPr>
          <w:szCs w:val="24"/>
          <w:highlight w:val="yellow"/>
        </w:rPr>
        <w:t xml:space="preserve">AUC </w:t>
      </w:r>
      <w:r w:rsidRPr="005F0D93">
        <w:rPr>
          <w:szCs w:val="24"/>
          <w:highlight w:val="yellow"/>
        </w:rPr>
        <w:t xml:space="preserve">to increase by 5%. Consistently, the land system map, as compared to the other two land cover maps, leads to higher </w:t>
      </w:r>
      <w:r w:rsidR="00AA57CB" w:rsidRPr="005F0D93">
        <w:rPr>
          <w:szCs w:val="24"/>
          <w:highlight w:val="yellow"/>
        </w:rPr>
        <w:t>AUC</w:t>
      </w:r>
      <w:r w:rsidRPr="005F0D93">
        <w:rPr>
          <w:szCs w:val="24"/>
          <w:highlight w:val="yellow"/>
        </w:rPr>
        <w:t>. Within the models using the combination of climate variables and land cover/</w:t>
      </w:r>
      <w:r w:rsidR="00751A1C" w:rsidRPr="005F0D93">
        <w:rPr>
          <w:szCs w:val="24"/>
          <w:highlight w:val="yellow"/>
        </w:rPr>
        <w:t>system</w:t>
      </w:r>
      <w:r w:rsidRPr="005F0D93">
        <w:rPr>
          <w:szCs w:val="24"/>
          <w:highlight w:val="yellow"/>
        </w:rPr>
        <w:t xml:space="preserve"> maps, land system classification almost always produces the highest AUC. For models without climate variables, the </w:t>
      </w:r>
      <w:r w:rsidR="00AA57CB" w:rsidRPr="005F0D93">
        <w:rPr>
          <w:szCs w:val="24"/>
          <w:highlight w:val="yellow"/>
        </w:rPr>
        <w:t>AUC</w:t>
      </w:r>
      <w:r w:rsidRPr="005F0D93">
        <w:rPr>
          <w:szCs w:val="24"/>
          <w:highlight w:val="yellow"/>
        </w:rPr>
        <w:t xml:space="preserve"> when using the land system classification remains the highest. The gap in </w:t>
      </w:r>
      <w:r w:rsidR="00AA57CB" w:rsidRPr="005F0D93">
        <w:rPr>
          <w:szCs w:val="24"/>
          <w:highlight w:val="yellow"/>
        </w:rPr>
        <w:t>AUC</w:t>
      </w:r>
      <w:r w:rsidRPr="005F0D93">
        <w:rPr>
          <w:szCs w:val="24"/>
          <w:highlight w:val="yellow"/>
        </w:rPr>
        <w:t xml:space="preserve"> can be as large as 20%, with AUC increasing from 0.703 to 0.837 (e.g., </w:t>
      </w:r>
      <w:r w:rsidRPr="005F0D93">
        <w:rPr>
          <w:i/>
          <w:szCs w:val="24"/>
          <w:highlight w:val="yellow"/>
        </w:rPr>
        <w:t>Columba oenas</w:t>
      </w:r>
      <w:r w:rsidRPr="005F0D93">
        <w:rPr>
          <w:szCs w:val="24"/>
          <w:highlight w:val="yellow"/>
        </w:rPr>
        <w:t>).</w:t>
      </w:r>
    </w:p>
    <w:p w:rsidR="00635B0B" w:rsidRPr="005F0D93" w:rsidRDefault="00635B0B" w:rsidP="00635B0B">
      <w:pPr>
        <w:ind w:firstLine="720"/>
        <w:rPr>
          <w:szCs w:val="24"/>
          <w:highlight w:val="yellow"/>
        </w:rPr>
      </w:pPr>
      <w:r w:rsidRPr="005F0D93">
        <w:rPr>
          <w:szCs w:val="24"/>
          <w:highlight w:val="yellow"/>
        </w:rPr>
        <w:t>The variable contribution of different land cover/</w:t>
      </w:r>
      <w:r w:rsidR="00751A1C" w:rsidRPr="005F0D93">
        <w:rPr>
          <w:szCs w:val="24"/>
          <w:highlight w:val="yellow"/>
        </w:rPr>
        <w:t xml:space="preserve">system </w:t>
      </w:r>
      <w:r w:rsidRPr="005F0D93">
        <w:rPr>
          <w:szCs w:val="24"/>
          <w:highlight w:val="yellow"/>
        </w:rPr>
        <w:t>maps (</w:t>
      </w:r>
      <w:r w:rsidR="005417FE" w:rsidRPr="005F0D93">
        <w:rPr>
          <w:szCs w:val="24"/>
          <w:highlight w:val="yellow"/>
        </w:rPr>
        <w:t xml:space="preserve">Fig. </w:t>
      </w:r>
      <w:r w:rsidR="00622C6B" w:rsidRPr="005F0D93">
        <w:rPr>
          <w:szCs w:val="24"/>
          <w:highlight w:val="yellow"/>
        </w:rPr>
        <w:t>S</w:t>
      </w:r>
      <w:r w:rsidR="005417FE" w:rsidRPr="005F0D93">
        <w:rPr>
          <w:szCs w:val="24"/>
          <w:highlight w:val="yellow"/>
        </w:rPr>
        <w:t>2</w:t>
      </w:r>
      <w:r w:rsidRPr="005F0D93">
        <w:rPr>
          <w:szCs w:val="24"/>
          <w:highlight w:val="yellow"/>
        </w:rPr>
        <w:t>) also shows a clear pattern. The land system map always has the largest contribution to the spatial distribution of modeled species among the three land cover/</w:t>
      </w:r>
      <w:r w:rsidR="00751A1C" w:rsidRPr="005F0D93">
        <w:rPr>
          <w:szCs w:val="24"/>
          <w:highlight w:val="yellow"/>
        </w:rPr>
        <w:t>system</w:t>
      </w:r>
      <w:r w:rsidRPr="005F0D93">
        <w:rPr>
          <w:szCs w:val="24"/>
          <w:highlight w:val="yellow"/>
        </w:rPr>
        <w:t xml:space="preserve"> maps. The difference of contribution between land system map and land cover maps range from 1.3% to 22.6%. Despite the dominant explanatory role of cli</w:t>
      </w:r>
      <w:r w:rsidR="00751A1C" w:rsidRPr="005F0D93">
        <w:rPr>
          <w:szCs w:val="24"/>
          <w:highlight w:val="yellow"/>
        </w:rPr>
        <w:t>mate variables, land system map</w:t>
      </w:r>
      <w:r w:rsidRPr="005F0D93">
        <w:rPr>
          <w:szCs w:val="24"/>
          <w:highlight w:val="yellow"/>
        </w:rPr>
        <w:t xml:space="preserve"> sometimes can account for more than 50% among all variables contributing to the spatial distribution such as </w:t>
      </w:r>
      <w:r w:rsidRPr="005F0D93">
        <w:rPr>
          <w:i/>
          <w:szCs w:val="24"/>
          <w:highlight w:val="yellow"/>
        </w:rPr>
        <w:t>Dendrocopos major</w:t>
      </w:r>
      <w:r w:rsidRPr="005F0D93">
        <w:rPr>
          <w:szCs w:val="24"/>
          <w:highlight w:val="yellow"/>
        </w:rPr>
        <w:t xml:space="preserve">, </w:t>
      </w:r>
      <w:r w:rsidRPr="005F0D93">
        <w:rPr>
          <w:i/>
          <w:szCs w:val="24"/>
          <w:highlight w:val="yellow"/>
        </w:rPr>
        <w:t xml:space="preserve">Motacilla flava, Phoenicurus phoenicurus </w:t>
      </w:r>
      <w:r w:rsidRPr="005F0D93">
        <w:rPr>
          <w:szCs w:val="24"/>
          <w:highlight w:val="yellow"/>
        </w:rPr>
        <w:t>(</w:t>
      </w:r>
      <w:r w:rsidRPr="005F0D93">
        <w:rPr>
          <w:color w:val="000000"/>
          <w:szCs w:val="24"/>
          <w:highlight w:val="yellow"/>
        </w:rPr>
        <w:t>Fig.</w:t>
      </w:r>
      <w:r w:rsidRPr="005F0D93">
        <w:rPr>
          <w:szCs w:val="24"/>
          <w:highlight w:val="yellow"/>
        </w:rPr>
        <w:t xml:space="preserve"> </w:t>
      </w:r>
      <w:r w:rsidR="00622C6B" w:rsidRPr="005F0D93">
        <w:rPr>
          <w:szCs w:val="24"/>
          <w:highlight w:val="yellow"/>
        </w:rPr>
        <w:t>S</w:t>
      </w:r>
      <w:r w:rsidR="005417FE" w:rsidRPr="005F0D93">
        <w:rPr>
          <w:szCs w:val="24"/>
          <w:highlight w:val="yellow"/>
        </w:rPr>
        <w:t>2</w:t>
      </w:r>
      <w:r w:rsidRPr="005F0D93">
        <w:rPr>
          <w:szCs w:val="24"/>
          <w:highlight w:val="yellow"/>
        </w:rPr>
        <w:t>).</w:t>
      </w:r>
      <w:r w:rsidRPr="005F0D93">
        <w:rPr>
          <w:i/>
          <w:szCs w:val="24"/>
          <w:highlight w:val="yellow"/>
        </w:rPr>
        <w:t xml:space="preserve"> </w:t>
      </w:r>
      <w:r w:rsidRPr="005F0D93">
        <w:rPr>
          <w:szCs w:val="24"/>
          <w:highlight w:val="yellow"/>
        </w:rPr>
        <w:t xml:space="preserve">While for species vulnerable to forest management (indicated as group 1 in </w:t>
      </w:r>
      <w:r w:rsidRPr="005F0D93">
        <w:rPr>
          <w:color w:val="000000"/>
          <w:szCs w:val="24"/>
          <w:highlight w:val="yellow"/>
        </w:rPr>
        <w:t>Fig.</w:t>
      </w:r>
      <w:r w:rsidRPr="005F0D93">
        <w:rPr>
          <w:szCs w:val="24"/>
          <w:highlight w:val="yellow"/>
        </w:rPr>
        <w:t xml:space="preserve"> </w:t>
      </w:r>
      <w:r w:rsidR="00622C6B" w:rsidRPr="005F0D93">
        <w:rPr>
          <w:szCs w:val="24"/>
          <w:highlight w:val="yellow"/>
        </w:rPr>
        <w:t>S</w:t>
      </w:r>
      <w:r w:rsidR="005417FE" w:rsidRPr="005F0D93">
        <w:rPr>
          <w:szCs w:val="24"/>
          <w:highlight w:val="yellow"/>
        </w:rPr>
        <w:t>2</w:t>
      </w:r>
      <w:r w:rsidRPr="005F0D93">
        <w:rPr>
          <w:szCs w:val="24"/>
          <w:highlight w:val="yellow"/>
        </w:rPr>
        <w:t xml:space="preserve">) and for generalist species (indicated as group 3 in </w:t>
      </w:r>
      <w:r w:rsidRPr="005F0D93">
        <w:rPr>
          <w:color w:val="000000"/>
          <w:szCs w:val="24"/>
          <w:highlight w:val="yellow"/>
        </w:rPr>
        <w:t>Fig.</w:t>
      </w:r>
      <w:r w:rsidRPr="005F0D93">
        <w:rPr>
          <w:szCs w:val="24"/>
          <w:highlight w:val="yellow"/>
        </w:rPr>
        <w:t xml:space="preserve"> </w:t>
      </w:r>
      <w:r w:rsidR="00622C6B" w:rsidRPr="005F0D93">
        <w:rPr>
          <w:szCs w:val="24"/>
          <w:highlight w:val="yellow"/>
        </w:rPr>
        <w:t>S</w:t>
      </w:r>
      <w:r w:rsidR="005417FE" w:rsidRPr="005F0D93">
        <w:rPr>
          <w:szCs w:val="24"/>
          <w:highlight w:val="yellow"/>
        </w:rPr>
        <w:t>2</w:t>
      </w:r>
      <w:r w:rsidRPr="005F0D93">
        <w:rPr>
          <w:szCs w:val="24"/>
          <w:highlight w:val="yellow"/>
        </w:rPr>
        <w:t xml:space="preserve">), the land system map always demonstrates noticeably higher contribution than the other two land cover maps. This is, however, not always the case for the species that are vulnerable to agricultural land-use intensity (indicated as group 2 in </w:t>
      </w:r>
      <w:r w:rsidRPr="005F0D93">
        <w:rPr>
          <w:color w:val="000000"/>
          <w:szCs w:val="24"/>
          <w:highlight w:val="yellow"/>
        </w:rPr>
        <w:t>Fig.</w:t>
      </w:r>
      <w:r w:rsidRPr="005F0D93">
        <w:rPr>
          <w:szCs w:val="24"/>
          <w:highlight w:val="yellow"/>
        </w:rPr>
        <w:t xml:space="preserve"> </w:t>
      </w:r>
      <w:r w:rsidR="00622C6B" w:rsidRPr="005F0D93">
        <w:rPr>
          <w:szCs w:val="24"/>
          <w:highlight w:val="yellow"/>
        </w:rPr>
        <w:t>S</w:t>
      </w:r>
      <w:r w:rsidR="005417FE" w:rsidRPr="005F0D93">
        <w:rPr>
          <w:szCs w:val="24"/>
          <w:highlight w:val="yellow"/>
        </w:rPr>
        <w:t>2</w:t>
      </w:r>
      <w:r w:rsidRPr="005F0D93">
        <w:rPr>
          <w:szCs w:val="24"/>
          <w:highlight w:val="yellow"/>
        </w:rPr>
        <w:t xml:space="preserve">), particularly for </w:t>
      </w:r>
      <w:r w:rsidRPr="005F0D93">
        <w:rPr>
          <w:i/>
          <w:szCs w:val="24"/>
          <w:highlight w:val="yellow"/>
        </w:rPr>
        <w:t>Tyto alba</w:t>
      </w:r>
      <w:r w:rsidRPr="005F0D93">
        <w:rPr>
          <w:szCs w:val="24"/>
          <w:highlight w:val="yellow"/>
        </w:rPr>
        <w:t xml:space="preserve">. </w:t>
      </w:r>
    </w:p>
    <w:p w:rsidR="005C32D9" w:rsidRPr="00635B0B" w:rsidRDefault="005C32D9" w:rsidP="005C32D9">
      <w:pPr>
        <w:ind w:firstLine="720"/>
        <w:rPr>
          <w:szCs w:val="24"/>
        </w:rPr>
      </w:pPr>
      <w:r w:rsidRPr="005F0D93">
        <w:rPr>
          <w:szCs w:val="24"/>
          <w:highlight w:val="yellow"/>
        </w:rPr>
        <w:t xml:space="preserve">  </w:t>
      </w:r>
      <w:r w:rsidR="00593073" w:rsidRPr="005F0D93">
        <w:rPr>
          <w:szCs w:val="24"/>
          <w:highlight w:val="yellow"/>
        </w:rPr>
        <w:t xml:space="preserve">The inclusion of fragmentation only provided limited improvement in AUC, particularly when combined with climate variables. The AUC improvement by including the forest fragmentation to the land systems map only increased AUC ranging from 0.007 to 0.016 </w:t>
      </w:r>
      <w:r w:rsidR="00751A1C" w:rsidRPr="005F0D93">
        <w:rPr>
          <w:szCs w:val="24"/>
          <w:highlight w:val="yellow"/>
        </w:rPr>
        <w:t xml:space="preserve">in models calibrated with </w:t>
      </w:r>
      <w:r w:rsidR="00593073" w:rsidRPr="005F0D93">
        <w:rPr>
          <w:szCs w:val="24"/>
          <w:highlight w:val="yellow"/>
        </w:rPr>
        <w:t>land system map</w:t>
      </w:r>
      <w:r w:rsidR="00751A1C" w:rsidRPr="005F0D93">
        <w:rPr>
          <w:szCs w:val="24"/>
          <w:highlight w:val="yellow"/>
        </w:rPr>
        <w:t xml:space="preserve"> solely</w:t>
      </w:r>
      <w:r w:rsidR="00593073" w:rsidRPr="005F0D93">
        <w:rPr>
          <w:szCs w:val="24"/>
          <w:highlight w:val="yellow"/>
        </w:rPr>
        <w:t xml:space="preserve">. The variable contributions from land system map without forest fragmentation and with forest fragmentation are also quite similar. The biggest increase from having forest fragmentation is in </w:t>
      </w:r>
      <w:r w:rsidR="00593073" w:rsidRPr="005F0D93">
        <w:rPr>
          <w:i/>
          <w:szCs w:val="24"/>
          <w:highlight w:val="yellow"/>
        </w:rPr>
        <w:t>Phoenicurus phenicurus</w:t>
      </w:r>
      <w:r w:rsidR="00593073" w:rsidRPr="005F0D93">
        <w:rPr>
          <w:szCs w:val="24"/>
          <w:highlight w:val="yellow"/>
        </w:rPr>
        <w:t xml:space="preserve">, of which the land system contribution increased from 48.3% to 56.6%. However, the increase of variable contributions in the rest species is minimal. Because the limited improvement in both AUC and variable contribution, we did not include forest fragmentation in the </w:t>
      </w:r>
      <w:r w:rsidR="00751A1C" w:rsidRPr="005F0D93">
        <w:rPr>
          <w:szCs w:val="24"/>
          <w:highlight w:val="yellow"/>
        </w:rPr>
        <w:t xml:space="preserve">final </w:t>
      </w:r>
      <w:r w:rsidR="00593073" w:rsidRPr="005F0D93">
        <w:rPr>
          <w:szCs w:val="24"/>
          <w:highlight w:val="yellow"/>
        </w:rPr>
        <w:t>land systems map.</w:t>
      </w:r>
    </w:p>
    <w:p w:rsidR="00045E34" w:rsidRPr="00635B0B" w:rsidRDefault="00045E34" w:rsidP="003477C4">
      <w:pPr>
        <w:rPr>
          <w:szCs w:val="24"/>
        </w:rPr>
      </w:pPr>
    </w:p>
    <w:p w:rsidR="005C32D9" w:rsidRDefault="005C32D9" w:rsidP="003477C4"/>
    <w:p w:rsidR="00A446D0" w:rsidRDefault="005C32D9" w:rsidP="00E06C6D">
      <w:pPr>
        <w:jc w:val="center"/>
      </w:pPr>
      <w:r>
        <w:rPr>
          <w:noProof/>
          <w:lang w:val="en-IN" w:eastAsia="en-IN"/>
        </w:rPr>
        <w:drawing>
          <wp:inline distT="0" distB="0" distL="0" distR="0">
            <wp:extent cx="5446800" cy="4057200"/>
            <wp:effectExtent l="0" t="0" r="190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oc.jpg"/>
                    <pic:cNvPicPr/>
                  </pic:nvPicPr>
                  <pic:blipFill rotWithShape="1">
                    <a:blip r:embed="rId11">
                      <a:extLst>
                        <a:ext uri="{28A0092B-C50C-407E-A947-70E740481C1C}">
                          <a14:useLocalDpi xmlns:a14="http://schemas.microsoft.com/office/drawing/2010/main" val="0"/>
                        </a:ext>
                      </a:extLst>
                    </a:blip>
                    <a:srcRect l="15198" t="1077" r="10395" b="385"/>
                    <a:stretch/>
                  </pic:blipFill>
                  <pic:spPr bwMode="auto">
                    <a:xfrm>
                      <a:off x="0" y="0"/>
                      <a:ext cx="5446800" cy="4057200"/>
                    </a:xfrm>
                    <a:prstGeom prst="rect">
                      <a:avLst/>
                    </a:prstGeom>
                    <a:ln>
                      <a:noFill/>
                    </a:ln>
                    <a:extLst>
                      <a:ext uri="{53640926-AAD7-44D8-BBD7-CCE9431645EC}">
                        <a14:shadowObscured xmlns:a14="http://schemas.microsoft.com/office/drawing/2010/main"/>
                      </a:ext>
                    </a:extLst>
                  </pic:spPr>
                </pic:pic>
              </a:graphicData>
            </a:graphic>
          </wp:inline>
        </w:drawing>
      </w:r>
    </w:p>
    <w:p w:rsidR="005417FE" w:rsidRPr="0045026E" w:rsidRDefault="005417FE" w:rsidP="0045026E">
      <w:pPr>
        <w:pStyle w:val="SMHeading"/>
        <w:jc w:val="center"/>
        <w:rPr>
          <w:lang w:val="en-GB"/>
        </w:rPr>
      </w:pPr>
      <w:bookmarkStart w:id="31" w:name="_Toc60758367"/>
      <w:r w:rsidRPr="005F0D93">
        <w:rPr>
          <w:highlight w:val="yellow"/>
          <w:lang w:val="en-GB"/>
        </w:rPr>
        <w:t>Figure S</w:t>
      </w:r>
      <w:r w:rsidR="00047223" w:rsidRPr="005F0D93">
        <w:rPr>
          <w:highlight w:val="yellow"/>
          <w:lang w:val="en-GB"/>
        </w:rPr>
        <w:t>1</w:t>
      </w:r>
      <w:r w:rsidRPr="005F0D93">
        <w:rPr>
          <w:highlight w:val="yellow"/>
          <w:lang w:val="en-GB"/>
        </w:rPr>
        <w:t xml:space="preserve"> </w:t>
      </w:r>
      <w:r w:rsidR="00AA57CB" w:rsidRPr="005F0D93">
        <w:rPr>
          <w:highlight w:val="yellow"/>
          <w:lang w:val="en-GB"/>
        </w:rPr>
        <w:t>Model predictive ability</w:t>
      </w:r>
      <w:r w:rsidR="00304CC4" w:rsidRPr="005F0D93">
        <w:rPr>
          <w:highlight w:val="yellow"/>
          <w:lang w:val="en-GB"/>
        </w:rPr>
        <w:t xml:space="preserve"> (AUC score) of selected bird species using Maxent models calibrated with different environmental variables</w:t>
      </w:r>
      <w:bookmarkEnd w:id="31"/>
    </w:p>
    <w:p w:rsidR="005417FE" w:rsidRDefault="005417FE" w:rsidP="00E06C6D">
      <w:pPr>
        <w:jc w:val="center"/>
      </w:pPr>
    </w:p>
    <w:p w:rsidR="00E06C6D" w:rsidRDefault="00E06C6D" w:rsidP="00E06C6D">
      <w:pPr>
        <w:jc w:val="center"/>
      </w:pPr>
      <w:r>
        <w:rPr>
          <w:noProof/>
          <w:lang w:val="en-IN" w:eastAsia="en-IN"/>
        </w:rPr>
        <w:drawing>
          <wp:inline distT="0" distB="0" distL="0" distR="0">
            <wp:extent cx="5594400" cy="3553200"/>
            <wp:effectExtent l="0" t="0" r="635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ariable contribution.jpg"/>
                    <pic:cNvPicPr/>
                  </pic:nvPicPr>
                  <pic:blipFill rotWithShape="1">
                    <a:blip r:embed="rId12">
                      <a:extLst>
                        <a:ext uri="{28A0092B-C50C-407E-A947-70E740481C1C}">
                          <a14:useLocalDpi xmlns:a14="http://schemas.microsoft.com/office/drawing/2010/main" val="0"/>
                        </a:ext>
                      </a:extLst>
                    </a:blip>
                    <a:srcRect l="7939" t="1210" r="15609" b="12482"/>
                    <a:stretch/>
                  </pic:blipFill>
                  <pic:spPr bwMode="auto">
                    <a:xfrm>
                      <a:off x="0" y="0"/>
                      <a:ext cx="5594400" cy="3553200"/>
                    </a:xfrm>
                    <a:prstGeom prst="rect">
                      <a:avLst/>
                    </a:prstGeom>
                    <a:ln>
                      <a:noFill/>
                    </a:ln>
                    <a:extLst>
                      <a:ext uri="{53640926-AAD7-44D8-BBD7-CCE9431645EC}">
                        <a14:shadowObscured xmlns:a14="http://schemas.microsoft.com/office/drawing/2010/main"/>
                      </a:ext>
                    </a:extLst>
                  </pic:spPr>
                </pic:pic>
              </a:graphicData>
            </a:graphic>
          </wp:inline>
        </w:drawing>
      </w:r>
    </w:p>
    <w:p w:rsidR="005417FE" w:rsidRPr="00E024FE" w:rsidRDefault="005417FE" w:rsidP="00D25714">
      <w:pPr>
        <w:pStyle w:val="SMHeading"/>
        <w:jc w:val="center"/>
        <w:rPr>
          <w:lang w:val="en-GB"/>
        </w:rPr>
      </w:pPr>
      <w:bookmarkStart w:id="32" w:name="_Toc60758368"/>
      <w:r w:rsidRPr="005F0D93">
        <w:rPr>
          <w:highlight w:val="yellow"/>
          <w:lang w:val="en-GB"/>
        </w:rPr>
        <w:t xml:space="preserve">Figure S2 </w:t>
      </w:r>
      <w:r w:rsidR="00BD34FE" w:rsidRPr="005F0D93">
        <w:rPr>
          <w:highlight w:val="yellow"/>
          <w:lang w:val="en-GB"/>
        </w:rPr>
        <w:t>Variable contribution from land cover/</w:t>
      </w:r>
      <w:r w:rsidR="008B2586" w:rsidRPr="005F0D93">
        <w:rPr>
          <w:highlight w:val="yellow"/>
          <w:lang w:val="en-GB"/>
        </w:rPr>
        <w:t xml:space="preserve">system </w:t>
      </w:r>
      <w:r w:rsidR="00BD34FE" w:rsidRPr="005F0D93">
        <w:rPr>
          <w:highlight w:val="yellow"/>
          <w:lang w:val="en-GB"/>
        </w:rPr>
        <w:t>maps to species distribution in Maxent models</w:t>
      </w:r>
      <w:r w:rsidR="00D25714" w:rsidRPr="005F0D93">
        <w:rPr>
          <w:highlight w:val="yellow"/>
          <w:lang w:val="en-GB"/>
        </w:rPr>
        <w:t xml:space="preserve"> </w:t>
      </w:r>
      <w:r w:rsidR="00BD34FE" w:rsidRPr="005F0D93">
        <w:rPr>
          <w:rFonts w:eastAsiaTheme="minorEastAsia"/>
          <w:highlight w:val="yellow"/>
          <w:lang w:eastAsia="zh-CN"/>
        </w:rPr>
        <w:t>calibrated with climate variables and land cover/</w:t>
      </w:r>
      <w:r w:rsidR="00E7653F" w:rsidRPr="005F0D93">
        <w:rPr>
          <w:rFonts w:eastAsiaTheme="minorEastAsia"/>
          <w:highlight w:val="yellow"/>
          <w:lang w:eastAsia="zh-CN"/>
        </w:rPr>
        <w:t>system</w:t>
      </w:r>
      <w:r w:rsidR="00BD34FE" w:rsidRPr="005F0D93">
        <w:rPr>
          <w:rFonts w:eastAsiaTheme="minorEastAsia"/>
          <w:highlight w:val="yellow"/>
          <w:lang w:eastAsia="zh-CN"/>
        </w:rPr>
        <w:t xml:space="preserve"> maps</w:t>
      </w:r>
      <w:bookmarkEnd w:id="32"/>
    </w:p>
    <w:p w:rsidR="00D25714" w:rsidRDefault="00D25714" w:rsidP="00164B40">
      <w:pPr>
        <w:ind w:firstLine="709"/>
        <w:rPr>
          <w:szCs w:val="24"/>
        </w:rPr>
      </w:pPr>
    </w:p>
    <w:p w:rsidR="007E0F0A" w:rsidRDefault="007E0F0A" w:rsidP="0045026E"/>
    <w:p w:rsidR="00A23907" w:rsidRDefault="00A23907" w:rsidP="00A23907">
      <w:pPr>
        <w:pStyle w:val="SMHeading"/>
        <w:jc w:val="center"/>
        <w:rPr>
          <w:lang w:val="en-GB"/>
        </w:rPr>
      </w:pPr>
      <w:bookmarkStart w:id="33" w:name="_Toc60758369"/>
      <w:r w:rsidRPr="00451E71">
        <w:rPr>
          <w:lang w:val="en-GB"/>
        </w:rPr>
        <w:t xml:space="preserve">Table </w:t>
      </w:r>
      <w:r w:rsidR="005417FE">
        <w:rPr>
          <w:lang w:val="en-GB"/>
        </w:rPr>
        <w:t>S3</w:t>
      </w:r>
      <w:r w:rsidR="005417FE" w:rsidRPr="00451E71">
        <w:rPr>
          <w:lang w:val="en-GB"/>
        </w:rPr>
        <w:t xml:space="preserve"> </w:t>
      </w:r>
      <w:r>
        <w:rPr>
          <w:lang w:val="en-GB"/>
        </w:rPr>
        <w:t>Overview of land systems</w:t>
      </w:r>
      <w:bookmarkEnd w:id="33"/>
    </w:p>
    <w:p w:rsidR="00A23907" w:rsidRPr="00451E71" w:rsidRDefault="00A23907" w:rsidP="00A23907">
      <w:pPr>
        <w:rPr>
          <w:lang w:val="en-GB"/>
        </w:rPr>
      </w:pPr>
    </w:p>
    <w:tbl>
      <w:tblPr>
        <w:tblW w:w="5000" w:type="pct"/>
        <w:tblLook w:val="04A0" w:firstRow="1" w:lastRow="0" w:firstColumn="1" w:lastColumn="0" w:noHBand="0" w:noVBand="1"/>
      </w:tblPr>
      <w:tblGrid>
        <w:gridCol w:w="1070"/>
        <w:gridCol w:w="1376"/>
        <w:gridCol w:w="1702"/>
        <w:gridCol w:w="1626"/>
        <w:gridCol w:w="1533"/>
        <w:gridCol w:w="1719"/>
      </w:tblGrid>
      <w:tr w:rsidR="00A23907" w:rsidRPr="009404A5" w:rsidTr="00A23907">
        <w:trPr>
          <w:trHeight w:val="1065"/>
        </w:trPr>
        <w:tc>
          <w:tcPr>
            <w:tcW w:w="593" w:type="pct"/>
            <w:tcBorders>
              <w:top w:val="single" w:sz="12" w:space="0" w:color="000000"/>
              <w:left w:val="nil"/>
              <w:bottom w:val="single" w:sz="12" w:space="0" w:color="000000"/>
              <w:right w:val="nil"/>
            </w:tcBorders>
            <w:shd w:val="clear" w:color="auto" w:fill="auto"/>
            <w:vAlign w:val="center"/>
            <w:hideMark/>
          </w:tcPr>
          <w:p w:rsidR="00A23907" w:rsidRPr="009404A5" w:rsidRDefault="00A23907" w:rsidP="005973CF">
            <w:pPr>
              <w:rPr>
                <w:b/>
                <w:bCs/>
                <w:color w:val="000000"/>
                <w:sz w:val="20"/>
                <w:lang w:eastAsia="zh-CN"/>
              </w:rPr>
            </w:pPr>
            <w:r w:rsidRPr="009404A5">
              <w:rPr>
                <w:b/>
                <w:bCs/>
                <w:color w:val="000000"/>
                <w:sz w:val="20"/>
                <w:lang w:eastAsia="zh-CN"/>
              </w:rPr>
              <w:t>Land system</w:t>
            </w:r>
          </w:p>
        </w:tc>
        <w:tc>
          <w:tcPr>
            <w:tcW w:w="762" w:type="pct"/>
            <w:tcBorders>
              <w:top w:val="single" w:sz="12" w:space="0" w:color="000000"/>
              <w:left w:val="nil"/>
              <w:bottom w:val="single" w:sz="12" w:space="0" w:color="000000"/>
              <w:right w:val="nil"/>
            </w:tcBorders>
            <w:shd w:val="clear" w:color="auto" w:fill="auto"/>
            <w:vAlign w:val="center"/>
            <w:hideMark/>
          </w:tcPr>
          <w:p w:rsidR="00A23907" w:rsidRPr="009404A5" w:rsidRDefault="00A23907" w:rsidP="005973CF">
            <w:pPr>
              <w:rPr>
                <w:b/>
                <w:bCs/>
                <w:color w:val="000000"/>
                <w:sz w:val="20"/>
                <w:lang w:eastAsia="zh-CN"/>
              </w:rPr>
            </w:pPr>
            <w:r w:rsidRPr="009404A5">
              <w:rPr>
                <w:b/>
                <w:bCs/>
                <w:color w:val="000000"/>
                <w:sz w:val="20"/>
                <w:lang w:eastAsia="zh-CN"/>
              </w:rPr>
              <w:t>Subdivisions</w:t>
            </w:r>
          </w:p>
        </w:tc>
        <w:tc>
          <w:tcPr>
            <w:tcW w:w="943" w:type="pct"/>
            <w:tcBorders>
              <w:top w:val="single" w:sz="12" w:space="0" w:color="000000"/>
              <w:left w:val="nil"/>
              <w:bottom w:val="single" w:sz="12" w:space="0" w:color="000000"/>
              <w:right w:val="nil"/>
            </w:tcBorders>
            <w:shd w:val="clear" w:color="auto" w:fill="auto"/>
            <w:vAlign w:val="center"/>
            <w:hideMark/>
          </w:tcPr>
          <w:p w:rsidR="00A23907" w:rsidRPr="009404A5" w:rsidRDefault="00A23907" w:rsidP="005973CF">
            <w:pPr>
              <w:rPr>
                <w:b/>
                <w:bCs/>
                <w:color w:val="000000"/>
                <w:sz w:val="20"/>
                <w:lang w:eastAsia="zh-CN"/>
              </w:rPr>
            </w:pPr>
            <w:r w:rsidRPr="009404A5">
              <w:rPr>
                <w:b/>
                <w:bCs/>
                <w:color w:val="000000"/>
                <w:sz w:val="20"/>
                <w:lang w:eastAsia="zh-CN"/>
              </w:rPr>
              <w:t>Land cover composition</w:t>
            </w:r>
          </w:p>
        </w:tc>
        <w:tc>
          <w:tcPr>
            <w:tcW w:w="901" w:type="pct"/>
            <w:tcBorders>
              <w:top w:val="single" w:sz="12" w:space="0" w:color="000000"/>
              <w:left w:val="nil"/>
              <w:bottom w:val="single" w:sz="12" w:space="0" w:color="000000"/>
              <w:right w:val="nil"/>
            </w:tcBorders>
            <w:shd w:val="clear" w:color="auto" w:fill="auto"/>
            <w:vAlign w:val="center"/>
            <w:hideMark/>
          </w:tcPr>
          <w:p w:rsidR="00A23907" w:rsidRPr="009404A5" w:rsidRDefault="00A23907" w:rsidP="005973CF">
            <w:pPr>
              <w:rPr>
                <w:b/>
                <w:bCs/>
                <w:color w:val="000000"/>
                <w:sz w:val="20"/>
                <w:lang w:eastAsia="zh-CN"/>
              </w:rPr>
            </w:pPr>
            <w:r w:rsidRPr="009404A5">
              <w:rPr>
                <w:b/>
                <w:bCs/>
                <w:color w:val="000000"/>
                <w:sz w:val="20"/>
                <w:lang w:eastAsia="zh-CN"/>
              </w:rPr>
              <w:t xml:space="preserve">Description of </w:t>
            </w:r>
            <w:r>
              <w:rPr>
                <w:b/>
                <w:bCs/>
                <w:color w:val="000000"/>
                <w:sz w:val="20"/>
                <w:lang w:eastAsia="zh-CN"/>
              </w:rPr>
              <w:t>systems</w:t>
            </w:r>
            <w:r w:rsidRPr="009404A5">
              <w:rPr>
                <w:color w:val="000000"/>
                <w:sz w:val="16"/>
                <w:szCs w:val="16"/>
                <w:lang w:eastAsia="zh-CN"/>
              </w:rPr>
              <w:t> </w:t>
            </w:r>
          </w:p>
        </w:tc>
        <w:tc>
          <w:tcPr>
            <w:tcW w:w="849" w:type="pct"/>
            <w:tcBorders>
              <w:top w:val="single" w:sz="12" w:space="0" w:color="000000"/>
              <w:left w:val="nil"/>
              <w:bottom w:val="single" w:sz="12" w:space="0" w:color="000000"/>
              <w:right w:val="nil"/>
            </w:tcBorders>
            <w:shd w:val="clear" w:color="auto" w:fill="auto"/>
            <w:vAlign w:val="center"/>
            <w:hideMark/>
          </w:tcPr>
          <w:p w:rsidR="00A23907" w:rsidRPr="009404A5" w:rsidRDefault="00A23907" w:rsidP="005973CF">
            <w:pPr>
              <w:rPr>
                <w:b/>
                <w:bCs/>
                <w:color w:val="000000"/>
                <w:sz w:val="20"/>
                <w:lang w:eastAsia="zh-CN"/>
              </w:rPr>
            </w:pPr>
            <w:r>
              <w:rPr>
                <w:b/>
                <w:bCs/>
                <w:color w:val="000000"/>
                <w:sz w:val="20"/>
                <w:lang w:eastAsia="zh-CN"/>
              </w:rPr>
              <w:t>Indicators used</w:t>
            </w:r>
          </w:p>
        </w:tc>
        <w:tc>
          <w:tcPr>
            <w:tcW w:w="952" w:type="pct"/>
            <w:tcBorders>
              <w:top w:val="single" w:sz="12" w:space="0" w:color="000000"/>
              <w:left w:val="nil"/>
              <w:bottom w:val="single" w:sz="12" w:space="0" w:color="000000"/>
              <w:right w:val="nil"/>
            </w:tcBorders>
            <w:shd w:val="clear" w:color="auto" w:fill="auto"/>
            <w:vAlign w:val="center"/>
            <w:hideMark/>
          </w:tcPr>
          <w:p w:rsidR="00A23907" w:rsidRPr="009404A5" w:rsidRDefault="00A23907" w:rsidP="005973CF">
            <w:pPr>
              <w:rPr>
                <w:b/>
                <w:bCs/>
                <w:color w:val="000000"/>
                <w:sz w:val="20"/>
                <w:lang w:eastAsia="zh-CN"/>
              </w:rPr>
            </w:pPr>
            <w:r>
              <w:rPr>
                <w:b/>
                <w:bCs/>
                <w:color w:val="000000"/>
                <w:sz w:val="20"/>
                <w:lang w:eastAsia="zh-CN"/>
              </w:rPr>
              <w:t>Expert-based</w:t>
            </w:r>
            <w:r w:rsidRPr="009404A5">
              <w:rPr>
                <w:b/>
                <w:bCs/>
                <w:color w:val="000000"/>
                <w:sz w:val="20"/>
                <w:lang w:eastAsia="zh-CN"/>
              </w:rPr>
              <w:t xml:space="preserve"> rules</w:t>
            </w:r>
          </w:p>
        </w:tc>
      </w:tr>
      <w:tr w:rsidR="00A23907" w:rsidRPr="009404A5" w:rsidTr="00A23907">
        <w:trPr>
          <w:trHeight w:val="1515"/>
        </w:trPr>
        <w:tc>
          <w:tcPr>
            <w:tcW w:w="593" w:type="pct"/>
            <w:vMerge w:val="restar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1. </w:t>
            </w:r>
            <w:r w:rsidRPr="009404A5">
              <w:rPr>
                <w:color w:val="000000"/>
                <w:sz w:val="20"/>
                <w:lang w:eastAsia="zh-CN"/>
              </w:rPr>
              <w:t>settlement systems</w:t>
            </w:r>
          </w:p>
        </w:tc>
        <w:tc>
          <w:tcPr>
            <w:tcW w:w="762" w:type="pct"/>
            <w:tcBorders>
              <w:top w:val="single" w:sz="12" w:space="0" w:color="000000"/>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1.1 </w:t>
            </w:r>
            <w:r w:rsidRPr="009404A5">
              <w:rPr>
                <w:color w:val="000000"/>
                <w:sz w:val="20"/>
                <w:lang w:eastAsia="zh-CN"/>
              </w:rPr>
              <w:t xml:space="preserve">low-intensity settlement </w:t>
            </w:r>
          </w:p>
        </w:tc>
        <w:tc>
          <w:tcPr>
            <w:tcW w:w="943" w:type="pct"/>
            <w:vMerge w:val="restart"/>
            <w:tcBorders>
              <w:top w:val="single" w:sz="12" w:space="0" w:color="000000"/>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imperviousness degree more than 5%</w:t>
            </w:r>
          </w:p>
        </w:tc>
        <w:tc>
          <w:tcPr>
            <w:tcW w:w="901" w:type="pct"/>
            <w:tcBorders>
              <w:top w:val="single" w:sz="12" w:space="0" w:color="000000"/>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low-medium density, far away from urban cores</w:t>
            </w:r>
          </w:p>
        </w:tc>
        <w:tc>
          <w:tcPr>
            <w:tcW w:w="849" w:type="pct"/>
            <w:vMerge w:val="restart"/>
            <w:tcBorders>
              <w:top w:val="single" w:sz="12" w:space="0" w:color="000000"/>
              <w:left w:val="nil"/>
              <w:bottom w:val="single" w:sz="4" w:space="0" w:color="auto"/>
              <w:right w:val="nil"/>
            </w:tcBorders>
            <w:shd w:val="clear" w:color="auto" w:fill="auto"/>
            <w:vAlign w:val="center"/>
            <w:hideMark/>
          </w:tcPr>
          <w:p w:rsidR="00A23907" w:rsidRPr="009404A5" w:rsidRDefault="00A23907" w:rsidP="005973CF">
            <w:pPr>
              <w:jc w:val="center"/>
              <w:rPr>
                <w:color w:val="000000"/>
                <w:sz w:val="20"/>
                <w:lang w:eastAsia="zh-CN"/>
              </w:rPr>
            </w:pPr>
            <w:r w:rsidRPr="009404A5">
              <w:rPr>
                <w:color w:val="000000"/>
                <w:sz w:val="20"/>
                <w:lang w:eastAsia="zh-CN"/>
              </w:rPr>
              <w:t>imperviousness degree; adjacency to urban core</w:t>
            </w:r>
          </w:p>
        </w:tc>
        <w:tc>
          <w:tcPr>
            <w:tcW w:w="952" w:type="pct"/>
            <w:tcBorders>
              <w:top w:val="single" w:sz="12" w:space="0" w:color="000000"/>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imperviousness degree&gt;5%, within the 9*9 window there is one or no high-intensity settlement</w:t>
            </w:r>
          </w:p>
        </w:tc>
      </w:tr>
      <w:tr w:rsidR="00A23907" w:rsidRPr="009404A5" w:rsidTr="00A23907">
        <w:trPr>
          <w:trHeight w:val="750"/>
        </w:trPr>
        <w:tc>
          <w:tcPr>
            <w:tcW w:w="593" w:type="pct"/>
            <w:vMerge/>
            <w:tcBorders>
              <w:top w:val="nil"/>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762" w:type="pct"/>
            <w:tcBorders>
              <w:top w:val="single" w:sz="4" w:space="0" w:color="auto"/>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1.2 </w:t>
            </w:r>
            <w:r w:rsidRPr="009404A5">
              <w:rPr>
                <w:color w:val="000000"/>
                <w:sz w:val="20"/>
                <w:lang w:eastAsia="zh-CN"/>
              </w:rPr>
              <w:t>medium-intensity settlement</w:t>
            </w:r>
          </w:p>
        </w:tc>
        <w:tc>
          <w:tcPr>
            <w:tcW w:w="943" w:type="pct"/>
            <w:vMerge/>
            <w:tcBorders>
              <w:top w:val="single" w:sz="4" w:space="0" w:color="auto"/>
              <w:left w:val="nil"/>
              <w:bottom w:val="single" w:sz="4" w:space="0" w:color="auto"/>
              <w:right w:val="nil"/>
            </w:tcBorders>
            <w:vAlign w:val="center"/>
            <w:hideMark/>
          </w:tcPr>
          <w:p w:rsidR="00A23907" w:rsidRPr="009404A5" w:rsidRDefault="00A23907" w:rsidP="005973CF">
            <w:pPr>
              <w:rPr>
                <w:color w:val="000000"/>
                <w:sz w:val="20"/>
                <w:lang w:eastAsia="zh-CN"/>
              </w:rPr>
            </w:pPr>
          </w:p>
        </w:tc>
        <w:tc>
          <w:tcPr>
            <w:tcW w:w="901" w:type="pct"/>
            <w:tcBorders>
              <w:top w:val="single" w:sz="4" w:space="0" w:color="auto"/>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medium density or adjacent to urban core</w:t>
            </w:r>
          </w:p>
        </w:tc>
        <w:tc>
          <w:tcPr>
            <w:tcW w:w="849" w:type="pct"/>
            <w:vMerge/>
            <w:tcBorders>
              <w:top w:val="single" w:sz="4" w:space="0" w:color="auto"/>
              <w:left w:val="nil"/>
              <w:bottom w:val="single" w:sz="4" w:space="0" w:color="auto"/>
              <w:right w:val="nil"/>
            </w:tcBorders>
            <w:vAlign w:val="center"/>
            <w:hideMark/>
          </w:tcPr>
          <w:p w:rsidR="00A23907" w:rsidRPr="009404A5" w:rsidRDefault="00A23907" w:rsidP="005973CF">
            <w:pPr>
              <w:rPr>
                <w:color w:val="000000"/>
                <w:sz w:val="20"/>
                <w:lang w:eastAsia="zh-CN"/>
              </w:rPr>
            </w:pPr>
          </w:p>
        </w:tc>
        <w:tc>
          <w:tcPr>
            <w:tcW w:w="952" w:type="pct"/>
            <w:tcBorders>
              <w:top w:val="single" w:sz="4" w:space="0" w:color="auto"/>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imperviousness degree&gt;5%, within the 9*9 window there is more than one high-intensity settlement</w:t>
            </w:r>
          </w:p>
        </w:tc>
      </w:tr>
      <w:tr w:rsidR="00A23907" w:rsidRPr="009404A5" w:rsidTr="00A23907">
        <w:trPr>
          <w:trHeight w:val="1290"/>
        </w:trPr>
        <w:tc>
          <w:tcPr>
            <w:tcW w:w="593" w:type="pct"/>
            <w:vMerge/>
            <w:tcBorders>
              <w:top w:val="nil"/>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762" w:type="pct"/>
            <w:tcBorders>
              <w:top w:val="single" w:sz="4" w:space="0" w:color="auto"/>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1.3 </w:t>
            </w:r>
            <w:r w:rsidRPr="009404A5">
              <w:rPr>
                <w:color w:val="000000"/>
                <w:sz w:val="20"/>
                <w:lang w:eastAsia="zh-CN"/>
              </w:rPr>
              <w:t>high-intensity settlement</w:t>
            </w:r>
          </w:p>
        </w:tc>
        <w:tc>
          <w:tcPr>
            <w:tcW w:w="943" w:type="pct"/>
            <w:vMerge/>
            <w:tcBorders>
              <w:top w:val="single" w:sz="4" w:space="0" w:color="auto"/>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901" w:type="pct"/>
            <w:tcBorders>
              <w:top w:val="single" w:sz="4" w:space="0" w:color="auto"/>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high density imperviousness</w:t>
            </w:r>
          </w:p>
        </w:tc>
        <w:tc>
          <w:tcPr>
            <w:tcW w:w="849" w:type="pct"/>
            <w:vMerge/>
            <w:tcBorders>
              <w:top w:val="single" w:sz="4" w:space="0" w:color="auto"/>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952" w:type="pct"/>
            <w:tcBorders>
              <w:top w:val="single" w:sz="4" w:space="0" w:color="auto"/>
              <w:left w:val="nil"/>
              <w:bottom w:val="single" w:sz="8"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imperviousness degree&gt;25%, within the 9*9 window there is at least one high-intensity settlement</w:t>
            </w:r>
          </w:p>
        </w:tc>
      </w:tr>
      <w:tr w:rsidR="00A23907" w:rsidRPr="009404A5" w:rsidTr="00A23907">
        <w:trPr>
          <w:trHeight w:val="1275"/>
        </w:trPr>
        <w:tc>
          <w:tcPr>
            <w:tcW w:w="593" w:type="pct"/>
            <w:vMerge w:val="restar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2. </w:t>
            </w:r>
            <w:r w:rsidRPr="009404A5">
              <w:rPr>
                <w:color w:val="000000"/>
                <w:sz w:val="20"/>
                <w:lang w:eastAsia="zh-CN"/>
              </w:rPr>
              <w:t>forest systems</w:t>
            </w:r>
          </w:p>
        </w:tc>
        <w:tc>
          <w:tcPr>
            <w:tcW w:w="762" w:type="pct"/>
            <w:tcBorders>
              <w:top w:val="nil"/>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2.1 </w:t>
            </w:r>
            <w:r w:rsidRPr="009404A5">
              <w:rPr>
                <w:color w:val="000000"/>
                <w:sz w:val="20"/>
                <w:lang w:eastAsia="zh-CN"/>
              </w:rPr>
              <w:t xml:space="preserve">low-intensity forest </w:t>
            </w:r>
          </w:p>
        </w:tc>
        <w:tc>
          <w:tcPr>
            <w:tcW w:w="943" w:type="pct"/>
            <w:vMerge w:val="restart"/>
            <w:tcBorders>
              <w:top w:val="nil"/>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forest covers more than 70%.</w:t>
            </w:r>
          </w:p>
        </w:tc>
        <w:tc>
          <w:tcPr>
            <w:tcW w:w="901" w:type="pct"/>
            <w:tcBorders>
              <w:top w:val="nil"/>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high probability as primary forest and low/medium wood production</w:t>
            </w:r>
          </w:p>
        </w:tc>
        <w:tc>
          <w:tcPr>
            <w:tcW w:w="849" w:type="pct"/>
            <w:vMerge w:val="restart"/>
            <w:tcBorders>
              <w:top w:val="nil"/>
              <w:left w:val="nil"/>
              <w:bottom w:val="single" w:sz="4" w:space="0" w:color="auto"/>
              <w:right w:val="nil"/>
            </w:tcBorders>
            <w:shd w:val="clear" w:color="auto" w:fill="auto"/>
            <w:vAlign w:val="center"/>
            <w:hideMark/>
          </w:tcPr>
          <w:p w:rsidR="00A23907" w:rsidRPr="009404A5" w:rsidRDefault="00A23907" w:rsidP="005973CF">
            <w:pPr>
              <w:jc w:val="center"/>
              <w:rPr>
                <w:color w:val="000000"/>
                <w:sz w:val="20"/>
                <w:lang w:eastAsia="zh-CN"/>
              </w:rPr>
            </w:pPr>
            <w:r w:rsidRPr="009404A5">
              <w:rPr>
                <w:color w:val="000000"/>
                <w:sz w:val="20"/>
                <w:lang w:eastAsia="zh-CN"/>
              </w:rPr>
              <w:t>probability of being primary forest; wood production</w:t>
            </w:r>
          </w:p>
        </w:tc>
        <w:tc>
          <w:tcPr>
            <w:tcW w:w="952" w:type="pct"/>
            <w:tcBorders>
              <w:top w:val="nil"/>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Probability of being primary forest is larger than 0.5, and the wood production is lower than the top quantile</w:t>
            </w:r>
          </w:p>
        </w:tc>
      </w:tr>
      <w:tr w:rsidR="00A23907" w:rsidRPr="009404A5" w:rsidTr="00A23907">
        <w:trPr>
          <w:trHeight w:val="1395"/>
        </w:trPr>
        <w:tc>
          <w:tcPr>
            <w:tcW w:w="593" w:type="pct"/>
            <w:vMerge/>
            <w:tcBorders>
              <w:top w:val="nil"/>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762" w:type="pct"/>
            <w:tcBorders>
              <w:top w:val="single" w:sz="4" w:space="0" w:color="auto"/>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2.2 </w:t>
            </w:r>
            <w:r w:rsidRPr="009404A5">
              <w:rPr>
                <w:color w:val="000000"/>
                <w:sz w:val="20"/>
                <w:lang w:eastAsia="zh-CN"/>
              </w:rPr>
              <w:t xml:space="preserve">medium-intensity forest </w:t>
            </w:r>
          </w:p>
        </w:tc>
        <w:tc>
          <w:tcPr>
            <w:tcW w:w="943" w:type="pct"/>
            <w:vMerge/>
            <w:tcBorders>
              <w:top w:val="single" w:sz="4" w:space="0" w:color="auto"/>
              <w:left w:val="nil"/>
              <w:bottom w:val="single" w:sz="4" w:space="0" w:color="auto"/>
              <w:right w:val="nil"/>
            </w:tcBorders>
            <w:vAlign w:val="center"/>
            <w:hideMark/>
          </w:tcPr>
          <w:p w:rsidR="00A23907" w:rsidRPr="009404A5" w:rsidRDefault="00A23907" w:rsidP="005973CF">
            <w:pPr>
              <w:rPr>
                <w:color w:val="000000"/>
                <w:sz w:val="20"/>
                <w:lang w:eastAsia="zh-CN"/>
              </w:rPr>
            </w:pPr>
          </w:p>
        </w:tc>
        <w:tc>
          <w:tcPr>
            <w:tcW w:w="901" w:type="pct"/>
            <w:tcBorders>
              <w:top w:val="single" w:sz="4" w:space="0" w:color="auto"/>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 xml:space="preserve">low probability as primary forest and medium wood production </w:t>
            </w:r>
          </w:p>
        </w:tc>
        <w:tc>
          <w:tcPr>
            <w:tcW w:w="849" w:type="pct"/>
            <w:vMerge/>
            <w:tcBorders>
              <w:top w:val="single" w:sz="4" w:space="0" w:color="auto"/>
              <w:left w:val="nil"/>
              <w:bottom w:val="single" w:sz="4" w:space="0" w:color="auto"/>
              <w:right w:val="nil"/>
            </w:tcBorders>
            <w:vAlign w:val="center"/>
            <w:hideMark/>
          </w:tcPr>
          <w:p w:rsidR="00A23907" w:rsidRPr="009404A5" w:rsidRDefault="00A23907" w:rsidP="005973CF">
            <w:pPr>
              <w:rPr>
                <w:color w:val="000000"/>
                <w:sz w:val="20"/>
                <w:lang w:eastAsia="zh-CN"/>
              </w:rPr>
            </w:pPr>
          </w:p>
        </w:tc>
        <w:tc>
          <w:tcPr>
            <w:tcW w:w="952" w:type="pct"/>
            <w:tcBorders>
              <w:top w:val="single" w:sz="4" w:space="0" w:color="auto"/>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Probability of being primary forest is smaller than 0.5, or the wood production is larger than the top quantile</w:t>
            </w:r>
          </w:p>
        </w:tc>
      </w:tr>
      <w:tr w:rsidR="00A23907" w:rsidRPr="009404A5" w:rsidTr="00A23907">
        <w:trPr>
          <w:trHeight w:val="1290"/>
        </w:trPr>
        <w:tc>
          <w:tcPr>
            <w:tcW w:w="593" w:type="pct"/>
            <w:vMerge/>
            <w:tcBorders>
              <w:top w:val="nil"/>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762" w:type="pct"/>
            <w:tcBorders>
              <w:top w:val="single" w:sz="4" w:space="0" w:color="auto"/>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2.3 </w:t>
            </w:r>
            <w:r w:rsidRPr="009404A5">
              <w:rPr>
                <w:color w:val="000000"/>
                <w:sz w:val="20"/>
                <w:lang w:eastAsia="zh-CN"/>
              </w:rPr>
              <w:t>high-intensity forest</w:t>
            </w:r>
          </w:p>
        </w:tc>
        <w:tc>
          <w:tcPr>
            <w:tcW w:w="943" w:type="pct"/>
            <w:vMerge/>
            <w:tcBorders>
              <w:top w:val="single" w:sz="4" w:space="0" w:color="auto"/>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901" w:type="pct"/>
            <w:tcBorders>
              <w:top w:val="single" w:sz="4" w:space="0" w:color="auto"/>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 xml:space="preserve">low probability as primary forest and high wood production </w:t>
            </w:r>
          </w:p>
        </w:tc>
        <w:tc>
          <w:tcPr>
            <w:tcW w:w="849" w:type="pct"/>
            <w:vMerge/>
            <w:tcBorders>
              <w:top w:val="single" w:sz="4" w:space="0" w:color="auto"/>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952" w:type="pct"/>
            <w:tcBorders>
              <w:top w:val="single" w:sz="4" w:space="0" w:color="auto"/>
              <w:left w:val="nil"/>
              <w:bottom w:val="single" w:sz="8"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Probability of being primary forest is smaller than 0.5 and the wood production is larger than the top quantile</w:t>
            </w:r>
          </w:p>
        </w:tc>
      </w:tr>
      <w:tr w:rsidR="00A23907" w:rsidRPr="009404A5" w:rsidTr="00A23907">
        <w:trPr>
          <w:trHeight w:val="1020"/>
        </w:trPr>
        <w:tc>
          <w:tcPr>
            <w:tcW w:w="593" w:type="pct"/>
            <w:vMerge w:val="restar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3. </w:t>
            </w:r>
            <w:r w:rsidRPr="009404A5">
              <w:rPr>
                <w:color w:val="000000"/>
                <w:sz w:val="20"/>
                <w:lang w:eastAsia="zh-CN"/>
              </w:rPr>
              <w:t>cropland systems</w:t>
            </w:r>
          </w:p>
        </w:tc>
        <w:tc>
          <w:tcPr>
            <w:tcW w:w="762" w:type="pct"/>
            <w:tcBorders>
              <w:top w:val="nil"/>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3.1 </w:t>
            </w:r>
            <w:r w:rsidRPr="009404A5">
              <w:rPr>
                <w:color w:val="000000"/>
                <w:sz w:val="20"/>
                <w:lang w:eastAsia="zh-CN"/>
              </w:rPr>
              <w:t>low-intensity arable land</w:t>
            </w:r>
          </w:p>
        </w:tc>
        <w:tc>
          <w:tcPr>
            <w:tcW w:w="943" w:type="pct"/>
            <w:vMerge w:val="restart"/>
            <w:tcBorders>
              <w:top w:val="nil"/>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cropland covers more than 70%.</w:t>
            </w:r>
          </w:p>
        </w:tc>
        <w:tc>
          <w:tcPr>
            <w:tcW w:w="901" w:type="pct"/>
            <w:tcBorders>
              <w:top w:val="nil"/>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 xml:space="preserve">low inorganic fertilizer input, small field size </w:t>
            </w:r>
          </w:p>
        </w:tc>
        <w:tc>
          <w:tcPr>
            <w:tcW w:w="849" w:type="pct"/>
            <w:vMerge w:val="restart"/>
            <w:tcBorders>
              <w:top w:val="nil"/>
              <w:left w:val="nil"/>
              <w:bottom w:val="single" w:sz="4" w:space="0" w:color="auto"/>
              <w:right w:val="nil"/>
            </w:tcBorders>
            <w:shd w:val="clear" w:color="auto" w:fill="auto"/>
            <w:vAlign w:val="center"/>
            <w:hideMark/>
          </w:tcPr>
          <w:p w:rsidR="00A23907" w:rsidRPr="009404A5" w:rsidRDefault="00A23907" w:rsidP="005973CF">
            <w:pPr>
              <w:jc w:val="center"/>
              <w:rPr>
                <w:color w:val="000000"/>
                <w:sz w:val="20"/>
                <w:lang w:eastAsia="zh-CN"/>
              </w:rPr>
            </w:pPr>
            <w:r w:rsidRPr="009404A5">
              <w:rPr>
                <w:color w:val="000000"/>
                <w:sz w:val="20"/>
                <w:lang w:eastAsia="zh-CN"/>
              </w:rPr>
              <w:t>nitrogen application rate; field size</w:t>
            </w:r>
          </w:p>
        </w:tc>
        <w:tc>
          <w:tcPr>
            <w:tcW w:w="952" w:type="pct"/>
            <w:tcBorders>
              <w:top w:val="nil"/>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nitrogen application rate smaller than 50kgN/ha and are small or medium size fields</w:t>
            </w:r>
          </w:p>
        </w:tc>
      </w:tr>
      <w:tr w:rsidR="00A23907" w:rsidRPr="009404A5" w:rsidTr="00A23907">
        <w:trPr>
          <w:trHeight w:val="1530"/>
        </w:trPr>
        <w:tc>
          <w:tcPr>
            <w:tcW w:w="593" w:type="pct"/>
            <w:vMerge/>
            <w:tcBorders>
              <w:top w:val="nil"/>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762" w:type="pct"/>
            <w:tcBorders>
              <w:top w:val="single" w:sz="4" w:space="0" w:color="auto"/>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3.2 </w:t>
            </w:r>
            <w:r w:rsidRPr="009404A5">
              <w:rPr>
                <w:color w:val="000000"/>
                <w:sz w:val="20"/>
                <w:lang w:eastAsia="zh-CN"/>
              </w:rPr>
              <w:t>medium-intensity arable land</w:t>
            </w:r>
          </w:p>
        </w:tc>
        <w:tc>
          <w:tcPr>
            <w:tcW w:w="943" w:type="pct"/>
            <w:vMerge/>
            <w:tcBorders>
              <w:top w:val="single" w:sz="4" w:space="0" w:color="auto"/>
              <w:left w:val="nil"/>
              <w:bottom w:val="single" w:sz="4" w:space="0" w:color="auto"/>
              <w:right w:val="nil"/>
            </w:tcBorders>
            <w:vAlign w:val="center"/>
            <w:hideMark/>
          </w:tcPr>
          <w:p w:rsidR="00A23907" w:rsidRPr="009404A5" w:rsidRDefault="00A23907" w:rsidP="005973CF">
            <w:pPr>
              <w:rPr>
                <w:color w:val="000000"/>
                <w:sz w:val="20"/>
                <w:lang w:eastAsia="zh-CN"/>
              </w:rPr>
            </w:pPr>
          </w:p>
        </w:tc>
        <w:tc>
          <w:tcPr>
            <w:tcW w:w="901" w:type="pct"/>
            <w:tcBorders>
              <w:top w:val="single" w:sz="4" w:space="0" w:color="auto"/>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medium inorganic fertilizer input, medium field size</w:t>
            </w:r>
          </w:p>
        </w:tc>
        <w:tc>
          <w:tcPr>
            <w:tcW w:w="849" w:type="pct"/>
            <w:vMerge/>
            <w:tcBorders>
              <w:top w:val="single" w:sz="4" w:space="0" w:color="auto"/>
              <w:left w:val="nil"/>
              <w:bottom w:val="single" w:sz="4" w:space="0" w:color="auto"/>
              <w:right w:val="nil"/>
            </w:tcBorders>
            <w:vAlign w:val="center"/>
            <w:hideMark/>
          </w:tcPr>
          <w:p w:rsidR="00A23907" w:rsidRPr="009404A5" w:rsidRDefault="00A23907" w:rsidP="005973CF">
            <w:pPr>
              <w:rPr>
                <w:color w:val="000000"/>
                <w:sz w:val="20"/>
                <w:lang w:eastAsia="zh-CN"/>
              </w:rPr>
            </w:pPr>
          </w:p>
        </w:tc>
        <w:tc>
          <w:tcPr>
            <w:tcW w:w="952" w:type="pct"/>
            <w:tcBorders>
              <w:top w:val="single" w:sz="4" w:space="0" w:color="auto"/>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nitrogen application rate is between 50-150 kgN/ha, low application but large field size, or high application rate but small fieldsize</w:t>
            </w:r>
          </w:p>
        </w:tc>
      </w:tr>
      <w:tr w:rsidR="00A23907" w:rsidRPr="009404A5" w:rsidTr="00A23907">
        <w:trPr>
          <w:trHeight w:val="1035"/>
        </w:trPr>
        <w:tc>
          <w:tcPr>
            <w:tcW w:w="593" w:type="pct"/>
            <w:vMerge/>
            <w:tcBorders>
              <w:top w:val="nil"/>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762" w:type="pct"/>
            <w:tcBorders>
              <w:top w:val="single" w:sz="4" w:space="0" w:color="auto"/>
              <w:left w:val="nil"/>
              <w:bottom w:val="nil"/>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3.3 </w:t>
            </w:r>
            <w:r w:rsidRPr="009404A5">
              <w:rPr>
                <w:color w:val="000000"/>
                <w:sz w:val="20"/>
                <w:lang w:eastAsia="zh-CN"/>
              </w:rPr>
              <w:t>high-intensity arable land</w:t>
            </w:r>
          </w:p>
        </w:tc>
        <w:tc>
          <w:tcPr>
            <w:tcW w:w="943" w:type="pct"/>
            <w:vMerge/>
            <w:tcBorders>
              <w:top w:val="single" w:sz="4" w:space="0" w:color="auto"/>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901" w:type="pct"/>
            <w:tcBorders>
              <w:top w:val="single" w:sz="4" w:space="0" w:color="auto"/>
              <w:left w:val="nil"/>
              <w:bottom w:val="nil"/>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 xml:space="preserve">high inorganic fertilizer input, large field size </w:t>
            </w:r>
          </w:p>
        </w:tc>
        <w:tc>
          <w:tcPr>
            <w:tcW w:w="849" w:type="pct"/>
            <w:vMerge/>
            <w:tcBorders>
              <w:top w:val="single" w:sz="4" w:space="0" w:color="auto"/>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952" w:type="pct"/>
            <w:tcBorders>
              <w:top w:val="single" w:sz="4" w:space="0" w:color="auto"/>
              <w:left w:val="nil"/>
              <w:bottom w:val="single" w:sz="8"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nitrogen application rate higher than 150 kgN/ha and medium to large fields</w:t>
            </w:r>
          </w:p>
        </w:tc>
      </w:tr>
      <w:tr w:rsidR="00A23907" w:rsidRPr="009404A5" w:rsidTr="00A23907">
        <w:trPr>
          <w:trHeight w:val="1275"/>
        </w:trPr>
        <w:tc>
          <w:tcPr>
            <w:tcW w:w="593" w:type="pct"/>
            <w:vMerge/>
            <w:tcBorders>
              <w:top w:val="nil"/>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762" w:type="pct"/>
            <w:tcBorders>
              <w:top w:val="single" w:sz="8" w:space="0" w:color="000000"/>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3.4 </w:t>
            </w:r>
            <w:r w:rsidRPr="009404A5">
              <w:rPr>
                <w:color w:val="000000"/>
                <w:sz w:val="20"/>
                <w:lang w:eastAsia="zh-CN"/>
              </w:rPr>
              <w:t>low-intensity permanent crops</w:t>
            </w:r>
          </w:p>
        </w:tc>
        <w:tc>
          <w:tcPr>
            <w:tcW w:w="943" w:type="pct"/>
            <w:vMerge w:val="restart"/>
            <w:tcBorders>
              <w:top w:val="nil"/>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permanent crop covers more than 25%</w:t>
            </w:r>
          </w:p>
        </w:tc>
        <w:tc>
          <w:tcPr>
            <w:tcW w:w="901" w:type="pct"/>
            <w:tcBorders>
              <w:top w:val="single" w:sz="8" w:space="0" w:color="000000"/>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 xml:space="preserve">vineyards, olive graves, fruit gardens, with understory vegetation, this class also has mixed annual and permanent crops </w:t>
            </w:r>
          </w:p>
        </w:tc>
        <w:tc>
          <w:tcPr>
            <w:tcW w:w="849" w:type="pct"/>
            <w:vMerge w:val="restart"/>
            <w:tcBorders>
              <w:top w:val="nil"/>
              <w:left w:val="nil"/>
              <w:bottom w:val="single" w:sz="4" w:space="0" w:color="auto"/>
              <w:right w:val="nil"/>
            </w:tcBorders>
            <w:shd w:val="clear" w:color="auto" w:fill="auto"/>
            <w:vAlign w:val="center"/>
            <w:hideMark/>
          </w:tcPr>
          <w:p w:rsidR="00A23907" w:rsidRPr="009404A5" w:rsidRDefault="00A23907" w:rsidP="005973CF">
            <w:pPr>
              <w:jc w:val="center"/>
              <w:rPr>
                <w:color w:val="000000"/>
                <w:sz w:val="20"/>
                <w:lang w:eastAsia="zh-CN"/>
              </w:rPr>
            </w:pPr>
            <w:r w:rsidRPr="009404A5">
              <w:rPr>
                <w:color w:val="000000"/>
                <w:sz w:val="20"/>
                <w:lang w:eastAsia="zh-CN"/>
              </w:rPr>
              <w:t>understory vegetation</w:t>
            </w:r>
          </w:p>
        </w:tc>
        <w:tc>
          <w:tcPr>
            <w:tcW w:w="952" w:type="pct"/>
            <w:tcBorders>
              <w:top w:val="nil"/>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with understories</w:t>
            </w:r>
          </w:p>
        </w:tc>
      </w:tr>
      <w:tr w:rsidR="00A23907" w:rsidRPr="009404A5" w:rsidTr="00A23907">
        <w:trPr>
          <w:trHeight w:val="525"/>
        </w:trPr>
        <w:tc>
          <w:tcPr>
            <w:tcW w:w="593" w:type="pct"/>
            <w:vMerge/>
            <w:tcBorders>
              <w:top w:val="nil"/>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762" w:type="pct"/>
            <w:tcBorders>
              <w:top w:val="single" w:sz="4" w:space="0" w:color="auto"/>
              <w:left w:val="nil"/>
              <w:bottom w:val="nil"/>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3.5 </w:t>
            </w:r>
            <w:r w:rsidRPr="009404A5">
              <w:rPr>
                <w:color w:val="000000"/>
                <w:sz w:val="20"/>
                <w:lang w:eastAsia="zh-CN"/>
              </w:rPr>
              <w:t>high-intensity permanent crops</w:t>
            </w:r>
          </w:p>
        </w:tc>
        <w:tc>
          <w:tcPr>
            <w:tcW w:w="943" w:type="pct"/>
            <w:vMerge/>
            <w:tcBorders>
              <w:top w:val="single" w:sz="4" w:space="0" w:color="auto"/>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901" w:type="pct"/>
            <w:tcBorders>
              <w:top w:val="single" w:sz="4" w:space="0" w:color="auto"/>
              <w:left w:val="nil"/>
              <w:bottom w:val="nil"/>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vineyards, olive graves, fruit gardens, without understory</w:t>
            </w:r>
          </w:p>
        </w:tc>
        <w:tc>
          <w:tcPr>
            <w:tcW w:w="849" w:type="pct"/>
            <w:vMerge/>
            <w:tcBorders>
              <w:top w:val="single" w:sz="4" w:space="0" w:color="auto"/>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952" w:type="pct"/>
            <w:tcBorders>
              <w:top w:val="single" w:sz="4" w:space="0" w:color="auto"/>
              <w:left w:val="nil"/>
              <w:bottom w:val="single" w:sz="8"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without understories</w:t>
            </w:r>
          </w:p>
        </w:tc>
      </w:tr>
      <w:tr w:rsidR="00A23907" w:rsidRPr="009404A5" w:rsidTr="00A23907">
        <w:trPr>
          <w:trHeight w:val="1275"/>
        </w:trPr>
        <w:tc>
          <w:tcPr>
            <w:tcW w:w="593" w:type="pct"/>
            <w:vMerge w:val="restar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4. </w:t>
            </w:r>
            <w:r w:rsidRPr="009404A5">
              <w:rPr>
                <w:color w:val="000000"/>
                <w:sz w:val="20"/>
                <w:lang w:eastAsia="zh-CN"/>
              </w:rPr>
              <w:t>grassland systems</w:t>
            </w:r>
          </w:p>
        </w:tc>
        <w:tc>
          <w:tcPr>
            <w:tcW w:w="762" w:type="pct"/>
            <w:tcBorders>
              <w:top w:val="single" w:sz="8" w:space="0" w:color="000000"/>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4.1 </w:t>
            </w:r>
            <w:r w:rsidRPr="009404A5">
              <w:rPr>
                <w:color w:val="000000"/>
                <w:sz w:val="20"/>
                <w:lang w:eastAsia="zh-CN"/>
              </w:rPr>
              <w:t>low-intensity grassland</w:t>
            </w:r>
          </w:p>
        </w:tc>
        <w:tc>
          <w:tcPr>
            <w:tcW w:w="943" w:type="pct"/>
            <w:vMerge w:val="restart"/>
            <w:tcBorders>
              <w:top w:val="nil"/>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 xml:space="preserve">grassland cover more than 70% </w:t>
            </w:r>
          </w:p>
        </w:tc>
        <w:tc>
          <w:tcPr>
            <w:tcW w:w="901" w:type="pct"/>
            <w:tcBorders>
              <w:top w:val="single" w:sz="8" w:space="0" w:color="000000"/>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low density of livestock, low inorganic fertilizer input, and low mowing frequency</w:t>
            </w:r>
          </w:p>
        </w:tc>
        <w:tc>
          <w:tcPr>
            <w:tcW w:w="849" w:type="pct"/>
            <w:vMerge w:val="restart"/>
            <w:tcBorders>
              <w:top w:val="nil"/>
              <w:left w:val="nil"/>
              <w:bottom w:val="single" w:sz="4" w:space="0" w:color="auto"/>
              <w:right w:val="nil"/>
            </w:tcBorders>
            <w:shd w:val="clear" w:color="auto" w:fill="auto"/>
            <w:vAlign w:val="center"/>
            <w:hideMark/>
          </w:tcPr>
          <w:p w:rsidR="00A23907" w:rsidRPr="009404A5" w:rsidRDefault="00A23907" w:rsidP="005973CF">
            <w:pPr>
              <w:jc w:val="center"/>
              <w:rPr>
                <w:color w:val="000000"/>
                <w:sz w:val="20"/>
                <w:lang w:eastAsia="zh-CN"/>
              </w:rPr>
            </w:pPr>
            <w:r w:rsidRPr="009404A5">
              <w:rPr>
                <w:color w:val="000000"/>
                <w:sz w:val="20"/>
                <w:lang w:eastAsia="zh-CN"/>
              </w:rPr>
              <w:t>lsu density, nitrogen application rate, and mowing frequency</w:t>
            </w:r>
          </w:p>
        </w:tc>
        <w:tc>
          <w:tcPr>
            <w:tcW w:w="952" w:type="pct"/>
            <w:tcBorders>
              <w:top w:val="nil"/>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host less than 50 lsu and nitrogen application rater is lower than 50kgN/ha or mowing frequency is less than 3</w:t>
            </w:r>
          </w:p>
        </w:tc>
      </w:tr>
      <w:tr w:rsidR="00A23907" w:rsidRPr="009404A5" w:rsidTr="00A23907">
        <w:trPr>
          <w:trHeight w:val="1785"/>
        </w:trPr>
        <w:tc>
          <w:tcPr>
            <w:tcW w:w="593" w:type="pct"/>
            <w:vMerge/>
            <w:tcBorders>
              <w:top w:val="nil"/>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762" w:type="pct"/>
            <w:tcBorders>
              <w:top w:val="single" w:sz="4" w:space="0" w:color="auto"/>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4.2 </w:t>
            </w:r>
            <w:r w:rsidRPr="009404A5">
              <w:rPr>
                <w:color w:val="000000"/>
                <w:sz w:val="20"/>
                <w:lang w:eastAsia="zh-CN"/>
              </w:rPr>
              <w:t>medium-intensity grassland</w:t>
            </w:r>
          </w:p>
        </w:tc>
        <w:tc>
          <w:tcPr>
            <w:tcW w:w="943" w:type="pct"/>
            <w:vMerge/>
            <w:tcBorders>
              <w:top w:val="single" w:sz="4" w:space="0" w:color="auto"/>
              <w:left w:val="nil"/>
              <w:bottom w:val="single" w:sz="4" w:space="0" w:color="auto"/>
              <w:right w:val="nil"/>
            </w:tcBorders>
            <w:vAlign w:val="center"/>
            <w:hideMark/>
          </w:tcPr>
          <w:p w:rsidR="00A23907" w:rsidRPr="009404A5" w:rsidRDefault="00A23907" w:rsidP="005973CF">
            <w:pPr>
              <w:rPr>
                <w:color w:val="000000"/>
                <w:sz w:val="20"/>
                <w:lang w:eastAsia="zh-CN"/>
              </w:rPr>
            </w:pPr>
          </w:p>
        </w:tc>
        <w:tc>
          <w:tcPr>
            <w:tcW w:w="901" w:type="pct"/>
            <w:tcBorders>
              <w:top w:val="single" w:sz="4" w:space="0" w:color="auto"/>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medium density of livestock, medium use of inorganic fertilizer, and medium mowing frequency</w:t>
            </w:r>
          </w:p>
        </w:tc>
        <w:tc>
          <w:tcPr>
            <w:tcW w:w="849" w:type="pct"/>
            <w:vMerge/>
            <w:tcBorders>
              <w:top w:val="single" w:sz="4" w:space="0" w:color="auto"/>
              <w:left w:val="nil"/>
              <w:bottom w:val="single" w:sz="4" w:space="0" w:color="auto"/>
              <w:right w:val="nil"/>
            </w:tcBorders>
            <w:vAlign w:val="center"/>
            <w:hideMark/>
          </w:tcPr>
          <w:p w:rsidR="00A23907" w:rsidRPr="009404A5" w:rsidRDefault="00A23907" w:rsidP="005973CF">
            <w:pPr>
              <w:rPr>
                <w:color w:val="000000"/>
                <w:sz w:val="20"/>
                <w:lang w:eastAsia="zh-CN"/>
              </w:rPr>
            </w:pPr>
          </w:p>
        </w:tc>
        <w:tc>
          <w:tcPr>
            <w:tcW w:w="952" w:type="pct"/>
            <w:tcBorders>
              <w:top w:val="single" w:sz="4" w:space="0" w:color="auto"/>
              <w:left w:val="nil"/>
              <w:bottom w:val="single" w:sz="4" w:space="0" w:color="auto"/>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host less than 50 lsu but nitrogen application rater is more than 150 kgN/ha; between 50-100 lsu but nitrogen rate is lower than 50 or mowing frequency smaller than3</w:t>
            </w:r>
          </w:p>
        </w:tc>
      </w:tr>
      <w:tr w:rsidR="00A23907" w:rsidRPr="009404A5" w:rsidTr="00A23907">
        <w:trPr>
          <w:trHeight w:val="1800"/>
        </w:trPr>
        <w:tc>
          <w:tcPr>
            <w:tcW w:w="593" w:type="pct"/>
            <w:vMerge/>
            <w:tcBorders>
              <w:top w:val="nil"/>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762" w:type="pct"/>
            <w:tcBorders>
              <w:top w:val="single" w:sz="4" w:space="0" w:color="auto"/>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4.3 </w:t>
            </w:r>
            <w:r w:rsidRPr="009404A5">
              <w:rPr>
                <w:color w:val="000000"/>
                <w:sz w:val="20"/>
                <w:lang w:eastAsia="zh-CN"/>
              </w:rPr>
              <w:t>high-intensity grassland</w:t>
            </w:r>
          </w:p>
        </w:tc>
        <w:tc>
          <w:tcPr>
            <w:tcW w:w="943" w:type="pct"/>
            <w:vMerge/>
            <w:tcBorders>
              <w:top w:val="single" w:sz="4" w:space="0" w:color="auto"/>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901" w:type="pct"/>
            <w:tcBorders>
              <w:top w:val="single" w:sz="4" w:space="0" w:color="auto"/>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high density of livestock, high inorganic fertilizer input, and/or high mowing frequency</w:t>
            </w:r>
          </w:p>
        </w:tc>
        <w:tc>
          <w:tcPr>
            <w:tcW w:w="849" w:type="pct"/>
            <w:vMerge/>
            <w:tcBorders>
              <w:top w:val="single" w:sz="4" w:space="0" w:color="auto"/>
              <w:left w:val="nil"/>
              <w:bottom w:val="single" w:sz="8" w:space="0" w:color="000000"/>
              <w:right w:val="nil"/>
            </w:tcBorders>
            <w:vAlign w:val="center"/>
            <w:hideMark/>
          </w:tcPr>
          <w:p w:rsidR="00A23907" w:rsidRPr="009404A5" w:rsidRDefault="00A23907" w:rsidP="005973CF">
            <w:pPr>
              <w:rPr>
                <w:color w:val="000000"/>
                <w:sz w:val="20"/>
                <w:lang w:eastAsia="zh-CN"/>
              </w:rPr>
            </w:pPr>
          </w:p>
        </w:tc>
        <w:tc>
          <w:tcPr>
            <w:tcW w:w="952" w:type="pct"/>
            <w:tcBorders>
              <w:top w:val="single" w:sz="4" w:space="0" w:color="auto"/>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more than 100 lsu; 50-100lsu but with nitrogen application rate bigger than 150 kgN/ha or mowing frequency is equal or more than 3</w:t>
            </w:r>
          </w:p>
        </w:tc>
      </w:tr>
      <w:tr w:rsidR="00A23907" w:rsidRPr="009404A5" w:rsidTr="00A23907">
        <w:tc>
          <w:tcPr>
            <w:tcW w:w="593" w:type="pc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5. </w:t>
            </w:r>
            <w:r w:rsidRPr="009404A5">
              <w:rPr>
                <w:color w:val="000000"/>
                <w:sz w:val="20"/>
                <w:lang w:eastAsia="zh-CN"/>
              </w:rPr>
              <w:t>shrub</w:t>
            </w:r>
          </w:p>
        </w:tc>
        <w:tc>
          <w:tcPr>
            <w:tcW w:w="762" w:type="pc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 </w:t>
            </w:r>
          </w:p>
        </w:tc>
        <w:tc>
          <w:tcPr>
            <w:tcW w:w="943" w:type="pc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shrub land covers more than 70%</w:t>
            </w:r>
          </w:p>
        </w:tc>
        <w:tc>
          <w:tcPr>
            <w:tcW w:w="901" w:type="pct"/>
            <w:tcBorders>
              <w:top w:val="nil"/>
              <w:left w:val="nil"/>
              <w:bottom w:val="single" w:sz="8" w:space="0" w:color="000000"/>
              <w:right w:val="nil"/>
            </w:tcBorders>
            <w:shd w:val="clear" w:color="auto" w:fill="auto"/>
            <w:vAlign w:val="center"/>
            <w:hideMark/>
          </w:tcPr>
          <w:p w:rsidR="00A23907" w:rsidRPr="009404A5" w:rsidRDefault="00AA57CB" w:rsidP="005973CF">
            <w:pPr>
              <w:rPr>
                <w:color w:val="000000"/>
                <w:sz w:val="20"/>
                <w:lang w:eastAsia="zh-CN"/>
              </w:rPr>
            </w:pPr>
            <w:r>
              <w:rPr>
                <w:color w:val="000000"/>
                <w:szCs w:val="24"/>
                <w:lang w:eastAsia="zh-CN"/>
              </w:rPr>
              <w:t>a</w:t>
            </w:r>
            <w:r w:rsidRPr="00455DB1">
              <w:rPr>
                <w:color w:val="000000"/>
                <w:szCs w:val="24"/>
                <w:lang w:eastAsia="zh-CN"/>
              </w:rPr>
              <w:t>reas dominated by shrub land cover  or similar</w:t>
            </w:r>
          </w:p>
        </w:tc>
        <w:tc>
          <w:tcPr>
            <w:tcW w:w="849" w:type="pc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N/A</w:t>
            </w:r>
          </w:p>
        </w:tc>
        <w:tc>
          <w:tcPr>
            <w:tcW w:w="952" w:type="pc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N/A</w:t>
            </w:r>
          </w:p>
        </w:tc>
      </w:tr>
      <w:tr w:rsidR="00A23907" w:rsidRPr="009404A5" w:rsidTr="00A23907">
        <w:tc>
          <w:tcPr>
            <w:tcW w:w="593" w:type="pc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Pr>
                <w:color w:val="000000"/>
                <w:sz w:val="20"/>
                <w:lang w:eastAsia="zh-CN"/>
              </w:rPr>
              <w:t xml:space="preserve">6. </w:t>
            </w:r>
            <w:r w:rsidRPr="009404A5">
              <w:rPr>
                <w:color w:val="000000"/>
                <w:sz w:val="20"/>
                <w:lang w:eastAsia="zh-CN"/>
              </w:rPr>
              <w:t>rocks and bare soil</w:t>
            </w:r>
          </w:p>
        </w:tc>
        <w:tc>
          <w:tcPr>
            <w:tcW w:w="762" w:type="pc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 </w:t>
            </w:r>
          </w:p>
        </w:tc>
        <w:tc>
          <w:tcPr>
            <w:tcW w:w="943" w:type="pc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 xml:space="preserve">rocks and bare soil cover more than 70% </w:t>
            </w:r>
          </w:p>
        </w:tc>
        <w:tc>
          <w:tcPr>
            <w:tcW w:w="901" w:type="pct"/>
            <w:tcBorders>
              <w:top w:val="nil"/>
              <w:left w:val="nil"/>
              <w:bottom w:val="single" w:sz="8" w:space="0" w:color="000000"/>
              <w:right w:val="nil"/>
            </w:tcBorders>
            <w:shd w:val="clear" w:color="auto" w:fill="auto"/>
            <w:vAlign w:val="center"/>
            <w:hideMark/>
          </w:tcPr>
          <w:p w:rsidR="00A23907" w:rsidRPr="009404A5" w:rsidRDefault="00AA57CB" w:rsidP="005973CF">
            <w:pPr>
              <w:rPr>
                <w:color w:val="000000"/>
                <w:sz w:val="20"/>
                <w:lang w:eastAsia="zh-CN"/>
              </w:rPr>
            </w:pPr>
            <w:r>
              <w:rPr>
                <w:color w:val="000000"/>
                <w:szCs w:val="24"/>
                <w:lang w:eastAsia="zh-CN"/>
              </w:rPr>
              <w:t>a</w:t>
            </w:r>
            <w:r w:rsidRPr="00455DB1">
              <w:rPr>
                <w:color w:val="000000"/>
                <w:szCs w:val="24"/>
                <w:lang w:eastAsia="zh-CN"/>
              </w:rPr>
              <w:t xml:space="preserve">reas dominated by </w:t>
            </w:r>
            <w:r>
              <w:rPr>
                <w:color w:val="000000"/>
                <w:szCs w:val="24"/>
                <w:lang w:eastAsia="zh-CN"/>
              </w:rPr>
              <w:t xml:space="preserve">rocks, bare soil, </w:t>
            </w:r>
            <w:r w:rsidRPr="00455DB1">
              <w:rPr>
                <w:color w:val="000000"/>
                <w:szCs w:val="24"/>
                <w:lang w:eastAsia="zh-CN"/>
              </w:rPr>
              <w:t>or similar</w:t>
            </w:r>
          </w:p>
        </w:tc>
        <w:tc>
          <w:tcPr>
            <w:tcW w:w="849" w:type="pc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N/A</w:t>
            </w:r>
          </w:p>
        </w:tc>
        <w:tc>
          <w:tcPr>
            <w:tcW w:w="952" w:type="pct"/>
            <w:tcBorders>
              <w:top w:val="nil"/>
              <w:left w:val="nil"/>
              <w:bottom w:val="single" w:sz="8" w:space="0" w:color="000000"/>
              <w:right w:val="nil"/>
            </w:tcBorders>
            <w:shd w:val="clear" w:color="auto" w:fill="auto"/>
            <w:vAlign w:val="center"/>
            <w:hideMark/>
          </w:tcPr>
          <w:p w:rsidR="00A23907" w:rsidRPr="009404A5" w:rsidRDefault="00A23907" w:rsidP="005973CF">
            <w:pPr>
              <w:rPr>
                <w:color w:val="000000"/>
                <w:sz w:val="20"/>
                <w:lang w:eastAsia="zh-CN"/>
              </w:rPr>
            </w:pPr>
            <w:r w:rsidRPr="009404A5">
              <w:rPr>
                <w:color w:val="000000"/>
                <w:sz w:val="20"/>
                <w:lang w:eastAsia="zh-CN"/>
              </w:rPr>
              <w:t>N/A</w:t>
            </w:r>
          </w:p>
        </w:tc>
      </w:tr>
      <w:tr w:rsidR="00AA57CB" w:rsidRPr="009404A5" w:rsidTr="00A23907">
        <w:tc>
          <w:tcPr>
            <w:tcW w:w="593" w:type="pct"/>
            <w:vMerge w:val="restart"/>
            <w:tcBorders>
              <w:top w:val="nil"/>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Pr>
                <w:color w:val="000000"/>
                <w:sz w:val="20"/>
                <w:lang w:eastAsia="zh-CN"/>
              </w:rPr>
              <w:t xml:space="preserve">7. </w:t>
            </w:r>
            <w:r w:rsidRPr="009404A5">
              <w:rPr>
                <w:color w:val="000000"/>
                <w:sz w:val="20"/>
                <w:lang w:eastAsia="zh-CN"/>
              </w:rPr>
              <w:t>mosaic systems</w:t>
            </w:r>
          </w:p>
        </w:tc>
        <w:tc>
          <w:tcPr>
            <w:tcW w:w="762" w:type="pct"/>
            <w:tcBorders>
              <w:top w:val="single" w:sz="8" w:space="0" w:color="000000"/>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Pr>
                <w:color w:val="000000"/>
                <w:sz w:val="20"/>
                <w:lang w:eastAsia="zh-CN"/>
              </w:rPr>
              <w:t xml:space="preserve">7.1 </w:t>
            </w:r>
            <w:r w:rsidRPr="009404A5">
              <w:rPr>
                <w:color w:val="000000"/>
                <w:sz w:val="20"/>
                <w:lang w:eastAsia="zh-CN"/>
              </w:rPr>
              <w:t>forest/shrub and cropland mosaics</w:t>
            </w:r>
          </w:p>
        </w:tc>
        <w:tc>
          <w:tcPr>
            <w:tcW w:w="943" w:type="pct"/>
            <w:tcBorders>
              <w:top w:val="single" w:sz="8" w:space="0" w:color="000000"/>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 xml:space="preserve">cropland mixed with forest or shrubs. forest and shrub cover between 30-70%; cropland cover between 30-70%. other land covers are smaller than 30%.  </w:t>
            </w:r>
          </w:p>
        </w:tc>
        <w:tc>
          <w:tcPr>
            <w:tcW w:w="901" w:type="pct"/>
            <w:tcBorders>
              <w:top w:val="single" w:sz="8" w:space="0" w:color="000000"/>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Pr>
                <w:color w:val="000000"/>
                <w:szCs w:val="24"/>
                <w:lang w:eastAsia="zh-CN"/>
              </w:rPr>
              <w:t>a</w:t>
            </w:r>
            <w:r w:rsidRPr="00455DB1">
              <w:rPr>
                <w:color w:val="000000"/>
                <w:szCs w:val="24"/>
                <w:lang w:eastAsia="zh-CN"/>
              </w:rPr>
              <w:t xml:space="preserve">reas </w:t>
            </w:r>
            <w:r>
              <w:rPr>
                <w:color w:val="000000"/>
                <w:szCs w:val="24"/>
                <w:lang w:eastAsia="zh-CN"/>
              </w:rPr>
              <w:t xml:space="preserve">with small parcels of forest/shrubs and cropland </w:t>
            </w:r>
          </w:p>
        </w:tc>
        <w:tc>
          <w:tcPr>
            <w:tcW w:w="849" w:type="pct"/>
            <w:tcBorders>
              <w:top w:val="single" w:sz="8" w:space="0" w:color="000000"/>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N/A</w:t>
            </w:r>
          </w:p>
        </w:tc>
        <w:tc>
          <w:tcPr>
            <w:tcW w:w="952" w:type="pct"/>
            <w:tcBorders>
              <w:top w:val="single" w:sz="8" w:space="0" w:color="000000"/>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N/A</w:t>
            </w:r>
          </w:p>
        </w:tc>
      </w:tr>
      <w:tr w:rsidR="00AA57CB" w:rsidRPr="009404A5" w:rsidTr="00A23907">
        <w:tc>
          <w:tcPr>
            <w:tcW w:w="593"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762"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Pr>
                <w:color w:val="000000"/>
                <w:sz w:val="20"/>
                <w:lang w:eastAsia="zh-CN"/>
              </w:rPr>
              <w:t xml:space="preserve">7.2 </w:t>
            </w:r>
            <w:r w:rsidRPr="009404A5">
              <w:rPr>
                <w:color w:val="000000"/>
                <w:sz w:val="20"/>
                <w:lang w:eastAsia="zh-CN"/>
              </w:rPr>
              <w:t>forest/shrub and grassland mosaic</w:t>
            </w:r>
          </w:p>
        </w:tc>
        <w:tc>
          <w:tcPr>
            <w:tcW w:w="943"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 xml:space="preserve">grassland mixed with forest or shrubs. forest and shrub cover between 30-70%; grassland cover between 30-70%. other land covers are smaller than 30%.  </w:t>
            </w:r>
          </w:p>
        </w:tc>
        <w:tc>
          <w:tcPr>
            <w:tcW w:w="901"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Pr>
                <w:color w:val="000000"/>
                <w:szCs w:val="24"/>
                <w:lang w:eastAsia="zh-CN"/>
              </w:rPr>
              <w:t>a</w:t>
            </w:r>
            <w:r w:rsidRPr="00455DB1">
              <w:rPr>
                <w:color w:val="000000"/>
                <w:szCs w:val="24"/>
                <w:lang w:eastAsia="zh-CN"/>
              </w:rPr>
              <w:t xml:space="preserve">reas </w:t>
            </w:r>
            <w:r>
              <w:rPr>
                <w:color w:val="000000"/>
                <w:szCs w:val="24"/>
                <w:lang w:eastAsia="zh-CN"/>
              </w:rPr>
              <w:t>with small parcels of forest/shrubs and grassland</w:t>
            </w:r>
          </w:p>
        </w:tc>
        <w:tc>
          <w:tcPr>
            <w:tcW w:w="849"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N/A</w:t>
            </w:r>
          </w:p>
        </w:tc>
        <w:tc>
          <w:tcPr>
            <w:tcW w:w="952"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N/A</w:t>
            </w:r>
          </w:p>
        </w:tc>
      </w:tr>
      <w:tr w:rsidR="00AA57CB" w:rsidRPr="009404A5" w:rsidTr="00A23907">
        <w:tc>
          <w:tcPr>
            <w:tcW w:w="593"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762"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Pr>
                <w:color w:val="000000"/>
                <w:sz w:val="20"/>
                <w:lang w:eastAsia="zh-CN"/>
              </w:rPr>
              <w:t xml:space="preserve">7.3 </w:t>
            </w:r>
            <w:r w:rsidRPr="009404A5">
              <w:rPr>
                <w:color w:val="000000"/>
                <w:sz w:val="20"/>
                <w:lang w:eastAsia="zh-CN"/>
              </w:rPr>
              <w:t>forest/shrubs and bare mosaics</w:t>
            </w:r>
          </w:p>
        </w:tc>
        <w:tc>
          <w:tcPr>
            <w:tcW w:w="943"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 xml:space="preserve">bare land and rocks mixed with forest or shrubs. forest and shrub cover between 30-70%; bare land and rocks between 30-70%. other land covers are smaller than 30%.  </w:t>
            </w:r>
          </w:p>
        </w:tc>
        <w:tc>
          <w:tcPr>
            <w:tcW w:w="901"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Pr>
                <w:color w:val="000000"/>
                <w:szCs w:val="24"/>
                <w:lang w:eastAsia="zh-CN"/>
              </w:rPr>
              <w:t>a</w:t>
            </w:r>
            <w:r w:rsidRPr="00455DB1">
              <w:rPr>
                <w:color w:val="000000"/>
                <w:szCs w:val="24"/>
                <w:lang w:eastAsia="zh-CN"/>
              </w:rPr>
              <w:t xml:space="preserve">reas </w:t>
            </w:r>
            <w:r>
              <w:rPr>
                <w:color w:val="000000"/>
                <w:szCs w:val="24"/>
                <w:lang w:eastAsia="zh-CN"/>
              </w:rPr>
              <w:t>with small parcels of forest/shrubs and bare land</w:t>
            </w:r>
          </w:p>
        </w:tc>
        <w:tc>
          <w:tcPr>
            <w:tcW w:w="849"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N/A</w:t>
            </w:r>
          </w:p>
        </w:tc>
        <w:tc>
          <w:tcPr>
            <w:tcW w:w="952"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N/A</w:t>
            </w:r>
          </w:p>
        </w:tc>
      </w:tr>
      <w:tr w:rsidR="00AA57CB" w:rsidRPr="009404A5" w:rsidTr="00A23907">
        <w:tc>
          <w:tcPr>
            <w:tcW w:w="593"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762" w:type="pct"/>
            <w:tcBorders>
              <w:top w:val="single" w:sz="4" w:space="0" w:color="auto"/>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Pr>
                <w:color w:val="000000"/>
                <w:sz w:val="20"/>
                <w:lang w:eastAsia="zh-CN"/>
              </w:rPr>
              <w:t xml:space="preserve">7.4 </w:t>
            </w:r>
            <w:r w:rsidRPr="009404A5">
              <w:rPr>
                <w:color w:val="000000"/>
                <w:sz w:val="20"/>
                <w:lang w:eastAsia="zh-CN"/>
              </w:rPr>
              <w:t>forest/shrubs and mixed agriculture mosaics</w:t>
            </w:r>
          </w:p>
        </w:tc>
        <w:tc>
          <w:tcPr>
            <w:tcW w:w="943" w:type="pct"/>
            <w:tcBorders>
              <w:top w:val="single" w:sz="4" w:space="0" w:color="auto"/>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no dominant land covers, all land covers are smaller than 30%.</w:t>
            </w:r>
          </w:p>
        </w:tc>
        <w:tc>
          <w:tcPr>
            <w:tcW w:w="901" w:type="pct"/>
            <w:tcBorders>
              <w:top w:val="single" w:sz="4" w:space="0" w:color="auto"/>
              <w:left w:val="nil"/>
              <w:bottom w:val="single" w:sz="8" w:space="0" w:color="auto"/>
              <w:right w:val="nil"/>
            </w:tcBorders>
            <w:shd w:val="clear" w:color="auto" w:fill="auto"/>
            <w:vAlign w:val="center"/>
            <w:hideMark/>
          </w:tcPr>
          <w:p w:rsidR="00AA57CB" w:rsidRPr="009404A5" w:rsidRDefault="00AA57CB" w:rsidP="00AA57CB">
            <w:pPr>
              <w:rPr>
                <w:color w:val="000000"/>
                <w:sz w:val="20"/>
                <w:lang w:eastAsia="zh-CN"/>
              </w:rPr>
            </w:pPr>
            <w:r>
              <w:rPr>
                <w:color w:val="000000"/>
                <w:szCs w:val="24"/>
                <w:lang w:eastAsia="zh-CN"/>
              </w:rPr>
              <w:t>a</w:t>
            </w:r>
            <w:r w:rsidRPr="00455DB1">
              <w:rPr>
                <w:color w:val="000000"/>
                <w:szCs w:val="24"/>
                <w:lang w:eastAsia="zh-CN"/>
              </w:rPr>
              <w:t xml:space="preserve">reas </w:t>
            </w:r>
            <w:r>
              <w:rPr>
                <w:color w:val="000000"/>
                <w:szCs w:val="24"/>
                <w:lang w:eastAsia="zh-CN"/>
              </w:rPr>
              <w:t xml:space="preserve">with small parcels of forest/shrubs and mixed areas of cropland and grassland </w:t>
            </w:r>
          </w:p>
        </w:tc>
        <w:tc>
          <w:tcPr>
            <w:tcW w:w="849" w:type="pct"/>
            <w:tcBorders>
              <w:top w:val="single" w:sz="4" w:space="0" w:color="auto"/>
              <w:left w:val="nil"/>
              <w:bottom w:val="single" w:sz="8"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N/A</w:t>
            </w:r>
          </w:p>
        </w:tc>
        <w:tc>
          <w:tcPr>
            <w:tcW w:w="952" w:type="pct"/>
            <w:tcBorders>
              <w:top w:val="single" w:sz="4" w:space="0" w:color="auto"/>
              <w:left w:val="nil"/>
              <w:bottom w:val="single" w:sz="8"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N/A</w:t>
            </w:r>
          </w:p>
        </w:tc>
      </w:tr>
      <w:tr w:rsidR="00AA57CB" w:rsidRPr="009404A5" w:rsidTr="00A23907">
        <w:tc>
          <w:tcPr>
            <w:tcW w:w="593"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762" w:type="pct"/>
            <w:tcBorders>
              <w:top w:val="nil"/>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Pr>
                <w:color w:val="000000"/>
                <w:sz w:val="20"/>
                <w:lang w:eastAsia="zh-CN"/>
              </w:rPr>
              <w:t xml:space="preserve">7.5.1 </w:t>
            </w:r>
            <w:r w:rsidRPr="009404A5">
              <w:rPr>
                <w:color w:val="000000"/>
                <w:sz w:val="20"/>
                <w:lang w:eastAsia="zh-CN"/>
              </w:rPr>
              <w:t>low-intensity agricultural mosaic (cropland and grassland)</w:t>
            </w:r>
          </w:p>
        </w:tc>
        <w:tc>
          <w:tcPr>
            <w:tcW w:w="943" w:type="pct"/>
            <w:tcBorders>
              <w:top w:val="nil"/>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mixed cropland and grassland. both cover between 30-70%. other land covers are smaller than 30%.</w:t>
            </w:r>
          </w:p>
        </w:tc>
        <w:tc>
          <w:tcPr>
            <w:tcW w:w="901" w:type="pct"/>
            <w:tcBorders>
              <w:top w:val="nil"/>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low density of inorganic fertilizer input, small field size, and low livestock density</w:t>
            </w:r>
          </w:p>
        </w:tc>
        <w:tc>
          <w:tcPr>
            <w:tcW w:w="849" w:type="pct"/>
            <w:vMerge w:val="restart"/>
            <w:tcBorders>
              <w:top w:val="nil"/>
              <w:left w:val="nil"/>
              <w:bottom w:val="single" w:sz="4" w:space="0" w:color="auto"/>
              <w:right w:val="nil"/>
            </w:tcBorders>
            <w:shd w:val="clear" w:color="auto" w:fill="auto"/>
            <w:vAlign w:val="center"/>
            <w:hideMark/>
          </w:tcPr>
          <w:p w:rsidR="00AA57CB" w:rsidRPr="009404A5" w:rsidRDefault="00AA57CB" w:rsidP="00AA57CB">
            <w:pPr>
              <w:jc w:val="center"/>
              <w:rPr>
                <w:color w:val="000000"/>
                <w:sz w:val="20"/>
                <w:lang w:eastAsia="zh-CN"/>
              </w:rPr>
            </w:pPr>
            <w:r>
              <w:rPr>
                <w:color w:val="000000"/>
                <w:sz w:val="20"/>
                <w:lang w:eastAsia="zh-CN"/>
              </w:rPr>
              <w:t xml:space="preserve">nitrogen application rate; </w:t>
            </w:r>
            <w:r w:rsidRPr="009404A5">
              <w:rPr>
                <w:color w:val="000000"/>
                <w:sz w:val="20"/>
                <w:lang w:eastAsia="zh-CN"/>
              </w:rPr>
              <w:t>lsu density</w:t>
            </w:r>
          </w:p>
        </w:tc>
        <w:tc>
          <w:tcPr>
            <w:tcW w:w="952" w:type="pct"/>
            <w:tcBorders>
              <w:top w:val="nil"/>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lsu smaller than 50 lsu and nitrogen application rater lower than 150 kgN</w:t>
            </w:r>
          </w:p>
        </w:tc>
      </w:tr>
      <w:tr w:rsidR="00AA57CB" w:rsidRPr="009404A5" w:rsidTr="00A23907">
        <w:tc>
          <w:tcPr>
            <w:tcW w:w="593"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762"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Pr>
                <w:color w:val="000000"/>
                <w:sz w:val="20"/>
                <w:lang w:eastAsia="zh-CN"/>
              </w:rPr>
              <w:t xml:space="preserve">7.5.2 </w:t>
            </w:r>
            <w:r w:rsidRPr="009404A5">
              <w:rPr>
                <w:color w:val="000000"/>
                <w:sz w:val="20"/>
                <w:lang w:eastAsia="zh-CN"/>
              </w:rPr>
              <w:t>medium-intensity agricultural mosaic (cropland and grassland)</w:t>
            </w:r>
          </w:p>
        </w:tc>
        <w:tc>
          <w:tcPr>
            <w:tcW w:w="943"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mixed cropland and grassland. both cover between 30-70%. other land covers are smaller than 30%.</w:t>
            </w:r>
          </w:p>
        </w:tc>
        <w:tc>
          <w:tcPr>
            <w:tcW w:w="901"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medium use of inorganic fertilizer, medium field size, and medium livestock density</w:t>
            </w:r>
          </w:p>
        </w:tc>
        <w:tc>
          <w:tcPr>
            <w:tcW w:w="849" w:type="pct"/>
            <w:vMerge/>
            <w:tcBorders>
              <w:top w:val="single" w:sz="4" w:space="0" w:color="auto"/>
              <w:left w:val="nil"/>
              <w:bottom w:val="single" w:sz="4" w:space="0" w:color="auto"/>
              <w:right w:val="nil"/>
            </w:tcBorders>
            <w:vAlign w:val="center"/>
            <w:hideMark/>
          </w:tcPr>
          <w:p w:rsidR="00AA57CB" w:rsidRPr="009404A5" w:rsidRDefault="00AA57CB" w:rsidP="00AA57CB">
            <w:pPr>
              <w:rPr>
                <w:color w:val="000000"/>
                <w:sz w:val="20"/>
                <w:lang w:eastAsia="zh-CN"/>
              </w:rPr>
            </w:pPr>
          </w:p>
        </w:tc>
        <w:tc>
          <w:tcPr>
            <w:tcW w:w="952" w:type="pct"/>
            <w:tcBorders>
              <w:top w:val="single" w:sz="4" w:space="0" w:color="auto"/>
              <w:left w:val="nil"/>
              <w:bottom w:val="single" w:sz="4"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lsu between 50-100; lsu smaller than 50lsu but with higher than 150kgN/ha nitrogen application rate; lsu larger than 100 lsu but with smaller than 50 kgN nitrogen application rate</w:t>
            </w:r>
          </w:p>
        </w:tc>
      </w:tr>
      <w:tr w:rsidR="00AA57CB" w:rsidRPr="009404A5" w:rsidTr="00A23907">
        <w:tc>
          <w:tcPr>
            <w:tcW w:w="593"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762" w:type="pct"/>
            <w:tcBorders>
              <w:top w:val="single" w:sz="4" w:space="0" w:color="auto"/>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Pr>
                <w:color w:val="000000"/>
                <w:sz w:val="20"/>
                <w:lang w:eastAsia="zh-CN"/>
              </w:rPr>
              <w:t xml:space="preserve">7.5.3 </w:t>
            </w:r>
            <w:r w:rsidRPr="009404A5">
              <w:rPr>
                <w:color w:val="000000"/>
                <w:sz w:val="20"/>
                <w:lang w:eastAsia="zh-CN"/>
              </w:rPr>
              <w:t>high-intensity agricultural mosaic (cropland and grassland)</w:t>
            </w:r>
            <w:r w:rsidRPr="009404A5">
              <w:rPr>
                <w:color w:val="000000"/>
                <w:sz w:val="16"/>
                <w:szCs w:val="16"/>
                <w:lang w:eastAsia="zh-CN"/>
              </w:rPr>
              <w:t>  </w:t>
            </w:r>
          </w:p>
        </w:tc>
        <w:tc>
          <w:tcPr>
            <w:tcW w:w="943" w:type="pct"/>
            <w:tcBorders>
              <w:top w:val="single" w:sz="4" w:space="0" w:color="auto"/>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mixed cropland and grassland. both cover between 30-70%. other land covers are smaller than 30%.</w:t>
            </w:r>
          </w:p>
        </w:tc>
        <w:tc>
          <w:tcPr>
            <w:tcW w:w="901" w:type="pct"/>
            <w:tcBorders>
              <w:top w:val="single" w:sz="4" w:space="0" w:color="auto"/>
              <w:left w:val="nil"/>
              <w:bottom w:val="single" w:sz="8"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high inorganic fertilizer input, large field size, and/or large livestock density</w:t>
            </w:r>
          </w:p>
        </w:tc>
        <w:tc>
          <w:tcPr>
            <w:tcW w:w="849" w:type="pct"/>
            <w:vMerge/>
            <w:tcBorders>
              <w:top w:val="single" w:sz="4" w:space="0" w:color="auto"/>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952" w:type="pct"/>
            <w:tcBorders>
              <w:top w:val="single" w:sz="4" w:space="0" w:color="auto"/>
              <w:left w:val="nil"/>
              <w:bottom w:val="single" w:sz="8"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lsu bigger than 100 lsu and nitrogen application rater higher than 50 kgN</w:t>
            </w:r>
          </w:p>
        </w:tc>
      </w:tr>
      <w:tr w:rsidR="00AA57CB" w:rsidRPr="009404A5" w:rsidTr="00A23907">
        <w:tc>
          <w:tcPr>
            <w:tcW w:w="593" w:type="pct"/>
            <w:vMerge w:val="restart"/>
            <w:tcBorders>
              <w:top w:val="nil"/>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Pr>
                <w:color w:val="000000"/>
                <w:sz w:val="20"/>
                <w:lang w:eastAsia="zh-CN"/>
              </w:rPr>
              <w:t xml:space="preserve">8. </w:t>
            </w:r>
            <w:r w:rsidRPr="009404A5">
              <w:rPr>
                <w:color w:val="000000"/>
                <w:sz w:val="20"/>
                <w:lang w:eastAsia="zh-CN"/>
              </w:rPr>
              <w:t>snow, water, wetland systems</w:t>
            </w:r>
          </w:p>
        </w:tc>
        <w:tc>
          <w:tcPr>
            <w:tcW w:w="762" w:type="pct"/>
            <w:tcBorders>
              <w:top w:val="nil"/>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Pr>
                <w:color w:val="000000"/>
                <w:sz w:val="20"/>
                <w:lang w:eastAsia="zh-CN"/>
              </w:rPr>
              <w:t xml:space="preserve">8.1 </w:t>
            </w:r>
            <w:r w:rsidRPr="009404A5">
              <w:rPr>
                <w:color w:val="000000"/>
                <w:sz w:val="20"/>
                <w:lang w:eastAsia="zh-CN"/>
              </w:rPr>
              <w:t>glaciers</w:t>
            </w:r>
          </w:p>
        </w:tc>
        <w:tc>
          <w:tcPr>
            <w:tcW w:w="943" w:type="pct"/>
            <w:tcBorders>
              <w:top w:val="nil"/>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glacier covers more than 50%</w:t>
            </w:r>
          </w:p>
        </w:tc>
        <w:tc>
          <w:tcPr>
            <w:tcW w:w="901" w:type="pct"/>
            <w:vMerge w:val="restart"/>
            <w:tcBorders>
              <w:top w:val="nil"/>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Pr>
                <w:color w:val="000000"/>
                <w:szCs w:val="24"/>
                <w:lang w:eastAsia="zh-CN"/>
              </w:rPr>
              <w:t>areas dominated by glaciers, wetland, or water body</w:t>
            </w:r>
          </w:p>
        </w:tc>
        <w:tc>
          <w:tcPr>
            <w:tcW w:w="849" w:type="pct"/>
            <w:vMerge w:val="restart"/>
            <w:tcBorders>
              <w:top w:val="nil"/>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N/A</w:t>
            </w:r>
          </w:p>
        </w:tc>
        <w:tc>
          <w:tcPr>
            <w:tcW w:w="952" w:type="pct"/>
            <w:vMerge w:val="restart"/>
            <w:tcBorders>
              <w:top w:val="nil"/>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N/A</w:t>
            </w:r>
          </w:p>
        </w:tc>
      </w:tr>
      <w:tr w:rsidR="00AA57CB" w:rsidRPr="009404A5" w:rsidTr="00A23907">
        <w:tc>
          <w:tcPr>
            <w:tcW w:w="593"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762" w:type="pct"/>
            <w:tcBorders>
              <w:top w:val="nil"/>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Pr>
                <w:color w:val="000000"/>
                <w:sz w:val="20"/>
                <w:lang w:eastAsia="zh-CN"/>
              </w:rPr>
              <w:t xml:space="preserve">8.2 </w:t>
            </w:r>
            <w:r w:rsidRPr="009404A5">
              <w:rPr>
                <w:color w:val="000000"/>
                <w:sz w:val="20"/>
                <w:lang w:eastAsia="zh-CN"/>
              </w:rPr>
              <w:t>water body</w:t>
            </w:r>
          </w:p>
        </w:tc>
        <w:tc>
          <w:tcPr>
            <w:tcW w:w="943" w:type="pct"/>
            <w:tcBorders>
              <w:top w:val="nil"/>
              <w:left w:val="nil"/>
              <w:bottom w:val="single" w:sz="8" w:space="0" w:color="000000"/>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water body covers more than 50%</w:t>
            </w:r>
          </w:p>
        </w:tc>
        <w:tc>
          <w:tcPr>
            <w:tcW w:w="901"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849"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952"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r>
      <w:tr w:rsidR="00AA57CB" w:rsidRPr="009404A5" w:rsidTr="00A23907">
        <w:tc>
          <w:tcPr>
            <w:tcW w:w="593"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762" w:type="pct"/>
            <w:tcBorders>
              <w:top w:val="nil"/>
              <w:left w:val="nil"/>
              <w:bottom w:val="single" w:sz="8" w:space="0" w:color="auto"/>
              <w:right w:val="nil"/>
            </w:tcBorders>
            <w:shd w:val="clear" w:color="auto" w:fill="auto"/>
            <w:vAlign w:val="center"/>
            <w:hideMark/>
          </w:tcPr>
          <w:p w:rsidR="00AA57CB" w:rsidRPr="009404A5" w:rsidRDefault="00AA57CB" w:rsidP="00AA57CB">
            <w:pPr>
              <w:rPr>
                <w:color w:val="000000"/>
                <w:sz w:val="20"/>
                <w:lang w:eastAsia="zh-CN"/>
              </w:rPr>
            </w:pPr>
            <w:r>
              <w:rPr>
                <w:color w:val="000000"/>
                <w:sz w:val="20"/>
                <w:lang w:eastAsia="zh-CN"/>
              </w:rPr>
              <w:t xml:space="preserve">8.3 </w:t>
            </w:r>
            <w:r w:rsidRPr="009404A5">
              <w:rPr>
                <w:color w:val="000000"/>
                <w:sz w:val="20"/>
                <w:lang w:eastAsia="zh-CN"/>
              </w:rPr>
              <w:t>wetland</w:t>
            </w:r>
          </w:p>
        </w:tc>
        <w:tc>
          <w:tcPr>
            <w:tcW w:w="943" w:type="pct"/>
            <w:tcBorders>
              <w:top w:val="nil"/>
              <w:left w:val="nil"/>
              <w:bottom w:val="single" w:sz="8" w:space="0" w:color="auto"/>
              <w:right w:val="nil"/>
            </w:tcBorders>
            <w:shd w:val="clear" w:color="auto" w:fill="auto"/>
            <w:vAlign w:val="center"/>
            <w:hideMark/>
          </w:tcPr>
          <w:p w:rsidR="00AA57CB" w:rsidRPr="009404A5" w:rsidRDefault="00AA57CB" w:rsidP="00AA57CB">
            <w:pPr>
              <w:rPr>
                <w:color w:val="000000"/>
                <w:sz w:val="20"/>
                <w:lang w:eastAsia="zh-CN"/>
              </w:rPr>
            </w:pPr>
            <w:r w:rsidRPr="009404A5">
              <w:rPr>
                <w:color w:val="000000"/>
                <w:sz w:val="20"/>
                <w:lang w:eastAsia="zh-CN"/>
              </w:rPr>
              <w:t>wetland covers more than 50%</w:t>
            </w:r>
          </w:p>
        </w:tc>
        <w:tc>
          <w:tcPr>
            <w:tcW w:w="901"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849"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c>
          <w:tcPr>
            <w:tcW w:w="952" w:type="pct"/>
            <w:vMerge/>
            <w:tcBorders>
              <w:top w:val="nil"/>
              <w:left w:val="nil"/>
              <w:bottom w:val="single" w:sz="8" w:space="0" w:color="000000"/>
              <w:right w:val="nil"/>
            </w:tcBorders>
            <w:vAlign w:val="center"/>
            <w:hideMark/>
          </w:tcPr>
          <w:p w:rsidR="00AA57CB" w:rsidRPr="009404A5" w:rsidRDefault="00AA57CB" w:rsidP="00AA57CB">
            <w:pPr>
              <w:rPr>
                <w:color w:val="000000"/>
                <w:sz w:val="20"/>
                <w:lang w:eastAsia="zh-CN"/>
              </w:rPr>
            </w:pPr>
          </w:p>
        </w:tc>
      </w:tr>
    </w:tbl>
    <w:p w:rsidR="00A23907" w:rsidRPr="00A23907" w:rsidRDefault="00A23907" w:rsidP="00A23907"/>
    <w:p w:rsidR="007E0F0A" w:rsidRPr="00451E71" w:rsidRDefault="007E0F0A" w:rsidP="00451E71">
      <w:pPr>
        <w:pStyle w:val="SMHeading"/>
        <w:jc w:val="center"/>
        <w:rPr>
          <w:lang w:val="en-GB"/>
        </w:rPr>
      </w:pPr>
      <w:bookmarkStart w:id="34" w:name="_Toc60758370"/>
      <w:r w:rsidRPr="00451E71">
        <w:rPr>
          <w:lang w:val="en-GB"/>
        </w:rPr>
        <w:t xml:space="preserve">Table </w:t>
      </w:r>
      <w:r w:rsidR="005417FE">
        <w:rPr>
          <w:lang w:val="en-GB"/>
        </w:rPr>
        <w:t>S4</w:t>
      </w:r>
      <w:r w:rsidR="005417FE" w:rsidRPr="00451E71">
        <w:rPr>
          <w:lang w:val="en-GB"/>
        </w:rPr>
        <w:t xml:space="preserve"> </w:t>
      </w:r>
      <w:r w:rsidRPr="00451E71">
        <w:rPr>
          <w:lang w:val="en-GB"/>
        </w:rPr>
        <w:t>Statistics for land systems</w:t>
      </w:r>
      <w:bookmarkEnd w:id="34"/>
    </w:p>
    <w:tbl>
      <w:tblPr>
        <w:tblW w:w="5000" w:type="pct"/>
        <w:jc w:val="center"/>
        <w:tblLook w:val="0400" w:firstRow="0" w:lastRow="0" w:firstColumn="0" w:lastColumn="0" w:noHBand="0" w:noVBand="1"/>
      </w:tblPr>
      <w:tblGrid>
        <w:gridCol w:w="4646"/>
        <w:gridCol w:w="1056"/>
        <w:gridCol w:w="1392"/>
        <w:gridCol w:w="1932"/>
      </w:tblGrid>
      <w:tr w:rsidR="007E0F0A" w:rsidRPr="001923D7" w:rsidTr="005973CF">
        <w:trPr>
          <w:trHeight w:val="280"/>
          <w:jc w:val="center"/>
        </w:trPr>
        <w:tc>
          <w:tcPr>
            <w:tcW w:w="2574" w:type="pct"/>
            <w:tcBorders>
              <w:top w:val="single" w:sz="8" w:space="0" w:color="000000"/>
              <w:left w:val="nil"/>
              <w:bottom w:val="single" w:sz="8" w:space="0" w:color="000000"/>
              <w:right w:val="nil"/>
            </w:tcBorders>
            <w:shd w:val="clear" w:color="auto" w:fill="auto"/>
            <w:vAlign w:val="center"/>
          </w:tcPr>
          <w:p w:rsidR="007E0F0A" w:rsidRPr="001923D7" w:rsidRDefault="007E0F0A" w:rsidP="005973CF">
            <w:pPr>
              <w:rPr>
                <w:b/>
                <w:color w:val="000000"/>
              </w:rPr>
            </w:pPr>
            <w:r w:rsidRPr="001923D7">
              <w:rPr>
                <w:b/>
                <w:color w:val="000000"/>
              </w:rPr>
              <w:t>land system</w:t>
            </w:r>
          </w:p>
        </w:tc>
        <w:tc>
          <w:tcPr>
            <w:tcW w:w="585" w:type="pct"/>
            <w:tcBorders>
              <w:top w:val="single" w:sz="8" w:space="0" w:color="000000"/>
              <w:left w:val="nil"/>
              <w:bottom w:val="single" w:sz="8" w:space="0" w:color="000000"/>
              <w:right w:val="nil"/>
            </w:tcBorders>
          </w:tcPr>
          <w:p w:rsidR="007E0F0A" w:rsidRPr="001923D7" w:rsidRDefault="007E0F0A" w:rsidP="005973CF">
            <w:pPr>
              <w:rPr>
                <w:b/>
                <w:color w:val="000000"/>
              </w:rPr>
            </w:pPr>
            <w:r w:rsidRPr="001923D7">
              <w:rPr>
                <w:b/>
                <w:color w:val="000000"/>
              </w:rPr>
              <w:t>Legend</w:t>
            </w:r>
          </w:p>
        </w:tc>
        <w:tc>
          <w:tcPr>
            <w:tcW w:w="771" w:type="pct"/>
            <w:tcBorders>
              <w:top w:val="single" w:sz="8" w:space="0" w:color="000000"/>
              <w:left w:val="nil"/>
              <w:bottom w:val="single" w:sz="8" w:space="0" w:color="000000"/>
              <w:right w:val="nil"/>
            </w:tcBorders>
            <w:shd w:val="clear" w:color="auto" w:fill="auto"/>
            <w:vAlign w:val="center"/>
          </w:tcPr>
          <w:p w:rsidR="007E0F0A" w:rsidRPr="001923D7" w:rsidRDefault="007E0F0A" w:rsidP="005973CF">
            <w:pPr>
              <w:rPr>
                <w:b/>
                <w:color w:val="000000"/>
              </w:rPr>
            </w:pPr>
            <w:r w:rsidRPr="001923D7">
              <w:rPr>
                <w:b/>
                <w:color w:val="000000"/>
              </w:rPr>
              <w:t>Area[km</w:t>
            </w:r>
            <w:r w:rsidRPr="001923D7">
              <w:rPr>
                <w:b/>
                <w:color w:val="000000"/>
                <w:vertAlign w:val="superscript"/>
              </w:rPr>
              <w:t>2</w:t>
            </w:r>
            <w:r w:rsidRPr="001923D7">
              <w:rPr>
                <w:b/>
                <w:color w:val="000000"/>
              </w:rPr>
              <w:t>]</w:t>
            </w:r>
          </w:p>
        </w:tc>
        <w:tc>
          <w:tcPr>
            <w:tcW w:w="1070" w:type="pct"/>
            <w:tcBorders>
              <w:top w:val="single" w:sz="8" w:space="0" w:color="000000"/>
              <w:left w:val="nil"/>
              <w:bottom w:val="single" w:sz="8" w:space="0" w:color="000000"/>
            </w:tcBorders>
            <w:shd w:val="clear" w:color="auto" w:fill="auto"/>
            <w:vAlign w:val="center"/>
          </w:tcPr>
          <w:p w:rsidR="007E0F0A" w:rsidRPr="001923D7" w:rsidRDefault="007E0F0A" w:rsidP="005973CF">
            <w:pPr>
              <w:rPr>
                <w:b/>
                <w:color w:val="000000"/>
              </w:rPr>
            </w:pPr>
            <w:r w:rsidRPr="001923D7">
              <w:rPr>
                <w:b/>
                <w:color w:val="000000"/>
              </w:rPr>
              <w:t>Area share [%]</w:t>
            </w:r>
          </w:p>
        </w:tc>
      </w:tr>
      <w:tr w:rsidR="007E0F0A" w:rsidRPr="001923D7" w:rsidTr="005973CF">
        <w:trPr>
          <w:trHeight w:val="280"/>
          <w:jc w:val="center"/>
        </w:trPr>
        <w:tc>
          <w:tcPr>
            <w:tcW w:w="2574" w:type="pct"/>
            <w:tcBorders>
              <w:top w:val="nil"/>
              <w:left w:val="nil"/>
              <w:bottom w:val="nil"/>
              <w:right w:val="nil"/>
            </w:tcBorders>
            <w:shd w:val="clear" w:color="auto" w:fill="auto"/>
            <w:vAlign w:val="center"/>
          </w:tcPr>
          <w:p w:rsidR="007E0F0A" w:rsidRPr="001923D7" w:rsidRDefault="007E0F0A" w:rsidP="005973CF">
            <w:pPr>
              <w:rPr>
                <w:color w:val="000000"/>
              </w:rPr>
            </w:pPr>
            <w:r w:rsidRPr="001923D7">
              <w:rPr>
                <w:color w:val="000000"/>
              </w:rPr>
              <w:t>low-intensity settlement</w:t>
            </w:r>
          </w:p>
        </w:tc>
        <w:tc>
          <w:tcPr>
            <w:tcW w:w="585" w:type="pct"/>
            <w:tcBorders>
              <w:top w:val="nil"/>
              <w:left w:val="nil"/>
              <w:bottom w:val="nil"/>
              <w:right w:val="nil"/>
            </w:tcBorders>
            <w:shd w:val="clear" w:color="auto" w:fill="FF0000"/>
          </w:tcPr>
          <w:p w:rsidR="007E0F0A" w:rsidRPr="001923D7" w:rsidRDefault="007E0F0A" w:rsidP="005973CF">
            <w:pPr>
              <w:jc w:val="right"/>
              <w:rPr>
                <w:color w:val="000000"/>
              </w:rPr>
            </w:pPr>
          </w:p>
        </w:tc>
        <w:tc>
          <w:tcPr>
            <w:tcW w:w="771"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112,759</w:t>
            </w:r>
          </w:p>
        </w:tc>
        <w:tc>
          <w:tcPr>
            <w:tcW w:w="1070"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2.30</w:t>
            </w:r>
          </w:p>
        </w:tc>
      </w:tr>
      <w:tr w:rsidR="007E0F0A" w:rsidRPr="001923D7" w:rsidTr="005973CF">
        <w:trPr>
          <w:trHeight w:val="280"/>
          <w:jc w:val="center"/>
        </w:trPr>
        <w:tc>
          <w:tcPr>
            <w:tcW w:w="2574" w:type="pct"/>
            <w:tcBorders>
              <w:top w:val="nil"/>
              <w:left w:val="nil"/>
              <w:right w:val="nil"/>
            </w:tcBorders>
            <w:shd w:val="clear" w:color="auto" w:fill="auto"/>
            <w:vAlign w:val="center"/>
          </w:tcPr>
          <w:p w:rsidR="007E0F0A" w:rsidRPr="001923D7" w:rsidRDefault="007E0F0A" w:rsidP="005973CF">
            <w:pPr>
              <w:rPr>
                <w:color w:val="000000"/>
              </w:rPr>
            </w:pPr>
            <w:r w:rsidRPr="001923D7">
              <w:rPr>
                <w:color w:val="000000"/>
              </w:rPr>
              <w:t>medium-intensity settlement</w:t>
            </w:r>
          </w:p>
        </w:tc>
        <w:tc>
          <w:tcPr>
            <w:tcW w:w="585" w:type="pct"/>
            <w:tcBorders>
              <w:top w:val="nil"/>
              <w:left w:val="nil"/>
              <w:right w:val="nil"/>
            </w:tcBorders>
            <w:shd w:val="clear" w:color="auto" w:fill="FF7F7F"/>
          </w:tcPr>
          <w:p w:rsidR="007E0F0A" w:rsidRPr="001923D7" w:rsidRDefault="007E0F0A" w:rsidP="005973CF">
            <w:pPr>
              <w:jc w:val="right"/>
              <w:rPr>
                <w:color w:val="000000"/>
              </w:rPr>
            </w:pPr>
          </w:p>
        </w:tc>
        <w:tc>
          <w:tcPr>
            <w:tcW w:w="771" w:type="pct"/>
            <w:tcBorders>
              <w:top w:val="nil"/>
              <w:left w:val="nil"/>
              <w:right w:val="nil"/>
            </w:tcBorders>
            <w:tcMar>
              <w:top w:w="100" w:type="dxa"/>
              <w:left w:w="100" w:type="dxa"/>
              <w:bottom w:w="100" w:type="dxa"/>
              <w:right w:w="100" w:type="dxa"/>
            </w:tcMar>
          </w:tcPr>
          <w:p w:rsidR="007E0F0A" w:rsidRPr="001923D7" w:rsidRDefault="007E0F0A" w:rsidP="005973CF">
            <w:pPr>
              <w:jc w:val="right"/>
            </w:pPr>
            <w:r w:rsidRPr="001923D7">
              <w:t>152,898</w:t>
            </w:r>
          </w:p>
        </w:tc>
        <w:tc>
          <w:tcPr>
            <w:tcW w:w="1070" w:type="pct"/>
            <w:tcBorders>
              <w:top w:val="nil"/>
              <w:left w:val="nil"/>
              <w:right w:val="nil"/>
            </w:tcBorders>
            <w:tcMar>
              <w:top w:w="100" w:type="dxa"/>
              <w:left w:w="100" w:type="dxa"/>
              <w:bottom w:w="100" w:type="dxa"/>
              <w:right w:w="100" w:type="dxa"/>
            </w:tcMar>
          </w:tcPr>
          <w:p w:rsidR="007E0F0A" w:rsidRPr="001923D7" w:rsidRDefault="007E0F0A" w:rsidP="005973CF">
            <w:pPr>
              <w:jc w:val="right"/>
            </w:pPr>
            <w:r w:rsidRPr="001923D7">
              <w:t>3.12</w:t>
            </w:r>
          </w:p>
        </w:tc>
      </w:tr>
      <w:tr w:rsidR="007E0F0A" w:rsidRPr="001923D7" w:rsidTr="005973CF">
        <w:trPr>
          <w:trHeight w:val="280"/>
          <w:jc w:val="center"/>
        </w:trPr>
        <w:tc>
          <w:tcPr>
            <w:tcW w:w="2574" w:type="pct"/>
            <w:tcBorders>
              <w:top w:val="nil"/>
              <w:left w:val="nil"/>
              <w:bottom w:val="single" w:sz="4" w:space="0" w:color="auto"/>
              <w:right w:val="nil"/>
            </w:tcBorders>
            <w:shd w:val="clear" w:color="auto" w:fill="auto"/>
            <w:vAlign w:val="center"/>
          </w:tcPr>
          <w:p w:rsidR="007E0F0A" w:rsidRPr="001923D7" w:rsidRDefault="007E0F0A" w:rsidP="005973CF">
            <w:pPr>
              <w:rPr>
                <w:color w:val="000000"/>
              </w:rPr>
            </w:pPr>
            <w:r w:rsidRPr="001923D7">
              <w:rPr>
                <w:color w:val="000000"/>
              </w:rPr>
              <w:t>high-intensity settlement</w:t>
            </w:r>
          </w:p>
        </w:tc>
        <w:tc>
          <w:tcPr>
            <w:tcW w:w="585" w:type="pct"/>
            <w:tcBorders>
              <w:top w:val="nil"/>
              <w:left w:val="nil"/>
              <w:bottom w:val="single" w:sz="4" w:space="0" w:color="auto"/>
              <w:right w:val="nil"/>
            </w:tcBorders>
            <w:shd w:val="clear" w:color="auto" w:fill="A80000"/>
          </w:tcPr>
          <w:p w:rsidR="007E0F0A" w:rsidRPr="001923D7" w:rsidRDefault="007E0F0A" w:rsidP="005973CF">
            <w:pPr>
              <w:jc w:val="right"/>
              <w:rPr>
                <w:color w:val="000000"/>
              </w:rPr>
            </w:pPr>
          </w:p>
        </w:tc>
        <w:tc>
          <w:tcPr>
            <w:tcW w:w="771" w:type="pct"/>
            <w:tcBorders>
              <w:top w:val="nil"/>
              <w:left w:val="nil"/>
              <w:bottom w:val="single" w:sz="4" w:space="0" w:color="auto"/>
              <w:right w:val="nil"/>
            </w:tcBorders>
            <w:tcMar>
              <w:top w:w="100" w:type="dxa"/>
              <w:left w:w="100" w:type="dxa"/>
              <w:bottom w:w="100" w:type="dxa"/>
              <w:right w:w="100" w:type="dxa"/>
            </w:tcMar>
          </w:tcPr>
          <w:p w:rsidR="007E0F0A" w:rsidRPr="001923D7" w:rsidRDefault="007E0F0A" w:rsidP="005973CF">
            <w:pPr>
              <w:jc w:val="right"/>
            </w:pPr>
            <w:r w:rsidRPr="001923D7">
              <w:t>82,689</w:t>
            </w:r>
          </w:p>
        </w:tc>
        <w:tc>
          <w:tcPr>
            <w:tcW w:w="1070" w:type="pct"/>
            <w:tcBorders>
              <w:top w:val="nil"/>
              <w:left w:val="nil"/>
              <w:bottom w:val="single" w:sz="4" w:space="0" w:color="auto"/>
              <w:right w:val="nil"/>
            </w:tcBorders>
            <w:tcMar>
              <w:top w:w="100" w:type="dxa"/>
              <w:left w:w="100" w:type="dxa"/>
              <w:bottom w:w="100" w:type="dxa"/>
              <w:right w:w="100" w:type="dxa"/>
            </w:tcMar>
          </w:tcPr>
          <w:p w:rsidR="007E0F0A" w:rsidRPr="001923D7" w:rsidRDefault="007E0F0A" w:rsidP="005973CF">
            <w:pPr>
              <w:jc w:val="right"/>
            </w:pPr>
            <w:r w:rsidRPr="001923D7">
              <w:t>1.69</w:t>
            </w:r>
          </w:p>
        </w:tc>
      </w:tr>
      <w:tr w:rsidR="007E0F0A" w:rsidRPr="001923D7" w:rsidTr="005973CF">
        <w:trPr>
          <w:trHeight w:val="280"/>
          <w:jc w:val="center"/>
        </w:trPr>
        <w:tc>
          <w:tcPr>
            <w:tcW w:w="2574" w:type="pct"/>
            <w:tcBorders>
              <w:top w:val="single" w:sz="4" w:space="0" w:color="auto"/>
              <w:left w:val="nil"/>
              <w:bottom w:val="single" w:sz="6" w:space="0" w:color="auto"/>
              <w:right w:val="nil"/>
            </w:tcBorders>
            <w:shd w:val="clear" w:color="auto" w:fill="auto"/>
            <w:vAlign w:val="center"/>
          </w:tcPr>
          <w:p w:rsidR="007E0F0A" w:rsidRPr="001923D7" w:rsidRDefault="007E0F0A" w:rsidP="005973CF">
            <w:pPr>
              <w:rPr>
                <w:color w:val="000000"/>
              </w:rPr>
            </w:pPr>
          </w:p>
        </w:tc>
        <w:tc>
          <w:tcPr>
            <w:tcW w:w="585" w:type="pct"/>
            <w:tcBorders>
              <w:top w:val="single" w:sz="4" w:space="0" w:color="auto"/>
              <w:left w:val="nil"/>
              <w:bottom w:val="single" w:sz="6" w:space="0" w:color="auto"/>
              <w:right w:val="nil"/>
            </w:tcBorders>
          </w:tcPr>
          <w:p w:rsidR="007E0F0A" w:rsidRPr="001923D7" w:rsidRDefault="007E0F0A" w:rsidP="005973CF">
            <w:pPr>
              <w:jc w:val="right"/>
              <w:rPr>
                <w:color w:val="000000"/>
              </w:rPr>
            </w:pPr>
          </w:p>
        </w:tc>
        <w:tc>
          <w:tcPr>
            <w:tcW w:w="771" w:type="pct"/>
            <w:tcBorders>
              <w:top w:val="single" w:sz="4"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348,346</w:t>
            </w:r>
          </w:p>
        </w:tc>
        <w:tc>
          <w:tcPr>
            <w:tcW w:w="1070" w:type="pct"/>
            <w:tcBorders>
              <w:top w:val="single" w:sz="4"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7.11</w:t>
            </w:r>
          </w:p>
        </w:tc>
      </w:tr>
      <w:tr w:rsidR="007E0F0A" w:rsidRPr="001923D7" w:rsidTr="005973CF">
        <w:trPr>
          <w:trHeight w:val="280"/>
          <w:jc w:val="center"/>
        </w:trPr>
        <w:tc>
          <w:tcPr>
            <w:tcW w:w="2574" w:type="pct"/>
            <w:tcBorders>
              <w:top w:val="single" w:sz="6" w:space="0" w:color="auto"/>
              <w:left w:val="nil"/>
              <w:bottom w:val="nil"/>
              <w:right w:val="nil"/>
            </w:tcBorders>
            <w:shd w:val="clear" w:color="auto" w:fill="auto"/>
            <w:vAlign w:val="center"/>
          </w:tcPr>
          <w:p w:rsidR="007E0F0A" w:rsidRPr="001923D7" w:rsidRDefault="007E0F0A" w:rsidP="005973CF">
            <w:pPr>
              <w:rPr>
                <w:color w:val="000000"/>
              </w:rPr>
            </w:pPr>
            <w:r w:rsidRPr="001923D7">
              <w:rPr>
                <w:color w:val="000000"/>
              </w:rPr>
              <w:t>low-intensity forest</w:t>
            </w:r>
          </w:p>
        </w:tc>
        <w:tc>
          <w:tcPr>
            <w:tcW w:w="585" w:type="pct"/>
            <w:tcBorders>
              <w:top w:val="single" w:sz="6" w:space="0" w:color="auto"/>
              <w:left w:val="nil"/>
              <w:bottom w:val="nil"/>
              <w:right w:val="nil"/>
            </w:tcBorders>
            <w:shd w:val="clear" w:color="auto" w:fill="A3FF73"/>
          </w:tcPr>
          <w:p w:rsidR="007E0F0A" w:rsidRPr="001923D7" w:rsidRDefault="007E0F0A" w:rsidP="005973CF">
            <w:pPr>
              <w:jc w:val="right"/>
              <w:rPr>
                <w:color w:val="000000"/>
              </w:rPr>
            </w:pPr>
          </w:p>
        </w:tc>
        <w:tc>
          <w:tcPr>
            <w:tcW w:w="771" w:type="pct"/>
            <w:tcBorders>
              <w:top w:val="single" w:sz="6" w:space="0" w:color="auto"/>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480,091</w:t>
            </w:r>
          </w:p>
        </w:tc>
        <w:tc>
          <w:tcPr>
            <w:tcW w:w="1070" w:type="pct"/>
            <w:tcBorders>
              <w:top w:val="single" w:sz="6" w:space="0" w:color="auto"/>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9.80</w:t>
            </w:r>
          </w:p>
        </w:tc>
      </w:tr>
      <w:tr w:rsidR="007E0F0A" w:rsidRPr="001923D7" w:rsidTr="005973CF">
        <w:trPr>
          <w:trHeight w:val="280"/>
          <w:jc w:val="center"/>
        </w:trPr>
        <w:tc>
          <w:tcPr>
            <w:tcW w:w="2574" w:type="pct"/>
            <w:tcBorders>
              <w:top w:val="nil"/>
              <w:left w:val="nil"/>
              <w:right w:val="nil"/>
            </w:tcBorders>
            <w:shd w:val="clear" w:color="auto" w:fill="auto"/>
            <w:vAlign w:val="center"/>
          </w:tcPr>
          <w:p w:rsidR="007E0F0A" w:rsidRPr="001923D7" w:rsidRDefault="007E0F0A" w:rsidP="005973CF">
            <w:pPr>
              <w:rPr>
                <w:color w:val="000000"/>
              </w:rPr>
            </w:pPr>
            <w:r w:rsidRPr="001923D7">
              <w:rPr>
                <w:color w:val="000000"/>
              </w:rPr>
              <w:t>medium-intensity forest</w:t>
            </w:r>
          </w:p>
        </w:tc>
        <w:tc>
          <w:tcPr>
            <w:tcW w:w="585" w:type="pct"/>
            <w:tcBorders>
              <w:top w:val="nil"/>
              <w:left w:val="nil"/>
              <w:right w:val="nil"/>
            </w:tcBorders>
            <w:shd w:val="clear" w:color="auto" w:fill="38A800"/>
          </w:tcPr>
          <w:p w:rsidR="007E0F0A" w:rsidRPr="001923D7" w:rsidRDefault="007E0F0A" w:rsidP="005973CF">
            <w:pPr>
              <w:jc w:val="right"/>
              <w:rPr>
                <w:color w:val="000000"/>
              </w:rPr>
            </w:pPr>
          </w:p>
        </w:tc>
        <w:tc>
          <w:tcPr>
            <w:tcW w:w="771" w:type="pct"/>
            <w:tcBorders>
              <w:top w:val="nil"/>
              <w:left w:val="nil"/>
              <w:right w:val="nil"/>
            </w:tcBorders>
            <w:tcMar>
              <w:top w:w="100" w:type="dxa"/>
              <w:left w:w="100" w:type="dxa"/>
              <w:bottom w:w="100" w:type="dxa"/>
              <w:right w:w="100" w:type="dxa"/>
            </w:tcMar>
          </w:tcPr>
          <w:p w:rsidR="007E0F0A" w:rsidRPr="001923D7" w:rsidRDefault="007E0F0A" w:rsidP="005973CF">
            <w:pPr>
              <w:jc w:val="right"/>
            </w:pPr>
            <w:r w:rsidRPr="001923D7">
              <w:t>612,953</w:t>
            </w:r>
          </w:p>
        </w:tc>
        <w:tc>
          <w:tcPr>
            <w:tcW w:w="1070" w:type="pct"/>
            <w:tcBorders>
              <w:top w:val="nil"/>
              <w:left w:val="nil"/>
              <w:right w:val="nil"/>
            </w:tcBorders>
            <w:tcMar>
              <w:top w:w="100" w:type="dxa"/>
              <w:left w:w="100" w:type="dxa"/>
              <w:bottom w:w="100" w:type="dxa"/>
              <w:right w:w="100" w:type="dxa"/>
            </w:tcMar>
          </w:tcPr>
          <w:p w:rsidR="007E0F0A" w:rsidRPr="001923D7" w:rsidRDefault="007E0F0A" w:rsidP="005973CF">
            <w:pPr>
              <w:jc w:val="right"/>
            </w:pPr>
            <w:r w:rsidRPr="001923D7">
              <w:t>12.51</w:t>
            </w:r>
          </w:p>
        </w:tc>
      </w:tr>
      <w:tr w:rsidR="007E0F0A" w:rsidRPr="001923D7" w:rsidTr="005973CF">
        <w:trPr>
          <w:trHeight w:val="280"/>
          <w:jc w:val="center"/>
        </w:trPr>
        <w:tc>
          <w:tcPr>
            <w:tcW w:w="2574" w:type="pct"/>
            <w:tcBorders>
              <w:top w:val="nil"/>
              <w:left w:val="nil"/>
              <w:bottom w:val="single" w:sz="4" w:space="0" w:color="auto"/>
              <w:right w:val="nil"/>
            </w:tcBorders>
            <w:shd w:val="clear" w:color="auto" w:fill="auto"/>
            <w:vAlign w:val="center"/>
          </w:tcPr>
          <w:p w:rsidR="007E0F0A" w:rsidRPr="001923D7" w:rsidRDefault="007E0F0A" w:rsidP="005973CF">
            <w:pPr>
              <w:rPr>
                <w:color w:val="000000"/>
              </w:rPr>
            </w:pPr>
            <w:r w:rsidRPr="001923D7">
              <w:rPr>
                <w:color w:val="000000"/>
              </w:rPr>
              <w:t>high-intensity forest</w:t>
            </w:r>
          </w:p>
        </w:tc>
        <w:tc>
          <w:tcPr>
            <w:tcW w:w="585" w:type="pct"/>
            <w:tcBorders>
              <w:top w:val="nil"/>
              <w:left w:val="nil"/>
              <w:bottom w:val="single" w:sz="4" w:space="0" w:color="auto"/>
              <w:right w:val="nil"/>
            </w:tcBorders>
            <w:shd w:val="clear" w:color="auto" w:fill="267300"/>
          </w:tcPr>
          <w:p w:rsidR="007E0F0A" w:rsidRPr="001923D7" w:rsidRDefault="007E0F0A" w:rsidP="005973CF">
            <w:pPr>
              <w:jc w:val="right"/>
              <w:rPr>
                <w:color w:val="000000"/>
              </w:rPr>
            </w:pPr>
          </w:p>
        </w:tc>
        <w:tc>
          <w:tcPr>
            <w:tcW w:w="771" w:type="pct"/>
            <w:tcBorders>
              <w:top w:val="nil"/>
              <w:left w:val="nil"/>
              <w:bottom w:val="single" w:sz="4" w:space="0" w:color="auto"/>
              <w:right w:val="nil"/>
            </w:tcBorders>
            <w:tcMar>
              <w:top w:w="100" w:type="dxa"/>
              <w:left w:w="100" w:type="dxa"/>
              <w:bottom w:w="100" w:type="dxa"/>
              <w:right w:w="100" w:type="dxa"/>
            </w:tcMar>
          </w:tcPr>
          <w:p w:rsidR="007E0F0A" w:rsidRPr="001923D7" w:rsidRDefault="007E0F0A" w:rsidP="005973CF">
            <w:pPr>
              <w:jc w:val="right"/>
            </w:pPr>
            <w:r w:rsidRPr="001923D7">
              <w:t>490,380</w:t>
            </w:r>
          </w:p>
        </w:tc>
        <w:tc>
          <w:tcPr>
            <w:tcW w:w="1070" w:type="pct"/>
            <w:tcBorders>
              <w:top w:val="nil"/>
              <w:left w:val="nil"/>
              <w:bottom w:val="single" w:sz="4" w:space="0" w:color="auto"/>
              <w:right w:val="nil"/>
            </w:tcBorders>
            <w:tcMar>
              <w:top w:w="100" w:type="dxa"/>
              <w:left w:w="100" w:type="dxa"/>
              <w:bottom w:w="100" w:type="dxa"/>
              <w:right w:w="100" w:type="dxa"/>
            </w:tcMar>
          </w:tcPr>
          <w:p w:rsidR="007E0F0A" w:rsidRPr="001923D7" w:rsidRDefault="007E0F0A" w:rsidP="005973CF">
            <w:pPr>
              <w:jc w:val="right"/>
            </w:pPr>
            <w:r w:rsidRPr="001923D7">
              <w:t>10.01</w:t>
            </w:r>
          </w:p>
        </w:tc>
      </w:tr>
      <w:tr w:rsidR="007E0F0A" w:rsidRPr="001923D7" w:rsidTr="005973CF">
        <w:trPr>
          <w:trHeight w:val="280"/>
          <w:jc w:val="center"/>
        </w:trPr>
        <w:tc>
          <w:tcPr>
            <w:tcW w:w="2574" w:type="pct"/>
            <w:tcBorders>
              <w:top w:val="single" w:sz="4" w:space="0" w:color="auto"/>
              <w:left w:val="nil"/>
              <w:bottom w:val="single" w:sz="6" w:space="0" w:color="auto"/>
              <w:right w:val="nil"/>
            </w:tcBorders>
            <w:shd w:val="clear" w:color="auto" w:fill="auto"/>
            <w:vAlign w:val="center"/>
          </w:tcPr>
          <w:p w:rsidR="007E0F0A" w:rsidRPr="001923D7" w:rsidRDefault="007E0F0A" w:rsidP="005973CF">
            <w:pPr>
              <w:rPr>
                <w:color w:val="000000"/>
              </w:rPr>
            </w:pPr>
          </w:p>
        </w:tc>
        <w:tc>
          <w:tcPr>
            <w:tcW w:w="585" w:type="pct"/>
            <w:tcBorders>
              <w:top w:val="single" w:sz="4" w:space="0" w:color="auto"/>
              <w:left w:val="nil"/>
              <w:bottom w:val="single" w:sz="6" w:space="0" w:color="auto"/>
              <w:right w:val="nil"/>
            </w:tcBorders>
          </w:tcPr>
          <w:p w:rsidR="007E0F0A" w:rsidRPr="001923D7" w:rsidRDefault="007E0F0A" w:rsidP="005973CF">
            <w:pPr>
              <w:jc w:val="right"/>
              <w:rPr>
                <w:color w:val="000000"/>
              </w:rPr>
            </w:pPr>
          </w:p>
        </w:tc>
        <w:tc>
          <w:tcPr>
            <w:tcW w:w="771" w:type="pct"/>
            <w:tcBorders>
              <w:top w:val="single" w:sz="4"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1,583,424</w:t>
            </w:r>
          </w:p>
        </w:tc>
        <w:tc>
          <w:tcPr>
            <w:tcW w:w="1070" w:type="pct"/>
            <w:tcBorders>
              <w:top w:val="single" w:sz="4"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32.3</w:t>
            </w:r>
          </w:p>
        </w:tc>
      </w:tr>
      <w:tr w:rsidR="007E0F0A" w:rsidRPr="001923D7" w:rsidTr="005973CF">
        <w:trPr>
          <w:trHeight w:val="280"/>
          <w:jc w:val="center"/>
        </w:trPr>
        <w:tc>
          <w:tcPr>
            <w:tcW w:w="2574" w:type="pct"/>
            <w:tcBorders>
              <w:top w:val="single" w:sz="6" w:space="0" w:color="auto"/>
              <w:left w:val="nil"/>
              <w:bottom w:val="nil"/>
              <w:right w:val="nil"/>
            </w:tcBorders>
            <w:shd w:val="clear" w:color="auto" w:fill="auto"/>
            <w:vAlign w:val="center"/>
          </w:tcPr>
          <w:p w:rsidR="007E0F0A" w:rsidRPr="001923D7" w:rsidRDefault="007E0F0A" w:rsidP="005973CF">
            <w:pPr>
              <w:rPr>
                <w:color w:val="000000"/>
              </w:rPr>
            </w:pPr>
            <w:r w:rsidRPr="001923D7">
              <w:rPr>
                <w:color w:val="000000"/>
              </w:rPr>
              <w:t>low-intensity grassland</w:t>
            </w:r>
          </w:p>
        </w:tc>
        <w:tc>
          <w:tcPr>
            <w:tcW w:w="585" w:type="pct"/>
            <w:tcBorders>
              <w:top w:val="single" w:sz="6" w:space="0" w:color="auto"/>
              <w:left w:val="nil"/>
              <w:bottom w:val="nil"/>
              <w:right w:val="nil"/>
            </w:tcBorders>
            <w:shd w:val="clear" w:color="auto" w:fill="FFEBAF"/>
          </w:tcPr>
          <w:p w:rsidR="007E0F0A" w:rsidRPr="001923D7" w:rsidRDefault="007E0F0A" w:rsidP="005973CF">
            <w:pPr>
              <w:jc w:val="right"/>
              <w:rPr>
                <w:color w:val="000000"/>
              </w:rPr>
            </w:pPr>
          </w:p>
        </w:tc>
        <w:tc>
          <w:tcPr>
            <w:tcW w:w="771" w:type="pct"/>
            <w:tcBorders>
              <w:top w:val="single" w:sz="6" w:space="0" w:color="auto"/>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137,714</w:t>
            </w:r>
          </w:p>
        </w:tc>
        <w:tc>
          <w:tcPr>
            <w:tcW w:w="1070" w:type="pct"/>
            <w:tcBorders>
              <w:top w:val="single" w:sz="6" w:space="0" w:color="auto"/>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2.81</w:t>
            </w:r>
          </w:p>
        </w:tc>
      </w:tr>
      <w:tr w:rsidR="007E0F0A" w:rsidRPr="001923D7" w:rsidTr="005973CF">
        <w:trPr>
          <w:trHeight w:val="280"/>
          <w:jc w:val="center"/>
        </w:trPr>
        <w:tc>
          <w:tcPr>
            <w:tcW w:w="2574" w:type="pct"/>
            <w:tcBorders>
              <w:top w:val="nil"/>
              <w:left w:val="nil"/>
              <w:right w:val="nil"/>
            </w:tcBorders>
            <w:shd w:val="clear" w:color="auto" w:fill="auto"/>
            <w:vAlign w:val="center"/>
          </w:tcPr>
          <w:p w:rsidR="007E0F0A" w:rsidRPr="001923D7" w:rsidRDefault="007E0F0A" w:rsidP="005973CF">
            <w:pPr>
              <w:rPr>
                <w:color w:val="000000"/>
              </w:rPr>
            </w:pPr>
            <w:r w:rsidRPr="001923D7">
              <w:rPr>
                <w:color w:val="000000"/>
              </w:rPr>
              <w:t>medium-intensity grassland</w:t>
            </w:r>
          </w:p>
        </w:tc>
        <w:tc>
          <w:tcPr>
            <w:tcW w:w="585" w:type="pct"/>
            <w:tcBorders>
              <w:top w:val="nil"/>
              <w:left w:val="nil"/>
              <w:right w:val="nil"/>
            </w:tcBorders>
            <w:shd w:val="clear" w:color="auto" w:fill="FFAA00"/>
          </w:tcPr>
          <w:p w:rsidR="007E0F0A" w:rsidRPr="001923D7" w:rsidRDefault="007E0F0A" w:rsidP="005973CF">
            <w:pPr>
              <w:jc w:val="right"/>
              <w:rPr>
                <w:color w:val="000000"/>
              </w:rPr>
            </w:pPr>
          </w:p>
        </w:tc>
        <w:tc>
          <w:tcPr>
            <w:tcW w:w="771" w:type="pct"/>
            <w:tcBorders>
              <w:top w:val="nil"/>
              <w:left w:val="nil"/>
              <w:right w:val="nil"/>
            </w:tcBorders>
            <w:tcMar>
              <w:top w:w="100" w:type="dxa"/>
              <w:left w:w="100" w:type="dxa"/>
              <w:bottom w:w="100" w:type="dxa"/>
              <w:right w:w="100" w:type="dxa"/>
            </w:tcMar>
          </w:tcPr>
          <w:p w:rsidR="007E0F0A" w:rsidRPr="001923D7" w:rsidRDefault="007E0F0A" w:rsidP="005973CF">
            <w:pPr>
              <w:jc w:val="right"/>
            </w:pPr>
            <w:r w:rsidRPr="001923D7">
              <w:t>83,231</w:t>
            </w:r>
          </w:p>
        </w:tc>
        <w:tc>
          <w:tcPr>
            <w:tcW w:w="1070" w:type="pct"/>
            <w:tcBorders>
              <w:top w:val="nil"/>
              <w:left w:val="nil"/>
              <w:right w:val="nil"/>
            </w:tcBorders>
            <w:tcMar>
              <w:top w:w="100" w:type="dxa"/>
              <w:left w:w="100" w:type="dxa"/>
              <w:bottom w:w="100" w:type="dxa"/>
              <w:right w:w="100" w:type="dxa"/>
            </w:tcMar>
          </w:tcPr>
          <w:p w:rsidR="007E0F0A" w:rsidRPr="001923D7" w:rsidRDefault="007E0F0A" w:rsidP="005973CF">
            <w:pPr>
              <w:jc w:val="right"/>
            </w:pPr>
            <w:r w:rsidRPr="001923D7">
              <w:t>1.70</w:t>
            </w:r>
          </w:p>
        </w:tc>
      </w:tr>
      <w:tr w:rsidR="007E0F0A" w:rsidRPr="001923D7" w:rsidTr="005973CF">
        <w:trPr>
          <w:trHeight w:val="280"/>
          <w:jc w:val="center"/>
        </w:trPr>
        <w:tc>
          <w:tcPr>
            <w:tcW w:w="2574" w:type="pct"/>
            <w:tcBorders>
              <w:top w:val="nil"/>
              <w:left w:val="nil"/>
              <w:bottom w:val="single" w:sz="4" w:space="0" w:color="auto"/>
              <w:right w:val="nil"/>
            </w:tcBorders>
            <w:shd w:val="clear" w:color="auto" w:fill="auto"/>
            <w:vAlign w:val="center"/>
          </w:tcPr>
          <w:p w:rsidR="007E0F0A" w:rsidRPr="001923D7" w:rsidRDefault="007E0F0A" w:rsidP="005973CF">
            <w:pPr>
              <w:rPr>
                <w:color w:val="000000"/>
              </w:rPr>
            </w:pPr>
            <w:r w:rsidRPr="001923D7">
              <w:rPr>
                <w:color w:val="000000"/>
              </w:rPr>
              <w:t>high-intensity grassland</w:t>
            </w:r>
          </w:p>
        </w:tc>
        <w:tc>
          <w:tcPr>
            <w:tcW w:w="585" w:type="pct"/>
            <w:tcBorders>
              <w:top w:val="nil"/>
              <w:left w:val="nil"/>
              <w:bottom w:val="single" w:sz="4" w:space="0" w:color="auto"/>
              <w:right w:val="nil"/>
            </w:tcBorders>
            <w:shd w:val="clear" w:color="auto" w:fill="A87000"/>
          </w:tcPr>
          <w:p w:rsidR="007E0F0A" w:rsidRPr="001923D7" w:rsidRDefault="007E0F0A" w:rsidP="005973CF">
            <w:pPr>
              <w:jc w:val="right"/>
              <w:rPr>
                <w:color w:val="000000"/>
              </w:rPr>
            </w:pPr>
          </w:p>
        </w:tc>
        <w:tc>
          <w:tcPr>
            <w:tcW w:w="771" w:type="pct"/>
            <w:tcBorders>
              <w:top w:val="nil"/>
              <w:left w:val="nil"/>
              <w:bottom w:val="single" w:sz="4" w:space="0" w:color="auto"/>
              <w:right w:val="nil"/>
            </w:tcBorders>
            <w:tcMar>
              <w:top w:w="100" w:type="dxa"/>
              <w:left w:w="100" w:type="dxa"/>
              <w:bottom w:w="100" w:type="dxa"/>
              <w:right w:w="100" w:type="dxa"/>
            </w:tcMar>
          </w:tcPr>
          <w:p w:rsidR="007E0F0A" w:rsidRPr="001923D7" w:rsidRDefault="007E0F0A" w:rsidP="005973CF">
            <w:pPr>
              <w:jc w:val="right"/>
            </w:pPr>
            <w:r w:rsidRPr="001923D7">
              <w:t>82,074</w:t>
            </w:r>
          </w:p>
        </w:tc>
        <w:tc>
          <w:tcPr>
            <w:tcW w:w="1070" w:type="pct"/>
            <w:tcBorders>
              <w:top w:val="nil"/>
              <w:left w:val="nil"/>
              <w:bottom w:val="single" w:sz="4" w:space="0" w:color="auto"/>
              <w:right w:val="nil"/>
            </w:tcBorders>
            <w:tcMar>
              <w:top w:w="100" w:type="dxa"/>
              <w:left w:w="100" w:type="dxa"/>
              <w:bottom w:w="100" w:type="dxa"/>
              <w:right w:w="100" w:type="dxa"/>
            </w:tcMar>
          </w:tcPr>
          <w:p w:rsidR="007E0F0A" w:rsidRPr="001923D7" w:rsidRDefault="007E0F0A" w:rsidP="005973CF">
            <w:pPr>
              <w:jc w:val="right"/>
            </w:pPr>
            <w:r w:rsidRPr="001923D7">
              <w:t>1.68</w:t>
            </w:r>
          </w:p>
        </w:tc>
      </w:tr>
      <w:tr w:rsidR="007E0F0A" w:rsidRPr="001923D7" w:rsidTr="005973CF">
        <w:trPr>
          <w:trHeight w:val="280"/>
          <w:jc w:val="center"/>
        </w:trPr>
        <w:tc>
          <w:tcPr>
            <w:tcW w:w="2574" w:type="pct"/>
            <w:tcBorders>
              <w:top w:val="single" w:sz="4" w:space="0" w:color="auto"/>
              <w:left w:val="nil"/>
              <w:bottom w:val="single" w:sz="6" w:space="0" w:color="auto"/>
              <w:right w:val="nil"/>
            </w:tcBorders>
            <w:shd w:val="clear" w:color="auto" w:fill="auto"/>
            <w:vAlign w:val="center"/>
          </w:tcPr>
          <w:p w:rsidR="007E0F0A" w:rsidRPr="001923D7" w:rsidRDefault="007E0F0A" w:rsidP="005973CF">
            <w:pPr>
              <w:rPr>
                <w:color w:val="000000"/>
              </w:rPr>
            </w:pPr>
          </w:p>
        </w:tc>
        <w:tc>
          <w:tcPr>
            <w:tcW w:w="585" w:type="pct"/>
            <w:tcBorders>
              <w:top w:val="single" w:sz="4" w:space="0" w:color="auto"/>
              <w:left w:val="nil"/>
              <w:bottom w:val="single" w:sz="6" w:space="0" w:color="auto"/>
              <w:right w:val="nil"/>
            </w:tcBorders>
            <w:shd w:val="clear" w:color="auto" w:fill="FFFFFF" w:themeFill="background1"/>
          </w:tcPr>
          <w:p w:rsidR="007E0F0A" w:rsidRPr="001923D7" w:rsidRDefault="007E0F0A" w:rsidP="005973CF">
            <w:pPr>
              <w:jc w:val="right"/>
              <w:rPr>
                <w:color w:val="000000"/>
              </w:rPr>
            </w:pPr>
          </w:p>
        </w:tc>
        <w:tc>
          <w:tcPr>
            <w:tcW w:w="771" w:type="pct"/>
            <w:tcBorders>
              <w:top w:val="single" w:sz="4"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303,019</w:t>
            </w:r>
          </w:p>
        </w:tc>
        <w:tc>
          <w:tcPr>
            <w:tcW w:w="1070" w:type="pct"/>
            <w:tcBorders>
              <w:top w:val="single" w:sz="4"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6.2</w:t>
            </w:r>
          </w:p>
        </w:tc>
      </w:tr>
      <w:tr w:rsidR="007E0F0A" w:rsidRPr="001923D7" w:rsidTr="005973CF">
        <w:trPr>
          <w:trHeight w:val="280"/>
          <w:jc w:val="center"/>
        </w:trPr>
        <w:tc>
          <w:tcPr>
            <w:tcW w:w="2574" w:type="pct"/>
            <w:tcBorders>
              <w:top w:val="single" w:sz="6" w:space="0" w:color="auto"/>
              <w:left w:val="nil"/>
              <w:bottom w:val="nil"/>
              <w:right w:val="nil"/>
            </w:tcBorders>
            <w:shd w:val="clear" w:color="auto" w:fill="auto"/>
            <w:vAlign w:val="center"/>
          </w:tcPr>
          <w:p w:rsidR="007E0F0A" w:rsidRPr="001923D7" w:rsidRDefault="007E0F0A" w:rsidP="005973CF">
            <w:pPr>
              <w:rPr>
                <w:color w:val="000000"/>
              </w:rPr>
            </w:pPr>
            <w:r w:rsidRPr="001923D7">
              <w:rPr>
                <w:color w:val="000000"/>
              </w:rPr>
              <w:t>low-intensity cropland</w:t>
            </w:r>
          </w:p>
        </w:tc>
        <w:tc>
          <w:tcPr>
            <w:tcW w:w="585" w:type="pct"/>
            <w:tcBorders>
              <w:top w:val="single" w:sz="6" w:space="0" w:color="auto"/>
              <w:left w:val="nil"/>
              <w:bottom w:val="nil"/>
              <w:right w:val="nil"/>
            </w:tcBorders>
            <w:shd w:val="clear" w:color="auto" w:fill="C7FFE8"/>
          </w:tcPr>
          <w:p w:rsidR="007E0F0A" w:rsidRPr="001923D7" w:rsidRDefault="007E0F0A" w:rsidP="005973CF">
            <w:pPr>
              <w:jc w:val="right"/>
              <w:rPr>
                <w:color w:val="000000"/>
              </w:rPr>
            </w:pPr>
          </w:p>
        </w:tc>
        <w:tc>
          <w:tcPr>
            <w:tcW w:w="771" w:type="pct"/>
            <w:tcBorders>
              <w:top w:val="single" w:sz="6" w:space="0" w:color="auto"/>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178,877</w:t>
            </w:r>
          </w:p>
        </w:tc>
        <w:tc>
          <w:tcPr>
            <w:tcW w:w="1070" w:type="pct"/>
            <w:tcBorders>
              <w:top w:val="single" w:sz="6" w:space="0" w:color="auto"/>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3.65</w:t>
            </w:r>
          </w:p>
        </w:tc>
      </w:tr>
      <w:tr w:rsidR="007E0F0A" w:rsidRPr="001923D7" w:rsidTr="005973CF">
        <w:trPr>
          <w:trHeight w:val="280"/>
          <w:jc w:val="center"/>
        </w:trPr>
        <w:tc>
          <w:tcPr>
            <w:tcW w:w="2574" w:type="pct"/>
            <w:tcBorders>
              <w:top w:val="nil"/>
              <w:left w:val="nil"/>
              <w:bottom w:val="nil"/>
              <w:right w:val="nil"/>
            </w:tcBorders>
            <w:shd w:val="clear" w:color="auto" w:fill="auto"/>
            <w:vAlign w:val="center"/>
          </w:tcPr>
          <w:p w:rsidR="007E0F0A" w:rsidRPr="001923D7" w:rsidRDefault="007E0F0A" w:rsidP="005973CF">
            <w:pPr>
              <w:rPr>
                <w:color w:val="000000"/>
              </w:rPr>
            </w:pPr>
            <w:r w:rsidRPr="001923D7">
              <w:rPr>
                <w:color w:val="000000"/>
              </w:rPr>
              <w:t>medium-intensity cropland</w:t>
            </w:r>
          </w:p>
        </w:tc>
        <w:tc>
          <w:tcPr>
            <w:tcW w:w="585" w:type="pct"/>
            <w:tcBorders>
              <w:top w:val="nil"/>
              <w:left w:val="nil"/>
              <w:bottom w:val="nil"/>
              <w:right w:val="nil"/>
            </w:tcBorders>
            <w:shd w:val="clear" w:color="auto" w:fill="00FFC5"/>
          </w:tcPr>
          <w:p w:rsidR="007E0F0A" w:rsidRPr="001923D7" w:rsidRDefault="007E0F0A" w:rsidP="005973CF">
            <w:pPr>
              <w:jc w:val="right"/>
              <w:rPr>
                <w:color w:val="000000"/>
              </w:rPr>
            </w:pPr>
          </w:p>
        </w:tc>
        <w:tc>
          <w:tcPr>
            <w:tcW w:w="771"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635,498</w:t>
            </w:r>
          </w:p>
        </w:tc>
        <w:tc>
          <w:tcPr>
            <w:tcW w:w="1070"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12.97</w:t>
            </w:r>
          </w:p>
        </w:tc>
      </w:tr>
      <w:tr w:rsidR="007E0F0A" w:rsidRPr="001923D7" w:rsidTr="005973CF">
        <w:trPr>
          <w:trHeight w:val="280"/>
          <w:jc w:val="center"/>
        </w:trPr>
        <w:tc>
          <w:tcPr>
            <w:tcW w:w="2574" w:type="pct"/>
            <w:tcBorders>
              <w:top w:val="nil"/>
              <w:left w:val="nil"/>
              <w:bottom w:val="nil"/>
              <w:right w:val="nil"/>
            </w:tcBorders>
            <w:shd w:val="clear" w:color="auto" w:fill="auto"/>
            <w:vAlign w:val="center"/>
          </w:tcPr>
          <w:p w:rsidR="007E0F0A" w:rsidRPr="001923D7" w:rsidRDefault="007E0F0A" w:rsidP="005973CF">
            <w:pPr>
              <w:rPr>
                <w:color w:val="000000"/>
              </w:rPr>
            </w:pPr>
            <w:r w:rsidRPr="001923D7">
              <w:rPr>
                <w:color w:val="000000"/>
              </w:rPr>
              <w:t>high-intensity cropland</w:t>
            </w:r>
          </w:p>
        </w:tc>
        <w:tc>
          <w:tcPr>
            <w:tcW w:w="585" w:type="pct"/>
            <w:tcBorders>
              <w:top w:val="nil"/>
              <w:left w:val="nil"/>
              <w:bottom w:val="nil"/>
              <w:right w:val="nil"/>
            </w:tcBorders>
            <w:shd w:val="clear" w:color="auto" w:fill="00A884"/>
          </w:tcPr>
          <w:p w:rsidR="007E0F0A" w:rsidRPr="001923D7" w:rsidRDefault="007E0F0A" w:rsidP="005973CF">
            <w:pPr>
              <w:jc w:val="right"/>
              <w:rPr>
                <w:color w:val="000000"/>
              </w:rPr>
            </w:pPr>
          </w:p>
        </w:tc>
        <w:tc>
          <w:tcPr>
            <w:tcW w:w="771"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243,992</w:t>
            </w:r>
          </w:p>
        </w:tc>
        <w:tc>
          <w:tcPr>
            <w:tcW w:w="1070"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4.98</w:t>
            </w:r>
          </w:p>
        </w:tc>
      </w:tr>
      <w:tr w:rsidR="007E0F0A" w:rsidRPr="001923D7" w:rsidTr="005973CF">
        <w:trPr>
          <w:trHeight w:val="280"/>
          <w:jc w:val="center"/>
        </w:trPr>
        <w:tc>
          <w:tcPr>
            <w:tcW w:w="2574" w:type="pct"/>
            <w:tcBorders>
              <w:top w:val="nil"/>
              <w:left w:val="nil"/>
              <w:right w:val="nil"/>
            </w:tcBorders>
            <w:shd w:val="clear" w:color="auto" w:fill="auto"/>
            <w:vAlign w:val="center"/>
          </w:tcPr>
          <w:p w:rsidR="007E0F0A" w:rsidRPr="001923D7" w:rsidRDefault="007E0F0A" w:rsidP="005973CF">
            <w:pPr>
              <w:rPr>
                <w:color w:val="000000"/>
              </w:rPr>
            </w:pPr>
            <w:r w:rsidRPr="001923D7">
              <w:rPr>
                <w:color w:val="000000"/>
              </w:rPr>
              <w:t>extensive perm-crop</w:t>
            </w:r>
          </w:p>
        </w:tc>
        <w:tc>
          <w:tcPr>
            <w:tcW w:w="585" w:type="pct"/>
            <w:tcBorders>
              <w:top w:val="nil"/>
              <w:left w:val="nil"/>
              <w:right w:val="nil"/>
            </w:tcBorders>
            <w:shd w:val="clear" w:color="auto" w:fill="E8BEFF"/>
          </w:tcPr>
          <w:p w:rsidR="007E0F0A" w:rsidRPr="001923D7" w:rsidRDefault="007E0F0A" w:rsidP="005973CF">
            <w:pPr>
              <w:jc w:val="right"/>
              <w:rPr>
                <w:color w:val="000000"/>
              </w:rPr>
            </w:pPr>
          </w:p>
        </w:tc>
        <w:tc>
          <w:tcPr>
            <w:tcW w:w="771" w:type="pct"/>
            <w:tcBorders>
              <w:top w:val="nil"/>
              <w:left w:val="nil"/>
              <w:right w:val="nil"/>
            </w:tcBorders>
            <w:tcMar>
              <w:top w:w="100" w:type="dxa"/>
              <w:left w:w="100" w:type="dxa"/>
              <w:bottom w:w="100" w:type="dxa"/>
              <w:right w:w="100" w:type="dxa"/>
            </w:tcMar>
          </w:tcPr>
          <w:p w:rsidR="007E0F0A" w:rsidRPr="001923D7" w:rsidRDefault="007E0F0A" w:rsidP="005973CF">
            <w:pPr>
              <w:jc w:val="right"/>
            </w:pPr>
            <w:r w:rsidRPr="001923D7">
              <w:t>109,545</w:t>
            </w:r>
          </w:p>
        </w:tc>
        <w:tc>
          <w:tcPr>
            <w:tcW w:w="1070" w:type="pct"/>
            <w:tcBorders>
              <w:top w:val="nil"/>
              <w:left w:val="nil"/>
              <w:right w:val="nil"/>
            </w:tcBorders>
            <w:tcMar>
              <w:top w:w="100" w:type="dxa"/>
              <w:left w:w="100" w:type="dxa"/>
              <w:bottom w:w="100" w:type="dxa"/>
              <w:right w:w="100" w:type="dxa"/>
            </w:tcMar>
          </w:tcPr>
          <w:p w:rsidR="007E0F0A" w:rsidRPr="001923D7" w:rsidRDefault="007E0F0A" w:rsidP="005973CF">
            <w:pPr>
              <w:jc w:val="right"/>
            </w:pPr>
            <w:r w:rsidRPr="001923D7">
              <w:t>2.24</w:t>
            </w:r>
          </w:p>
        </w:tc>
      </w:tr>
      <w:tr w:rsidR="007E0F0A" w:rsidRPr="001923D7" w:rsidTr="005973CF">
        <w:trPr>
          <w:trHeight w:val="280"/>
          <w:jc w:val="center"/>
        </w:trPr>
        <w:tc>
          <w:tcPr>
            <w:tcW w:w="2574" w:type="pct"/>
            <w:tcBorders>
              <w:top w:val="nil"/>
              <w:left w:val="nil"/>
              <w:bottom w:val="single" w:sz="4" w:space="0" w:color="auto"/>
              <w:right w:val="nil"/>
            </w:tcBorders>
            <w:shd w:val="clear" w:color="auto" w:fill="auto"/>
            <w:vAlign w:val="center"/>
          </w:tcPr>
          <w:p w:rsidR="007E0F0A" w:rsidRPr="001923D7" w:rsidRDefault="007E0F0A" w:rsidP="005973CF">
            <w:pPr>
              <w:rPr>
                <w:color w:val="000000"/>
              </w:rPr>
            </w:pPr>
            <w:r w:rsidRPr="001923D7">
              <w:rPr>
                <w:color w:val="000000"/>
              </w:rPr>
              <w:t>intensive perm-crop</w:t>
            </w:r>
          </w:p>
        </w:tc>
        <w:tc>
          <w:tcPr>
            <w:tcW w:w="585" w:type="pct"/>
            <w:tcBorders>
              <w:top w:val="nil"/>
              <w:left w:val="nil"/>
              <w:bottom w:val="single" w:sz="4" w:space="0" w:color="auto"/>
              <w:right w:val="nil"/>
            </w:tcBorders>
            <w:shd w:val="clear" w:color="auto" w:fill="C500FF"/>
          </w:tcPr>
          <w:p w:rsidR="007E0F0A" w:rsidRPr="001923D7" w:rsidRDefault="007E0F0A" w:rsidP="005973CF">
            <w:pPr>
              <w:jc w:val="right"/>
              <w:rPr>
                <w:color w:val="000000"/>
              </w:rPr>
            </w:pPr>
          </w:p>
        </w:tc>
        <w:tc>
          <w:tcPr>
            <w:tcW w:w="771" w:type="pct"/>
            <w:tcBorders>
              <w:top w:val="nil"/>
              <w:left w:val="nil"/>
              <w:bottom w:val="single" w:sz="4" w:space="0" w:color="auto"/>
              <w:right w:val="nil"/>
            </w:tcBorders>
            <w:tcMar>
              <w:top w:w="100" w:type="dxa"/>
              <w:left w:w="100" w:type="dxa"/>
              <w:bottom w:w="100" w:type="dxa"/>
              <w:right w:w="100" w:type="dxa"/>
            </w:tcMar>
          </w:tcPr>
          <w:p w:rsidR="007E0F0A" w:rsidRPr="001923D7" w:rsidRDefault="007E0F0A" w:rsidP="005973CF">
            <w:pPr>
              <w:jc w:val="right"/>
            </w:pPr>
            <w:r w:rsidRPr="001923D7">
              <w:t>45,805</w:t>
            </w:r>
          </w:p>
        </w:tc>
        <w:tc>
          <w:tcPr>
            <w:tcW w:w="1070" w:type="pct"/>
            <w:tcBorders>
              <w:top w:val="nil"/>
              <w:left w:val="nil"/>
              <w:bottom w:val="single" w:sz="4" w:space="0" w:color="auto"/>
              <w:right w:val="nil"/>
            </w:tcBorders>
            <w:tcMar>
              <w:top w:w="100" w:type="dxa"/>
              <w:left w:w="100" w:type="dxa"/>
              <w:bottom w:w="100" w:type="dxa"/>
              <w:right w:w="100" w:type="dxa"/>
            </w:tcMar>
          </w:tcPr>
          <w:p w:rsidR="007E0F0A" w:rsidRPr="001923D7" w:rsidRDefault="007E0F0A" w:rsidP="005973CF">
            <w:pPr>
              <w:jc w:val="right"/>
            </w:pPr>
            <w:r w:rsidRPr="001923D7">
              <w:t>0.94</w:t>
            </w:r>
          </w:p>
        </w:tc>
      </w:tr>
      <w:tr w:rsidR="007E0F0A" w:rsidRPr="001923D7" w:rsidTr="005973CF">
        <w:trPr>
          <w:trHeight w:val="280"/>
          <w:jc w:val="center"/>
        </w:trPr>
        <w:tc>
          <w:tcPr>
            <w:tcW w:w="2574" w:type="pct"/>
            <w:tcBorders>
              <w:top w:val="single" w:sz="4" w:space="0" w:color="auto"/>
              <w:left w:val="nil"/>
              <w:bottom w:val="single" w:sz="6" w:space="0" w:color="auto"/>
              <w:right w:val="nil"/>
            </w:tcBorders>
            <w:shd w:val="clear" w:color="auto" w:fill="auto"/>
            <w:vAlign w:val="center"/>
          </w:tcPr>
          <w:p w:rsidR="007E0F0A" w:rsidRPr="001923D7" w:rsidRDefault="007E0F0A" w:rsidP="005973CF">
            <w:pPr>
              <w:rPr>
                <w:color w:val="000000"/>
              </w:rPr>
            </w:pPr>
          </w:p>
        </w:tc>
        <w:tc>
          <w:tcPr>
            <w:tcW w:w="585" w:type="pct"/>
            <w:tcBorders>
              <w:top w:val="single" w:sz="4" w:space="0" w:color="auto"/>
              <w:left w:val="nil"/>
              <w:bottom w:val="single" w:sz="6" w:space="0" w:color="auto"/>
              <w:right w:val="nil"/>
            </w:tcBorders>
          </w:tcPr>
          <w:p w:rsidR="007E0F0A" w:rsidRPr="001923D7" w:rsidRDefault="007E0F0A" w:rsidP="005973CF">
            <w:pPr>
              <w:jc w:val="right"/>
              <w:rPr>
                <w:color w:val="000000"/>
              </w:rPr>
            </w:pPr>
          </w:p>
        </w:tc>
        <w:tc>
          <w:tcPr>
            <w:tcW w:w="771" w:type="pct"/>
            <w:tcBorders>
              <w:top w:val="single" w:sz="4"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1,213,717</w:t>
            </w:r>
          </w:p>
        </w:tc>
        <w:tc>
          <w:tcPr>
            <w:tcW w:w="1070" w:type="pct"/>
            <w:tcBorders>
              <w:top w:val="single" w:sz="4"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24.8</w:t>
            </w:r>
          </w:p>
        </w:tc>
      </w:tr>
      <w:tr w:rsidR="007E0F0A" w:rsidRPr="001923D7" w:rsidTr="005973CF">
        <w:trPr>
          <w:trHeight w:val="280"/>
          <w:jc w:val="center"/>
        </w:trPr>
        <w:tc>
          <w:tcPr>
            <w:tcW w:w="2574" w:type="pct"/>
            <w:tcBorders>
              <w:top w:val="single" w:sz="6" w:space="0" w:color="auto"/>
              <w:left w:val="nil"/>
              <w:bottom w:val="nil"/>
              <w:right w:val="nil"/>
            </w:tcBorders>
            <w:shd w:val="clear" w:color="auto" w:fill="auto"/>
            <w:vAlign w:val="center"/>
          </w:tcPr>
          <w:p w:rsidR="007E0F0A" w:rsidRPr="001923D7" w:rsidRDefault="007E0F0A" w:rsidP="005973CF">
            <w:pPr>
              <w:rPr>
                <w:color w:val="000000"/>
              </w:rPr>
            </w:pPr>
            <w:r w:rsidRPr="001923D7">
              <w:rPr>
                <w:color w:val="000000"/>
              </w:rPr>
              <w:t>forest/shrub and cropland mosaic</w:t>
            </w:r>
          </w:p>
        </w:tc>
        <w:tc>
          <w:tcPr>
            <w:tcW w:w="585" w:type="pct"/>
            <w:tcBorders>
              <w:top w:val="single" w:sz="6" w:space="0" w:color="auto"/>
              <w:left w:val="nil"/>
              <w:bottom w:val="nil"/>
              <w:right w:val="nil"/>
            </w:tcBorders>
            <w:shd w:val="clear" w:color="auto" w:fill="66CDAB"/>
          </w:tcPr>
          <w:p w:rsidR="007E0F0A" w:rsidRPr="001923D7" w:rsidRDefault="007E0F0A" w:rsidP="005973CF">
            <w:pPr>
              <w:jc w:val="right"/>
              <w:rPr>
                <w:color w:val="000000"/>
              </w:rPr>
            </w:pPr>
          </w:p>
        </w:tc>
        <w:tc>
          <w:tcPr>
            <w:tcW w:w="771" w:type="pct"/>
            <w:tcBorders>
              <w:top w:val="single" w:sz="6" w:space="0" w:color="auto"/>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299,919</w:t>
            </w:r>
          </w:p>
        </w:tc>
        <w:tc>
          <w:tcPr>
            <w:tcW w:w="1070" w:type="pct"/>
            <w:tcBorders>
              <w:top w:val="single" w:sz="6" w:space="0" w:color="auto"/>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6.12</w:t>
            </w:r>
          </w:p>
        </w:tc>
      </w:tr>
      <w:tr w:rsidR="007E0F0A" w:rsidRPr="001923D7" w:rsidTr="005973CF">
        <w:trPr>
          <w:trHeight w:val="280"/>
          <w:jc w:val="center"/>
        </w:trPr>
        <w:tc>
          <w:tcPr>
            <w:tcW w:w="2574" w:type="pct"/>
            <w:tcBorders>
              <w:top w:val="nil"/>
              <w:left w:val="nil"/>
              <w:bottom w:val="nil"/>
              <w:right w:val="nil"/>
            </w:tcBorders>
            <w:shd w:val="clear" w:color="auto" w:fill="auto"/>
            <w:vAlign w:val="center"/>
          </w:tcPr>
          <w:p w:rsidR="007E0F0A" w:rsidRPr="001923D7" w:rsidRDefault="007E0F0A" w:rsidP="005973CF">
            <w:pPr>
              <w:rPr>
                <w:color w:val="000000"/>
              </w:rPr>
            </w:pPr>
            <w:r w:rsidRPr="001923D7">
              <w:rPr>
                <w:color w:val="000000"/>
              </w:rPr>
              <w:t>forest/shrub and grassland mosaics</w:t>
            </w:r>
          </w:p>
        </w:tc>
        <w:tc>
          <w:tcPr>
            <w:tcW w:w="585" w:type="pct"/>
            <w:tcBorders>
              <w:top w:val="nil"/>
              <w:left w:val="nil"/>
              <w:bottom w:val="nil"/>
              <w:right w:val="nil"/>
            </w:tcBorders>
            <w:shd w:val="clear" w:color="auto" w:fill="F5F57A"/>
          </w:tcPr>
          <w:p w:rsidR="007E0F0A" w:rsidRPr="001923D7" w:rsidRDefault="007E0F0A" w:rsidP="005973CF">
            <w:pPr>
              <w:jc w:val="right"/>
              <w:rPr>
                <w:color w:val="000000"/>
              </w:rPr>
            </w:pPr>
          </w:p>
        </w:tc>
        <w:tc>
          <w:tcPr>
            <w:tcW w:w="771"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187,974</w:t>
            </w:r>
          </w:p>
        </w:tc>
        <w:tc>
          <w:tcPr>
            <w:tcW w:w="1070"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3.84</w:t>
            </w:r>
          </w:p>
        </w:tc>
      </w:tr>
      <w:tr w:rsidR="007E0F0A" w:rsidRPr="001923D7" w:rsidTr="005973CF">
        <w:trPr>
          <w:trHeight w:val="280"/>
          <w:jc w:val="center"/>
        </w:trPr>
        <w:tc>
          <w:tcPr>
            <w:tcW w:w="2574" w:type="pct"/>
            <w:tcBorders>
              <w:top w:val="nil"/>
              <w:left w:val="nil"/>
              <w:bottom w:val="nil"/>
              <w:right w:val="nil"/>
            </w:tcBorders>
            <w:shd w:val="clear" w:color="auto" w:fill="auto"/>
            <w:vAlign w:val="center"/>
          </w:tcPr>
          <w:p w:rsidR="007E0F0A" w:rsidRPr="001923D7" w:rsidRDefault="007E0F0A" w:rsidP="005973CF">
            <w:pPr>
              <w:rPr>
                <w:color w:val="000000"/>
              </w:rPr>
            </w:pPr>
            <w:r w:rsidRPr="001923D7">
              <w:rPr>
                <w:color w:val="000000"/>
              </w:rPr>
              <w:t>forest/shrub and bare mosaics</w:t>
            </w:r>
          </w:p>
        </w:tc>
        <w:tc>
          <w:tcPr>
            <w:tcW w:w="585" w:type="pct"/>
            <w:tcBorders>
              <w:top w:val="nil"/>
              <w:left w:val="nil"/>
              <w:bottom w:val="nil"/>
              <w:right w:val="nil"/>
            </w:tcBorders>
            <w:shd w:val="clear" w:color="auto" w:fill="A6FF80"/>
          </w:tcPr>
          <w:p w:rsidR="007E0F0A" w:rsidRPr="001923D7" w:rsidRDefault="007E0F0A" w:rsidP="005973CF">
            <w:pPr>
              <w:jc w:val="right"/>
              <w:rPr>
                <w:color w:val="000000"/>
              </w:rPr>
            </w:pPr>
          </w:p>
        </w:tc>
        <w:tc>
          <w:tcPr>
            <w:tcW w:w="771"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 xml:space="preserve">    24,211</w:t>
            </w:r>
          </w:p>
        </w:tc>
        <w:tc>
          <w:tcPr>
            <w:tcW w:w="1070"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0.49</w:t>
            </w:r>
          </w:p>
        </w:tc>
      </w:tr>
      <w:tr w:rsidR="007E0F0A" w:rsidRPr="001923D7" w:rsidTr="005973CF">
        <w:trPr>
          <w:trHeight w:val="280"/>
          <w:jc w:val="center"/>
        </w:trPr>
        <w:tc>
          <w:tcPr>
            <w:tcW w:w="2574" w:type="pct"/>
            <w:tcBorders>
              <w:top w:val="nil"/>
              <w:left w:val="nil"/>
              <w:right w:val="nil"/>
            </w:tcBorders>
            <w:shd w:val="clear" w:color="auto" w:fill="auto"/>
            <w:vAlign w:val="center"/>
          </w:tcPr>
          <w:p w:rsidR="007E0F0A" w:rsidRPr="001923D7" w:rsidRDefault="007E0F0A" w:rsidP="005973CF">
            <w:pPr>
              <w:rPr>
                <w:color w:val="000000"/>
              </w:rPr>
            </w:pPr>
            <w:r w:rsidRPr="001923D7">
              <w:rPr>
                <w:color w:val="000000"/>
              </w:rPr>
              <w:t>forest/shrub and mixed agriculture mosaics</w:t>
            </w:r>
          </w:p>
        </w:tc>
        <w:tc>
          <w:tcPr>
            <w:tcW w:w="585" w:type="pct"/>
            <w:tcBorders>
              <w:top w:val="nil"/>
              <w:left w:val="nil"/>
              <w:right w:val="nil"/>
            </w:tcBorders>
            <w:shd w:val="clear" w:color="auto" w:fill="F2CCA6"/>
          </w:tcPr>
          <w:p w:rsidR="007E0F0A" w:rsidRPr="001923D7" w:rsidRDefault="007E0F0A" w:rsidP="005973CF">
            <w:pPr>
              <w:jc w:val="right"/>
              <w:rPr>
                <w:color w:val="000000"/>
              </w:rPr>
            </w:pPr>
          </w:p>
        </w:tc>
        <w:tc>
          <w:tcPr>
            <w:tcW w:w="771"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 xml:space="preserve">    28,637</w:t>
            </w:r>
          </w:p>
        </w:tc>
        <w:tc>
          <w:tcPr>
            <w:tcW w:w="1070"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0.58</w:t>
            </w:r>
          </w:p>
        </w:tc>
      </w:tr>
      <w:tr w:rsidR="007E0F0A" w:rsidRPr="001923D7" w:rsidTr="005973CF">
        <w:trPr>
          <w:trHeight w:val="280"/>
          <w:jc w:val="center"/>
        </w:trPr>
        <w:tc>
          <w:tcPr>
            <w:tcW w:w="2574" w:type="pct"/>
            <w:tcBorders>
              <w:top w:val="nil"/>
              <w:left w:val="nil"/>
              <w:right w:val="nil"/>
            </w:tcBorders>
            <w:shd w:val="clear" w:color="auto" w:fill="auto"/>
            <w:vAlign w:val="center"/>
          </w:tcPr>
          <w:p w:rsidR="007E0F0A" w:rsidRPr="001923D7" w:rsidRDefault="007E0F0A" w:rsidP="005973CF">
            <w:pPr>
              <w:rPr>
                <w:color w:val="000000"/>
              </w:rPr>
            </w:pPr>
            <w:r w:rsidRPr="001923D7">
              <w:rPr>
                <w:color w:val="000000"/>
              </w:rPr>
              <w:t>low-intensity agricultural mosaic</w:t>
            </w:r>
          </w:p>
        </w:tc>
        <w:tc>
          <w:tcPr>
            <w:tcW w:w="585" w:type="pct"/>
            <w:tcBorders>
              <w:top w:val="nil"/>
              <w:left w:val="nil"/>
              <w:right w:val="nil"/>
            </w:tcBorders>
            <w:shd w:val="clear" w:color="auto" w:fill="FFBEE8"/>
          </w:tcPr>
          <w:p w:rsidR="007E0F0A" w:rsidRPr="001923D7" w:rsidRDefault="007E0F0A" w:rsidP="005973CF">
            <w:pPr>
              <w:jc w:val="right"/>
              <w:rPr>
                <w:color w:val="000000"/>
              </w:rPr>
            </w:pPr>
          </w:p>
        </w:tc>
        <w:tc>
          <w:tcPr>
            <w:tcW w:w="771"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82,650</w:t>
            </w:r>
          </w:p>
        </w:tc>
        <w:tc>
          <w:tcPr>
            <w:tcW w:w="1070" w:type="pct"/>
            <w:tcBorders>
              <w:top w:val="nil"/>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1.69</w:t>
            </w:r>
          </w:p>
        </w:tc>
      </w:tr>
      <w:tr w:rsidR="007E0F0A" w:rsidRPr="001923D7" w:rsidTr="005973CF">
        <w:trPr>
          <w:trHeight w:val="280"/>
          <w:jc w:val="center"/>
        </w:trPr>
        <w:tc>
          <w:tcPr>
            <w:tcW w:w="2574" w:type="pct"/>
            <w:tcBorders>
              <w:left w:val="nil"/>
              <w:right w:val="nil"/>
            </w:tcBorders>
            <w:shd w:val="clear" w:color="auto" w:fill="auto"/>
            <w:vAlign w:val="center"/>
          </w:tcPr>
          <w:p w:rsidR="007E0F0A" w:rsidRPr="001923D7" w:rsidRDefault="007E0F0A" w:rsidP="005973CF">
            <w:pPr>
              <w:rPr>
                <w:color w:val="000000"/>
              </w:rPr>
            </w:pPr>
            <w:r w:rsidRPr="001923D7">
              <w:rPr>
                <w:color w:val="000000"/>
              </w:rPr>
              <w:t>medium-intensity agricultural mosaic</w:t>
            </w:r>
          </w:p>
        </w:tc>
        <w:tc>
          <w:tcPr>
            <w:tcW w:w="585" w:type="pct"/>
            <w:tcBorders>
              <w:left w:val="nil"/>
              <w:right w:val="nil"/>
            </w:tcBorders>
            <w:shd w:val="clear" w:color="auto" w:fill="D69DBC"/>
          </w:tcPr>
          <w:p w:rsidR="007E0F0A" w:rsidRPr="001923D7" w:rsidRDefault="007E0F0A" w:rsidP="005973CF">
            <w:pPr>
              <w:jc w:val="right"/>
              <w:rPr>
                <w:color w:val="000000"/>
              </w:rPr>
            </w:pPr>
          </w:p>
        </w:tc>
        <w:tc>
          <w:tcPr>
            <w:tcW w:w="771" w:type="pct"/>
            <w:tcBorders>
              <w:top w:val="nil"/>
              <w:left w:val="nil"/>
              <w:right w:val="nil"/>
            </w:tcBorders>
            <w:tcMar>
              <w:top w:w="100" w:type="dxa"/>
              <w:left w:w="100" w:type="dxa"/>
              <w:bottom w:w="100" w:type="dxa"/>
              <w:right w:w="100" w:type="dxa"/>
            </w:tcMar>
          </w:tcPr>
          <w:p w:rsidR="007E0F0A" w:rsidRPr="001923D7" w:rsidRDefault="007E0F0A" w:rsidP="005973CF">
            <w:pPr>
              <w:jc w:val="right"/>
            </w:pPr>
            <w:r w:rsidRPr="001923D7">
              <w:t>64,991</w:t>
            </w:r>
          </w:p>
        </w:tc>
        <w:tc>
          <w:tcPr>
            <w:tcW w:w="1070" w:type="pct"/>
            <w:tcBorders>
              <w:top w:val="nil"/>
              <w:left w:val="nil"/>
              <w:right w:val="nil"/>
            </w:tcBorders>
            <w:tcMar>
              <w:top w:w="100" w:type="dxa"/>
              <w:left w:w="100" w:type="dxa"/>
              <w:bottom w:w="100" w:type="dxa"/>
              <w:right w:w="100" w:type="dxa"/>
            </w:tcMar>
          </w:tcPr>
          <w:p w:rsidR="007E0F0A" w:rsidRPr="001923D7" w:rsidRDefault="007E0F0A" w:rsidP="005973CF">
            <w:pPr>
              <w:jc w:val="right"/>
            </w:pPr>
            <w:r w:rsidRPr="001923D7">
              <w:t>1.33</w:t>
            </w:r>
          </w:p>
        </w:tc>
      </w:tr>
      <w:tr w:rsidR="007E0F0A" w:rsidRPr="001923D7" w:rsidTr="005973CF">
        <w:trPr>
          <w:trHeight w:val="280"/>
          <w:jc w:val="center"/>
        </w:trPr>
        <w:tc>
          <w:tcPr>
            <w:tcW w:w="2574" w:type="pct"/>
            <w:tcBorders>
              <w:top w:val="nil"/>
              <w:left w:val="nil"/>
              <w:bottom w:val="single" w:sz="4" w:space="0" w:color="auto"/>
              <w:right w:val="nil"/>
            </w:tcBorders>
            <w:shd w:val="clear" w:color="auto" w:fill="auto"/>
            <w:vAlign w:val="center"/>
          </w:tcPr>
          <w:p w:rsidR="007E0F0A" w:rsidRPr="001923D7" w:rsidRDefault="007E0F0A" w:rsidP="005973CF">
            <w:pPr>
              <w:rPr>
                <w:color w:val="000000"/>
              </w:rPr>
            </w:pPr>
            <w:r w:rsidRPr="001923D7">
              <w:rPr>
                <w:color w:val="000000"/>
              </w:rPr>
              <w:t>high-intensity agricultural mosaic</w:t>
            </w:r>
          </w:p>
        </w:tc>
        <w:tc>
          <w:tcPr>
            <w:tcW w:w="585" w:type="pct"/>
            <w:tcBorders>
              <w:top w:val="nil"/>
              <w:left w:val="nil"/>
              <w:bottom w:val="single" w:sz="4" w:space="0" w:color="auto"/>
              <w:right w:val="nil"/>
            </w:tcBorders>
            <w:shd w:val="clear" w:color="auto" w:fill="CD6699"/>
          </w:tcPr>
          <w:p w:rsidR="007E0F0A" w:rsidRPr="001923D7" w:rsidRDefault="007E0F0A" w:rsidP="005973CF">
            <w:pPr>
              <w:jc w:val="right"/>
              <w:rPr>
                <w:color w:val="000000"/>
              </w:rPr>
            </w:pPr>
          </w:p>
        </w:tc>
        <w:tc>
          <w:tcPr>
            <w:tcW w:w="771" w:type="pct"/>
            <w:tcBorders>
              <w:top w:val="nil"/>
              <w:left w:val="nil"/>
              <w:bottom w:val="single" w:sz="4" w:space="0" w:color="auto"/>
              <w:right w:val="nil"/>
            </w:tcBorders>
            <w:tcMar>
              <w:top w:w="100" w:type="dxa"/>
              <w:left w:w="100" w:type="dxa"/>
              <w:bottom w:w="100" w:type="dxa"/>
              <w:right w:w="100" w:type="dxa"/>
            </w:tcMar>
          </w:tcPr>
          <w:p w:rsidR="007E0F0A" w:rsidRPr="001923D7" w:rsidRDefault="007E0F0A" w:rsidP="005973CF">
            <w:pPr>
              <w:jc w:val="right"/>
            </w:pPr>
            <w:r w:rsidRPr="001923D7">
              <w:t>20,820</w:t>
            </w:r>
          </w:p>
        </w:tc>
        <w:tc>
          <w:tcPr>
            <w:tcW w:w="1070" w:type="pct"/>
            <w:tcBorders>
              <w:top w:val="nil"/>
              <w:left w:val="nil"/>
              <w:bottom w:val="single" w:sz="4" w:space="0" w:color="auto"/>
              <w:right w:val="nil"/>
            </w:tcBorders>
            <w:tcMar>
              <w:top w:w="100" w:type="dxa"/>
              <w:left w:w="100" w:type="dxa"/>
              <w:bottom w:w="100" w:type="dxa"/>
              <w:right w:w="100" w:type="dxa"/>
            </w:tcMar>
          </w:tcPr>
          <w:p w:rsidR="007E0F0A" w:rsidRPr="001923D7" w:rsidRDefault="007E0F0A" w:rsidP="005973CF">
            <w:pPr>
              <w:jc w:val="right"/>
            </w:pPr>
            <w:r w:rsidRPr="001923D7">
              <w:t>0.43</w:t>
            </w:r>
          </w:p>
        </w:tc>
      </w:tr>
      <w:tr w:rsidR="007E0F0A" w:rsidRPr="001923D7" w:rsidTr="005973CF">
        <w:trPr>
          <w:trHeight w:val="280"/>
          <w:jc w:val="center"/>
        </w:trPr>
        <w:tc>
          <w:tcPr>
            <w:tcW w:w="2574" w:type="pct"/>
            <w:tcBorders>
              <w:top w:val="single" w:sz="4" w:space="0" w:color="auto"/>
              <w:left w:val="nil"/>
              <w:bottom w:val="single" w:sz="6" w:space="0" w:color="auto"/>
              <w:right w:val="nil"/>
            </w:tcBorders>
            <w:shd w:val="clear" w:color="auto" w:fill="auto"/>
            <w:vAlign w:val="center"/>
          </w:tcPr>
          <w:p w:rsidR="007E0F0A" w:rsidRPr="001923D7" w:rsidRDefault="007E0F0A" w:rsidP="005973CF">
            <w:pPr>
              <w:rPr>
                <w:color w:val="000000"/>
              </w:rPr>
            </w:pPr>
          </w:p>
        </w:tc>
        <w:tc>
          <w:tcPr>
            <w:tcW w:w="585" w:type="pct"/>
            <w:tcBorders>
              <w:top w:val="single" w:sz="4" w:space="0" w:color="auto"/>
              <w:left w:val="nil"/>
              <w:bottom w:val="single" w:sz="6" w:space="0" w:color="auto"/>
              <w:right w:val="nil"/>
            </w:tcBorders>
          </w:tcPr>
          <w:p w:rsidR="007E0F0A" w:rsidRPr="001923D7" w:rsidRDefault="007E0F0A" w:rsidP="005973CF">
            <w:pPr>
              <w:jc w:val="right"/>
              <w:rPr>
                <w:color w:val="000000"/>
              </w:rPr>
            </w:pPr>
          </w:p>
        </w:tc>
        <w:tc>
          <w:tcPr>
            <w:tcW w:w="771" w:type="pct"/>
            <w:tcBorders>
              <w:top w:val="single" w:sz="4"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709,202</w:t>
            </w:r>
          </w:p>
        </w:tc>
        <w:tc>
          <w:tcPr>
            <w:tcW w:w="1070" w:type="pct"/>
            <w:tcBorders>
              <w:top w:val="single" w:sz="4"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14.5</w:t>
            </w:r>
          </w:p>
        </w:tc>
      </w:tr>
      <w:tr w:rsidR="007E0F0A" w:rsidRPr="001923D7" w:rsidTr="005973CF">
        <w:trPr>
          <w:trHeight w:val="280"/>
          <w:jc w:val="center"/>
        </w:trPr>
        <w:tc>
          <w:tcPr>
            <w:tcW w:w="2574" w:type="pct"/>
            <w:tcBorders>
              <w:top w:val="single" w:sz="6" w:space="0" w:color="auto"/>
              <w:left w:val="nil"/>
              <w:bottom w:val="nil"/>
              <w:right w:val="nil"/>
            </w:tcBorders>
            <w:shd w:val="clear" w:color="auto" w:fill="auto"/>
            <w:vAlign w:val="center"/>
          </w:tcPr>
          <w:p w:rsidR="007E0F0A" w:rsidRPr="001923D7" w:rsidRDefault="007E0F0A" w:rsidP="005973CF">
            <w:pPr>
              <w:rPr>
                <w:color w:val="000000"/>
              </w:rPr>
            </w:pPr>
            <w:r w:rsidRPr="001923D7">
              <w:rPr>
                <w:color w:val="000000"/>
              </w:rPr>
              <w:t>water body</w:t>
            </w:r>
          </w:p>
        </w:tc>
        <w:tc>
          <w:tcPr>
            <w:tcW w:w="585" w:type="pct"/>
            <w:tcBorders>
              <w:top w:val="single" w:sz="6" w:space="0" w:color="auto"/>
              <w:left w:val="nil"/>
              <w:bottom w:val="nil"/>
              <w:right w:val="nil"/>
            </w:tcBorders>
            <w:shd w:val="clear" w:color="auto" w:fill="002673"/>
          </w:tcPr>
          <w:p w:rsidR="007E0F0A" w:rsidRPr="001923D7" w:rsidRDefault="007E0F0A" w:rsidP="005973CF">
            <w:pPr>
              <w:jc w:val="right"/>
              <w:rPr>
                <w:color w:val="000000"/>
              </w:rPr>
            </w:pPr>
          </w:p>
        </w:tc>
        <w:tc>
          <w:tcPr>
            <w:tcW w:w="771" w:type="pct"/>
            <w:tcBorders>
              <w:top w:val="single" w:sz="6" w:space="0" w:color="auto"/>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152,665</w:t>
            </w:r>
          </w:p>
        </w:tc>
        <w:tc>
          <w:tcPr>
            <w:tcW w:w="1070" w:type="pct"/>
            <w:tcBorders>
              <w:top w:val="single" w:sz="6" w:space="0" w:color="auto"/>
              <w:left w:val="nil"/>
              <w:bottom w:val="nil"/>
              <w:right w:val="nil"/>
            </w:tcBorders>
            <w:tcMar>
              <w:top w:w="100" w:type="dxa"/>
              <w:left w:w="100" w:type="dxa"/>
              <w:bottom w:w="100" w:type="dxa"/>
              <w:right w:w="100" w:type="dxa"/>
            </w:tcMar>
          </w:tcPr>
          <w:p w:rsidR="007E0F0A" w:rsidRPr="001923D7" w:rsidRDefault="007E0F0A" w:rsidP="005973CF">
            <w:pPr>
              <w:jc w:val="right"/>
            </w:pPr>
            <w:r w:rsidRPr="001923D7">
              <w:t>3.12</w:t>
            </w:r>
          </w:p>
        </w:tc>
      </w:tr>
      <w:tr w:rsidR="007E0F0A" w:rsidRPr="001923D7" w:rsidTr="005973CF">
        <w:trPr>
          <w:trHeight w:val="280"/>
          <w:jc w:val="center"/>
        </w:trPr>
        <w:tc>
          <w:tcPr>
            <w:tcW w:w="2574" w:type="pct"/>
            <w:tcBorders>
              <w:top w:val="nil"/>
              <w:left w:val="nil"/>
              <w:right w:val="nil"/>
            </w:tcBorders>
            <w:shd w:val="clear" w:color="auto" w:fill="auto"/>
            <w:vAlign w:val="center"/>
          </w:tcPr>
          <w:p w:rsidR="007E0F0A" w:rsidRPr="001923D7" w:rsidRDefault="007E0F0A" w:rsidP="005973CF">
            <w:pPr>
              <w:rPr>
                <w:color w:val="000000"/>
              </w:rPr>
            </w:pPr>
            <w:r w:rsidRPr="001923D7">
              <w:rPr>
                <w:color w:val="000000"/>
              </w:rPr>
              <w:t>wetland</w:t>
            </w:r>
          </w:p>
        </w:tc>
        <w:tc>
          <w:tcPr>
            <w:tcW w:w="585" w:type="pct"/>
            <w:tcBorders>
              <w:top w:val="nil"/>
              <w:left w:val="nil"/>
              <w:right w:val="nil"/>
            </w:tcBorders>
            <w:shd w:val="clear" w:color="auto" w:fill="005CE6"/>
          </w:tcPr>
          <w:p w:rsidR="007E0F0A" w:rsidRPr="001923D7" w:rsidRDefault="007E0F0A" w:rsidP="005973CF">
            <w:pPr>
              <w:jc w:val="right"/>
              <w:rPr>
                <w:color w:val="000000"/>
              </w:rPr>
            </w:pPr>
          </w:p>
        </w:tc>
        <w:tc>
          <w:tcPr>
            <w:tcW w:w="771" w:type="pct"/>
            <w:tcBorders>
              <w:top w:val="nil"/>
              <w:left w:val="nil"/>
              <w:right w:val="nil"/>
            </w:tcBorders>
            <w:tcMar>
              <w:top w:w="100" w:type="dxa"/>
              <w:left w:w="100" w:type="dxa"/>
              <w:bottom w:w="100" w:type="dxa"/>
              <w:right w:w="100" w:type="dxa"/>
            </w:tcMar>
          </w:tcPr>
          <w:p w:rsidR="007E0F0A" w:rsidRPr="001923D7" w:rsidRDefault="007E0F0A" w:rsidP="005973CF">
            <w:pPr>
              <w:jc w:val="right"/>
            </w:pPr>
            <w:r w:rsidRPr="001923D7">
              <w:t>330563</w:t>
            </w:r>
          </w:p>
        </w:tc>
        <w:tc>
          <w:tcPr>
            <w:tcW w:w="1070" w:type="pct"/>
            <w:tcBorders>
              <w:top w:val="nil"/>
              <w:left w:val="nil"/>
              <w:right w:val="nil"/>
            </w:tcBorders>
            <w:tcMar>
              <w:top w:w="100" w:type="dxa"/>
              <w:left w:w="100" w:type="dxa"/>
              <w:bottom w:w="100" w:type="dxa"/>
              <w:right w:w="100" w:type="dxa"/>
            </w:tcMar>
          </w:tcPr>
          <w:p w:rsidR="007E0F0A" w:rsidRPr="001923D7" w:rsidRDefault="007E0F0A" w:rsidP="005973CF">
            <w:pPr>
              <w:jc w:val="right"/>
            </w:pPr>
            <w:r w:rsidRPr="001923D7">
              <w:t>6.75</w:t>
            </w:r>
          </w:p>
        </w:tc>
      </w:tr>
      <w:tr w:rsidR="007E0F0A" w:rsidRPr="001923D7" w:rsidTr="005973CF">
        <w:trPr>
          <w:trHeight w:val="280"/>
          <w:jc w:val="center"/>
        </w:trPr>
        <w:tc>
          <w:tcPr>
            <w:tcW w:w="2574" w:type="pct"/>
            <w:tcBorders>
              <w:top w:val="nil"/>
              <w:left w:val="nil"/>
              <w:bottom w:val="single" w:sz="4" w:space="0" w:color="auto"/>
              <w:right w:val="nil"/>
            </w:tcBorders>
            <w:shd w:val="clear" w:color="auto" w:fill="auto"/>
            <w:vAlign w:val="center"/>
          </w:tcPr>
          <w:p w:rsidR="007E0F0A" w:rsidRPr="001923D7" w:rsidRDefault="007E0F0A" w:rsidP="005973CF">
            <w:pPr>
              <w:rPr>
                <w:color w:val="000000"/>
              </w:rPr>
            </w:pPr>
            <w:r w:rsidRPr="001923D7">
              <w:rPr>
                <w:color w:val="000000"/>
              </w:rPr>
              <w:t>glacier</w:t>
            </w:r>
          </w:p>
        </w:tc>
        <w:tc>
          <w:tcPr>
            <w:tcW w:w="585" w:type="pct"/>
            <w:tcBorders>
              <w:top w:val="nil"/>
              <w:left w:val="nil"/>
              <w:bottom w:val="single" w:sz="4" w:space="0" w:color="auto"/>
              <w:right w:val="nil"/>
            </w:tcBorders>
            <w:shd w:val="clear" w:color="auto" w:fill="73B2FF"/>
          </w:tcPr>
          <w:p w:rsidR="007E0F0A" w:rsidRPr="001923D7" w:rsidRDefault="007E0F0A" w:rsidP="005973CF">
            <w:pPr>
              <w:jc w:val="right"/>
              <w:rPr>
                <w:color w:val="000000"/>
              </w:rPr>
            </w:pPr>
          </w:p>
        </w:tc>
        <w:tc>
          <w:tcPr>
            <w:tcW w:w="771" w:type="pct"/>
            <w:tcBorders>
              <w:top w:val="nil"/>
              <w:left w:val="nil"/>
              <w:bottom w:val="single" w:sz="4" w:space="0" w:color="auto"/>
              <w:right w:val="nil"/>
            </w:tcBorders>
            <w:tcMar>
              <w:top w:w="100" w:type="dxa"/>
              <w:left w:w="100" w:type="dxa"/>
              <w:bottom w:w="100" w:type="dxa"/>
              <w:right w:w="100" w:type="dxa"/>
            </w:tcMar>
          </w:tcPr>
          <w:p w:rsidR="007E0F0A" w:rsidRPr="001923D7" w:rsidRDefault="007E0F0A" w:rsidP="005973CF">
            <w:pPr>
              <w:jc w:val="right"/>
            </w:pPr>
            <w:r w:rsidRPr="001923D7">
              <w:t>6730</w:t>
            </w:r>
          </w:p>
        </w:tc>
        <w:tc>
          <w:tcPr>
            <w:tcW w:w="1070" w:type="pct"/>
            <w:tcBorders>
              <w:top w:val="nil"/>
              <w:left w:val="nil"/>
              <w:bottom w:val="single" w:sz="4" w:space="0" w:color="auto"/>
              <w:right w:val="nil"/>
            </w:tcBorders>
            <w:tcMar>
              <w:top w:w="100" w:type="dxa"/>
              <w:left w:w="100" w:type="dxa"/>
              <w:bottom w:w="100" w:type="dxa"/>
              <w:right w:w="100" w:type="dxa"/>
            </w:tcMar>
          </w:tcPr>
          <w:p w:rsidR="007E0F0A" w:rsidRPr="001923D7" w:rsidRDefault="007E0F0A" w:rsidP="005973CF">
            <w:pPr>
              <w:jc w:val="right"/>
            </w:pPr>
            <w:r w:rsidRPr="001923D7">
              <w:t>0.14</w:t>
            </w:r>
          </w:p>
        </w:tc>
      </w:tr>
      <w:tr w:rsidR="007E0F0A" w:rsidRPr="001923D7" w:rsidTr="005973CF">
        <w:trPr>
          <w:trHeight w:val="280"/>
          <w:jc w:val="center"/>
        </w:trPr>
        <w:tc>
          <w:tcPr>
            <w:tcW w:w="2574" w:type="pct"/>
            <w:tcBorders>
              <w:top w:val="single" w:sz="4" w:space="0" w:color="auto"/>
              <w:left w:val="nil"/>
              <w:bottom w:val="single" w:sz="6" w:space="0" w:color="auto"/>
              <w:right w:val="nil"/>
            </w:tcBorders>
            <w:shd w:val="clear" w:color="auto" w:fill="auto"/>
            <w:vAlign w:val="center"/>
          </w:tcPr>
          <w:p w:rsidR="007E0F0A" w:rsidRPr="001923D7" w:rsidRDefault="007E0F0A" w:rsidP="005973CF">
            <w:pPr>
              <w:rPr>
                <w:color w:val="000000"/>
              </w:rPr>
            </w:pPr>
          </w:p>
        </w:tc>
        <w:tc>
          <w:tcPr>
            <w:tcW w:w="585" w:type="pct"/>
            <w:tcBorders>
              <w:top w:val="single" w:sz="4" w:space="0" w:color="auto"/>
              <w:left w:val="nil"/>
              <w:bottom w:val="single" w:sz="6" w:space="0" w:color="auto"/>
              <w:right w:val="nil"/>
            </w:tcBorders>
          </w:tcPr>
          <w:p w:rsidR="007E0F0A" w:rsidRPr="001923D7" w:rsidRDefault="007E0F0A" w:rsidP="005973CF">
            <w:pPr>
              <w:jc w:val="right"/>
              <w:rPr>
                <w:color w:val="000000"/>
              </w:rPr>
            </w:pPr>
          </w:p>
        </w:tc>
        <w:tc>
          <w:tcPr>
            <w:tcW w:w="771" w:type="pct"/>
            <w:tcBorders>
              <w:top w:val="single" w:sz="4"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489,958</w:t>
            </w:r>
          </w:p>
        </w:tc>
        <w:tc>
          <w:tcPr>
            <w:tcW w:w="1070" w:type="pct"/>
            <w:tcBorders>
              <w:top w:val="single" w:sz="4"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10</w:t>
            </w:r>
          </w:p>
        </w:tc>
      </w:tr>
      <w:tr w:rsidR="007E0F0A" w:rsidRPr="001923D7" w:rsidTr="005973CF">
        <w:trPr>
          <w:trHeight w:val="280"/>
          <w:jc w:val="center"/>
        </w:trPr>
        <w:tc>
          <w:tcPr>
            <w:tcW w:w="2574" w:type="pct"/>
            <w:tcBorders>
              <w:top w:val="single" w:sz="6" w:space="0" w:color="auto"/>
              <w:left w:val="nil"/>
              <w:right w:val="nil"/>
            </w:tcBorders>
            <w:shd w:val="clear" w:color="auto" w:fill="auto"/>
            <w:vAlign w:val="center"/>
          </w:tcPr>
          <w:p w:rsidR="007E0F0A" w:rsidRPr="001923D7" w:rsidRDefault="007E0F0A" w:rsidP="005973CF">
            <w:pPr>
              <w:rPr>
                <w:color w:val="000000"/>
              </w:rPr>
            </w:pPr>
            <w:r w:rsidRPr="001923D7">
              <w:rPr>
                <w:color w:val="000000"/>
              </w:rPr>
              <w:t>shrub</w:t>
            </w:r>
          </w:p>
        </w:tc>
        <w:tc>
          <w:tcPr>
            <w:tcW w:w="585" w:type="pct"/>
            <w:tcBorders>
              <w:top w:val="single" w:sz="6" w:space="0" w:color="auto"/>
              <w:left w:val="nil"/>
              <w:right w:val="nil"/>
            </w:tcBorders>
            <w:shd w:val="clear" w:color="auto" w:fill="F5A27A"/>
          </w:tcPr>
          <w:p w:rsidR="007E0F0A" w:rsidRPr="001923D7" w:rsidRDefault="007E0F0A" w:rsidP="005973CF">
            <w:pPr>
              <w:jc w:val="right"/>
              <w:rPr>
                <w:color w:val="000000"/>
              </w:rPr>
            </w:pPr>
          </w:p>
        </w:tc>
        <w:tc>
          <w:tcPr>
            <w:tcW w:w="771" w:type="pct"/>
            <w:tcBorders>
              <w:top w:val="single" w:sz="6" w:space="0" w:color="auto"/>
              <w:left w:val="nil"/>
              <w:right w:val="nil"/>
            </w:tcBorders>
            <w:tcMar>
              <w:top w:w="100" w:type="dxa"/>
              <w:left w:w="100" w:type="dxa"/>
              <w:bottom w:w="100" w:type="dxa"/>
              <w:right w:w="100" w:type="dxa"/>
            </w:tcMar>
          </w:tcPr>
          <w:p w:rsidR="007E0F0A" w:rsidRPr="001923D7" w:rsidRDefault="007E0F0A" w:rsidP="005973CF">
            <w:pPr>
              <w:jc w:val="right"/>
            </w:pPr>
            <w:r w:rsidRPr="001923D7">
              <w:t>218,455</w:t>
            </w:r>
          </w:p>
        </w:tc>
        <w:tc>
          <w:tcPr>
            <w:tcW w:w="1070" w:type="pct"/>
            <w:tcBorders>
              <w:top w:val="single" w:sz="6" w:space="0" w:color="auto"/>
              <w:left w:val="nil"/>
              <w:right w:val="nil"/>
            </w:tcBorders>
            <w:tcMar>
              <w:top w:w="100" w:type="dxa"/>
              <w:left w:w="100" w:type="dxa"/>
              <w:bottom w:w="100" w:type="dxa"/>
              <w:right w:w="100" w:type="dxa"/>
            </w:tcMar>
          </w:tcPr>
          <w:p w:rsidR="007E0F0A" w:rsidRPr="001923D7" w:rsidRDefault="007E0F0A" w:rsidP="005973CF">
            <w:pPr>
              <w:jc w:val="right"/>
            </w:pPr>
            <w:r w:rsidRPr="001923D7">
              <w:t>4.46</w:t>
            </w:r>
          </w:p>
        </w:tc>
      </w:tr>
      <w:tr w:rsidR="007E0F0A" w:rsidRPr="001923D7" w:rsidTr="005973CF">
        <w:trPr>
          <w:trHeight w:val="280"/>
          <w:jc w:val="center"/>
        </w:trPr>
        <w:tc>
          <w:tcPr>
            <w:tcW w:w="2574" w:type="pct"/>
            <w:tcBorders>
              <w:top w:val="nil"/>
              <w:left w:val="nil"/>
              <w:bottom w:val="single" w:sz="6" w:space="0" w:color="auto"/>
              <w:right w:val="nil"/>
            </w:tcBorders>
            <w:shd w:val="clear" w:color="auto" w:fill="auto"/>
            <w:vAlign w:val="center"/>
          </w:tcPr>
          <w:p w:rsidR="007E0F0A" w:rsidRPr="001923D7" w:rsidRDefault="007E0F0A" w:rsidP="005973CF">
            <w:pPr>
              <w:rPr>
                <w:color w:val="000000"/>
              </w:rPr>
            </w:pPr>
            <w:r w:rsidRPr="001923D7">
              <w:rPr>
                <w:color w:val="000000"/>
              </w:rPr>
              <w:t>bare and rocks</w:t>
            </w:r>
          </w:p>
        </w:tc>
        <w:tc>
          <w:tcPr>
            <w:tcW w:w="585" w:type="pct"/>
            <w:tcBorders>
              <w:top w:val="nil"/>
              <w:left w:val="nil"/>
              <w:bottom w:val="single" w:sz="6" w:space="0" w:color="auto"/>
              <w:right w:val="nil"/>
            </w:tcBorders>
            <w:shd w:val="clear" w:color="auto" w:fill="CCCCCC"/>
          </w:tcPr>
          <w:p w:rsidR="007E0F0A" w:rsidRPr="001923D7" w:rsidRDefault="007E0F0A" w:rsidP="005973CF">
            <w:pPr>
              <w:jc w:val="right"/>
              <w:rPr>
                <w:color w:val="000000"/>
              </w:rPr>
            </w:pPr>
          </w:p>
        </w:tc>
        <w:tc>
          <w:tcPr>
            <w:tcW w:w="771" w:type="pct"/>
            <w:tcBorders>
              <w:top w:val="nil"/>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32,475</w:t>
            </w:r>
          </w:p>
        </w:tc>
        <w:tc>
          <w:tcPr>
            <w:tcW w:w="1070" w:type="pct"/>
            <w:tcBorders>
              <w:top w:val="nil"/>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0.66</w:t>
            </w:r>
          </w:p>
        </w:tc>
      </w:tr>
      <w:tr w:rsidR="007E0F0A" w:rsidRPr="001923D7" w:rsidTr="005973CF">
        <w:trPr>
          <w:trHeight w:val="280"/>
          <w:jc w:val="center"/>
        </w:trPr>
        <w:tc>
          <w:tcPr>
            <w:tcW w:w="2574" w:type="pct"/>
            <w:tcBorders>
              <w:top w:val="single" w:sz="6" w:space="0" w:color="auto"/>
              <w:left w:val="nil"/>
              <w:bottom w:val="single" w:sz="6" w:space="0" w:color="auto"/>
              <w:right w:val="nil"/>
            </w:tcBorders>
            <w:shd w:val="clear" w:color="auto" w:fill="auto"/>
            <w:vAlign w:val="center"/>
          </w:tcPr>
          <w:p w:rsidR="007E0F0A" w:rsidRPr="001923D7" w:rsidRDefault="007E0F0A" w:rsidP="005973CF"/>
        </w:tc>
        <w:tc>
          <w:tcPr>
            <w:tcW w:w="585" w:type="pct"/>
            <w:tcBorders>
              <w:top w:val="single" w:sz="6" w:space="0" w:color="auto"/>
              <w:left w:val="nil"/>
              <w:bottom w:val="single" w:sz="6" w:space="0" w:color="auto"/>
              <w:right w:val="nil"/>
            </w:tcBorders>
          </w:tcPr>
          <w:p w:rsidR="007E0F0A" w:rsidRPr="001923D7" w:rsidRDefault="007E0F0A" w:rsidP="005973CF">
            <w:pPr>
              <w:jc w:val="right"/>
            </w:pPr>
          </w:p>
        </w:tc>
        <w:tc>
          <w:tcPr>
            <w:tcW w:w="771" w:type="pct"/>
            <w:tcBorders>
              <w:top w:val="single" w:sz="6"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250,930</w:t>
            </w:r>
          </w:p>
        </w:tc>
        <w:tc>
          <w:tcPr>
            <w:tcW w:w="1070" w:type="pct"/>
            <w:tcBorders>
              <w:top w:val="single" w:sz="6" w:space="0" w:color="auto"/>
              <w:left w:val="nil"/>
              <w:bottom w:val="single" w:sz="6" w:space="0" w:color="auto"/>
              <w:right w:val="nil"/>
            </w:tcBorders>
            <w:tcMar>
              <w:top w:w="100" w:type="dxa"/>
              <w:left w:w="100" w:type="dxa"/>
              <w:bottom w:w="100" w:type="dxa"/>
              <w:right w:w="100" w:type="dxa"/>
            </w:tcMar>
          </w:tcPr>
          <w:p w:rsidR="007E0F0A" w:rsidRPr="001923D7" w:rsidRDefault="007E0F0A" w:rsidP="005973CF">
            <w:pPr>
              <w:jc w:val="right"/>
            </w:pPr>
            <w:r w:rsidRPr="001923D7">
              <w:t>5.12</w:t>
            </w:r>
          </w:p>
        </w:tc>
      </w:tr>
    </w:tbl>
    <w:p w:rsidR="007E0F0A" w:rsidRPr="001923D7" w:rsidRDefault="007E0F0A" w:rsidP="007E0F0A"/>
    <w:p w:rsidR="00451E71" w:rsidRDefault="00451E71" w:rsidP="007E0F0A">
      <w:pPr>
        <w:sectPr w:rsidR="00451E71" w:rsidSect="005F3251">
          <w:footerReference w:type="default" r:id="rId13"/>
          <w:type w:val="nextPage"/>
          <w:pgSz w:w="11906" w:h="16838"/>
          <w:pgMar w:top="1440" w:right="1440" w:bottom="1440" w:left="1440" w:header="708" w:footer="708" w:gutter="0"/>
          <w:cols w:space="708"/>
          <w:docGrid w:linePitch="360"/>
        </w:sectPr>
      </w:pPr>
    </w:p>
    <w:p w:rsidR="007E0F0A" w:rsidRDefault="007E0F0A" w:rsidP="007D5975">
      <w:pPr>
        <w:keepNext/>
      </w:pPr>
      <w:r>
        <w:rPr>
          <w:noProof/>
          <w:lang w:val="en-IN" w:eastAsia="en-IN"/>
        </w:rPr>
        <w:drawing>
          <wp:inline distT="0" distB="0" distL="0" distR="0" wp14:anchorId="241D45C5" wp14:editId="120A6279">
            <wp:extent cx="8575200" cy="5209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kflow.png"/>
                    <pic:cNvPicPr/>
                  </pic:nvPicPr>
                  <pic:blipFill rotWithShape="1">
                    <a:blip r:embed="rId14">
                      <a:extLst>
                        <a:ext uri="{28A0092B-C50C-407E-A947-70E740481C1C}">
                          <a14:useLocalDpi xmlns:a14="http://schemas.microsoft.com/office/drawing/2010/main" val="0"/>
                        </a:ext>
                      </a:extLst>
                    </a:blip>
                    <a:srcRect l="9908" t="15708" r="11636" b="-433"/>
                    <a:stretch/>
                  </pic:blipFill>
                  <pic:spPr bwMode="auto">
                    <a:xfrm>
                      <a:off x="0" y="0"/>
                      <a:ext cx="8575200" cy="5209200"/>
                    </a:xfrm>
                    <a:prstGeom prst="rect">
                      <a:avLst/>
                    </a:prstGeom>
                    <a:ln>
                      <a:noFill/>
                    </a:ln>
                    <a:extLst>
                      <a:ext uri="{53640926-AAD7-44D8-BBD7-CCE9431645EC}">
                        <a14:shadowObscured xmlns:a14="http://schemas.microsoft.com/office/drawing/2010/main"/>
                      </a:ext>
                    </a:extLst>
                  </pic:spPr>
                </pic:pic>
              </a:graphicData>
            </a:graphic>
          </wp:inline>
        </w:drawing>
      </w:r>
    </w:p>
    <w:p w:rsidR="007E0F0A" w:rsidRPr="00451E71" w:rsidRDefault="007E0F0A" w:rsidP="00451E71">
      <w:pPr>
        <w:pStyle w:val="SMHeading"/>
        <w:jc w:val="center"/>
        <w:rPr>
          <w:lang w:val="en-GB"/>
        </w:rPr>
      </w:pPr>
      <w:bookmarkStart w:id="35" w:name="_Toc60758371"/>
      <w:r w:rsidRPr="00451E71">
        <w:rPr>
          <w:lang w:val="en-GB"/>
        </w:rPr>
        <w:t xml:space="preserve">Figure </w:t>
      </w:r>
      <w:r w:rsidR="00B756D6">
        <w:rPr>
          <w:lang w:val="en-GB"/>
        </w:rPr>
        <w:t>S</w:t>
      </w:r>
      <w:r w:rsidR="00622C6B">
        <w:rPr>
          <w:lang w:val="en-GB"/>
        </w:rPr>
        <w:t>3</w:t>
      </w:r>
      <w:r w:rsidRPr="00451E71">
        <w:rPr>
          <w:lang w:val="en-GB"/>
        </w:rPr>
        <w:t xml:space="preserve"> Overview of land system classification</w:t>
      </w:r>
      <w:bookmarkEnd w:id="35"/>
    </w:p>
    <w:p w:rsidR="00451E71" w:rsidRDefault="00451E71">
      <w:pPr>
        <w:spacing w:after="160" w:line="259" w:lineRule="auto"/>
        <w:rPr>
          <w:rFonts w:ascii="Calibri" w:eastAsia="Calibri" w:hAnsi="Calibri" w:cs="Calibri"/>
          <w:i/>
          <w:iCs/>
          <w:color w:val="44546A" w:themeColor="text2"/>
          <w:sz w:val="18"/>
          <w:szCs w:val="18"/>
        </w:rPr>
      </w:pPr>
      <w:bookmarkStart w:id="36" w:name="_Ref18508666"/>
      <w:r>
        <w:br w:type="page"/>
      </w:r>
    </w:p>
    <w:p w:rsidR="007E0F0A" w:rsidRPr="00451E71" w:rsidRDefault="007E0F0A" w:rsidP="00451E71">
      <w:pPr>
        <w:pStyle w:val="SMHeading"/>
        <w:jc w:val="center"/>
        <w:rPr>
          <w:lang w:val="en-GB"/>
        </w:rPr>
      </w:pPr>
      <w:bookmarkStart w:id="37" w:name="_Toc60758372"/>
      <w:r w:rsidRPr="00451E71">
        <w:rPr>
          <w:lang w:val="en-GB"/>
        </w:rPr>
        <w:t xml:space="preserve">Table </w:t>
      </w:r>
      <w:bookmarkEnd w:id="36"/>
      <w:r w:rsidR="005417FE">
        <w:rPr>
          <w:lang w:val="en-GB"/>
        </w:rPr>
        <w:t>S5</w:t>
      </w:r>
      <w:r w:rsidR="005417FE" w:rsidRPr="00451E71">
        <w:rPr>
          <w:lang w:val="en-GB"/>
        </w:rPr>
        <w:t xml:space="preserve"> </w:t>
      </w:r>
      <w:r w:rsidRPr="00451E71">
        <w:rPr>
          <w:lang w:val="en-GB"/>
        </w:rPr>
        <w:t>Details of indicators used for classification</w:t>
      </w:r>
      <w:bookmarkEnd w:id="37"/>
    </w:p>
    <w:tbl>
      <w:tblPr>
        <w:tblStyle w:val="TableGrid"/>
        <w:tblW w:w="0" w:type="auto"/>
        <w:tblLook w:val="04A0" w:firstRow="1" w:lastRow="0" w:firstColumn="1" w:lastColumn="0" w:noHBand="0" w:noVBand="1"/>
      </w:tblPr>
      <w:tblGrid>
        <w:gridCol w:w="1225"/>
        <w:gridCol w:w="1527"/>
        <w:gridCol w:w="1697"/>
        <w:gridCol w:w="1684"/>
        <w:gridCol w:w="1159"/>
        <w:gridCol w:w="1133"/>
        <w:gridCol w:w="2398"/>
        <w:gridCol w:w="3125"/>
      </w:tblGrid>
      <w:tr w:rsidR="007E0F0A" w:rsidRPr="00C97E6C" w:rsidTr="005973CF">
        <w:tc>
          <w:tcPr>
            <w:tcW w:w="0" w:type="auto"/>
          </w:tcPr>
          <w:p w:rsidR="007E0F0A" w:rsidRPr="00C97E6C" w:rsidRDefault="007E0F0A" w:rsidP="005973CF"/>
        </w:tc>
        <w:tc>
          <w:tcPr>
            <w:tcW w:w="0" w:type="auto"/>
          </w:tcPr>
          <w:p w:rsidR="007E0F0A" w:rsidRPr="00C97E6C" w:rsidRDefault="007E0F0A" w:rsidP="005973CF">
            <w:r w:rsidRPr="00C97E6C">
              <w:t>Possible land cover types from Corine</w:t>
            </w:r>
          </w:p>
        </w:tc>
        <w:tc>
          <w:tcPr>
            <w:tcW w:w="0" w:type="auto"/>
          </w:tcPr>
          <w:p w:rsidR="007E0F0A" w:rsidRPr="00C97E6C" w:rsidRDefault="007E0F0A" w:rsidP="005973CF">
            <w:r w:rsidRPr="00C97E6C">
              <w:t>Indicator</w:t>
            </w:r>
          </w:p>
        </w:tc>
        <w:tc>
          <w:tcPr>
            <w:tcW w:w="0" w:type="auto"/>
          </w:tcPr>
          <w:p w:rsidR="007E0F0A" w:rsidRPr="00C97E6C" w:rsidRDefault="007E0F0A" w:rsidP="005973CF">
            <w:r w:rsidRPr="00C97E6C">
              <w:t>Data source</w:t>
            </w:r>
          </w:p>
        </w:tc>
        <w:tc>
          <w:tcPr>
            <w:tcW w:w="0" w:type="auto"/>
          </w:tcPr>
          <w:p w:rsidR="007E0F0A" w:rsidRPr="00C97E6C" w:rsidRDefault="007E0F0A" w:rsidP="005973CF">
            <w:r>
              <w:t>Spatial resolution of raw data</w:t>
            </w:r>
          </w:p>
        </w:tc>
        <w:tc>
          <w:tcPr>
            <w:tcW w:w="0" w:type="auto"/>
          </w:tcPr>
          <w:p w:rsidR="007E0F0A" w:rsidRPr="00C97E6C" w:rsidRDefault="007E0F0A" w:rsidP="005973CF">
            <w:r>
              <w:t>Temporal coverage of raw data</w:t>
            </w:r>
          </w:p>
        </w:tc>
        <w:tc>
          <w:tcPr>
            <w:tcW w:w="0" w:type="auto"/>
          </w:tcPr>
          <w:p w:rsidR="007E0F0A" w:rsidRPr="00C97E6C" w:rsidRDefault="007E0F0A" w:rsidP="005973CF">
            <w:r w:rsidRPr="00C97E6C">
              <w:t>Unit of raw data</w:t>
            </w:r>
            <w:r>
              <w:t xml:space="preserve"> and reclass</w:t>
            </w:r>
          </w:p>
        </w:tc>
        <w:tc>
          <w:tcPr>
            <w:tcW w:w="0" w:type="auto"/>
          </w:tcPr>
          <w:p w:rsidR="007E0F0A" w:rsidRPr="00C97E6C" w:rsidRDefault="007E0F0A" w:rsidP="005973CF">
            <w:r w:rsidRPr="00C97E6C">
              <w:t>Reference</w:t>
            </w:r>
          </w:p>
        </w:tc>
      </w:tr>
      <w:tr w:rsidR="007E0F0A" w:rsidRPr="00A72C77" w:rsidTr="005973CF">
        <w:tc>
          <w:tcPr>
            <w:tcW w:w="0" w:type="auto"/>
            <w:vMerge w:val="restart"/>
          </w:tcPr>
          <w:p w:rsidR="007E0F0A" w:rsidRPr="00C97E6C" w:rsidRDefault="007E0F0A" w:rsidP="005973CF">
            <w:r w:rsidRPr="00C97E6C">
              <w:t>Settlement system</w:t>
            </w:r>
          </w:p>
        </w:tc>
        <w:tc>
          <w:tcPr>
            <w:tcW w:w="0" w:type="auto"/>
            <w:vMerge w:val="restart"/>
          </w:tcPr>
          <w:p w:rsidR="007E0F0A" w:rsidRPr="00C97E6C" w:rsidRDefault="007E0F0A" w:rsidP="005973CF">
            <w:r>
              <w:t>Continuous urban fabric, discontinuous urban fabric, industrial and commercial units, road and rail network and associated land, port areas, airports</w:t>
            </w:r>
          </w:p>
        </w:tc>
        <w:tc>
          <w:tcPr>
            <w:tcW w:w="0" w:type="auto"/>
          </w:tcPr>
          <w:p w:rsidR="007E0F0A" w:rsidRPr="00C97E6C" w:rsidRDefault="007E0F0A" w:rsidP="005973CF">
            <w:r w:rsidRPr="00C97E6C">
              <w:t>Imperviousness degree</w:t>
            </w:r>
          </w:p>
        </w:tc>
        <w:tc>
          <w:tcPr>
            <w:tcW w:w="0" w:type="auto"/>
          </w:tcPr>
          <w:p w:rsidR="007E0F0A" w:rsidRPr="00C97E6C" w:rsidRDefault="007E0F0A" w:rsidP="005973CF">
            <w:r>
              <w:t>HRL-imperviousness</w:t>
            </w:r>
          </w:p>
        </w:tc>
        <w:tc>
          <w:tcPr>
            <w:tcW w:w="0" w:type="auto"/>
          </w:tcPr>
          <w:p w:rsidR="007E0F0A" w:rsidRPr="00C97E6C" w:rsidRDefault="007E0F0A" w:rsidP="005973CF">
            <w:r>
              <w:t>20m</w:t>
            </w:r>
          </w:p>
        </w:tc>
        <w:tc>
          <w:tcPr>
            <w:tcW w:w="0" w:type="auto"/>
          </w:tcPr>
          <w:p w:rsidR="007E0F0A" w:rsidRPr="00C97E6C" w:rsidRDefault="007E0F0A" w:rsidP="005973CF">
            <w:r>
              <w:t>2015</w:t>
            </w:r>
          </w:p>
        </w:tc>
        <w:tc>
          <w:tcPr>
            <w:tcW w:w="0" w:type="auto"/>
          </w:tcPr>
          <w:p w:rsidR="007E0F0A" w:rsidRDefault="007E0F0A" w:rsidP="005973CF">
            <w:r w:rsidRPr="00C97E6C">
              <w:t>% imperviousness</w:t>
            </w:r>
            <w:r>
              <w:t xml:space="preserve">: </w:t>
            </w:r>
          </w:p>
          <w:p w:rsidR="007E0F0A" w:rsidRPr="00C97E6C" w:rsidRDefault="007E0F0A" w:rsidP="005973CF">
            <w:r>
              <w:t>class 1: &gt;25%, dense built-up; class 2: 5-25% medium dense built-up</w:t>
            </w:r>
          </w:p>
        </w:tc>
        <w:tc>
          <w:tcPr>
            <w:tcW w:w="0" w:type="auto"/>
          </w:tcPr>
          <w:p w:rsidR="007E0F0A" w:rsidRPr="00C97E6C" w:rsidRDefault="007E0F0A" w:rsidP="005973CF">
            <w:r w:rsidRPr="000439DE">
              <w:t>https://land.copernicus.eu/pan-european/high-resolution-layers</w:t>
            </w:r>
          </w:p>
        </w:tc>
      </w:tr>
      <w:tr w:rsidR="007E0F0A" w:rsidRPr="00A72C77" w:rsidTr="005973CF">
        <w:tc>
          <w:tcPr>
            <w:tcW w:w="0" w:type="auto"/>
            <w:vMerge/>
          </w:tcPr>
          <w:p w:rsidR="007E0F0A" w:rsidRPr="00C97E6C" w:rsidRDefault="007E0F0A" w:rsidP="005973CF"/>
        </w:tc>
        <w:tc>
          <w:tcPr>
            <w:tcW w:w="0" w:type="auto"/>
            <w:vMerge/>
          </w:tcPr>
          <w:p w:rsidR="007E0F0A" w:rsidRPr="00C97E6C" w:rsidRDefault="007E0F0A" w:rsidP="005973CF"/>
        </w:tc>
        <w:tc>
          <w:tcPr>
            <w:tcW w:w="0" w:type="auto"/>
          </w:tcPr>
          <w:p w:rsidR="007E0F0A" w:rsidRPr="00C97E6C" w:rsidRDefault="007E0F0A" w:rsidP="005973CF">
            <w:r w:rsidRPr="00C97E6C">
              <w:t>Distance to urban core</w:t>
            </w:r>
          </w:p>
        </w:tc>
        <w:tc>
          <w:tcPr>
            <w:tcW w:w="0" w:type="auto"/>
          </w:tcPr>
          <w:p w:rsidR="007E0F0A" w:rsidRPr="00C97E6C" w:rsidRDefault="007E0F0A" w:rsidP="005973CF">
            <w:r>
              <w:t>Derived from HRL-imperviousness</w:t>
            </w:r>
          </w:p>
        </w:tc>
        <w:tc>
          <w:tcPr>
            <w:tcW w:w="0" w:type="auto"/>
          </w:tcPr>
          <w:p w:rsidR="007E0F0A" w:rsidRPr="00C97E6C" w:rsidRDefault="007E0F0A" w:rsidP="005973CF"/>
        </w:tc>
        <w:tc>
          <w:tcPr>
            <w:tcW w:w="0" w:type="auto"/>
          </w:tcPr>
          <w:p w:rsidR="007E0F0A" w:rsidRPr="00C97E6C" w:rsidRDefault="007E0F0A" w:rsidP="005973CF"/>
        </w:tc>
        <w:tc>
          <w:tcPr>
            <w:tcW w:w="0" w:type="auto"/>
          </w:tcPr>
          <w:p w:rsidR="007E0F0A" w:rsidRDefault="007E0F0A" w:rsidP="005973CF">
            <w:r w:rsidRPr="00C97E6C">
              <w:t xml:space="preserve">Number of dense </w:t>
            </w:r>
            <w:r>
              <w:t>built-up</w:t>
            </w:r>
            <w:r w:rsidRPr="00C97E6C">
              <w:t xml:space="preserve"> class in a 9*9 neighborhood cell</w:t>
            </w:r>
            <w:r>
              <w:t xml:space="preserve">: </w:t>
            </w:r>
          </w:p>
          <w:p w:rsidR="007E0F0A" w:rsidRPr="00C97E6C" w:rsidRDefault="007E0F0A" w:rsidP="005973CF">
            <w:r>
              <w:t>class 1: &gt;1, peri-urban; class2: &lt;=1, villages</w:t>
            </w:r>
          </w:p>
        </w:tc>
        <w:tc>
          <w:tcPr>
            <w:tcW w:w="0" w:type="auto"/>
          </w:tcPr>
          <w:p w:rsidR="007E0F0A" w:rsidRPr="00C97E6C" w:rsidRDefault="007E0F0A" w:rsidP="005973CF"/>
        </w:tc>
      </w:tr>
      <w:tr w:rsidR="007E0F0A" w:rsidRPr="00A72C77" w:rsidTr="005973CF">
        <w:tc>
          <w:tcPr>
            <w:tcW w:w="0" w:type="auto"/>
            <w:vMerge w:val="restart"/>
          </w:tcPr>
          <w:p w:rsidR="007E0F0A" w:rsidRPr="00C97E6C" w:rsidRDefault="007E0F0A" w:rsidP="005973CF">
            <w:r w:rsidRPr="00C97E6C">
              <w:t>Forest system</w:t>
            </w:r>
          </w:p>
        </w:tc>
        <w:tc>
          <w:tcPr>
            <w:tcW w:w="0" w:type="auto"/>
            <w:vMerge w:val="restart"/>
          </w:tcPr>
          <w:p w:rsidR="007E0F0A" w:rsidRPr="00C97E6C" w:rsidRDefault="007E0F0A" w:rsidP="005973CF">
            <w:r>
              <w:t>Broad-leaved forests, coniferous forests, mixed forests</w:t>
            </w:r>
          </w:p>
        </w:tc>
        <w:tc>
          <w:tcPr>
            <w:tcW w:w="0" w:type="auto"/>
          </w:tcPr>
          <w:p w:rsidR="007E0F0A" w:rsidRPr="00C97E6C" w:rsidRDefault="007E0F0A" w:rsidP="005973CF">
            <w:r w:rsidRPr="00C97E6C">
              <w:t>Wood production</w:t>
            </w:r>
          </w:p>
        </w:tc>
        <w:tc>
          <w:tcPr>
            <w:tcW w:w="0" w:type="auto"/>
          </w:tcPr>
          <w:p w:rsidR="007E0F0A" w:rsidRPr="00C97E6C" w:rsidRDefault="007E0F0A" w:rsidP="005973CF">
            <w:r w:rsidRPr="00C97E6C">
              <w:t>Wood production dataset of Europe</w:t>
            </w:r>
          </w:p>
        </w:tc>
        <w:tc>
          <w:tcPr>
            <w:tcW w:w="0" w:type="auto"/>
          </w:tcPr>
          <w:p w:rsidR="007E0F0A" w:rsidRPr="00121BF2" w:rsidRDefault="007E0F0A" w:rsidP="005973CF">
            <w:r>
              <w:t>1km</w:t>
            </w:r>
            <w:r w:rsidRPr="00F37265">
              <w:rPr>
                <w:vertAlign w:val="superscript"/>
              </w:rPr>
              <w:t>2</w:t>
            </w:r>
          </w:p>
        </w:tc>
        <w:tc>
          <w:tcPr>
            <w:tcW w:w="0" w:type="auto"/>
          </w:tcPr>
          <w:p w:rsidR="007E0F0A" w:rsidRPr="00121BF2" w:rsidRDefault="007E0F0A" w:rsidP="005973CF">
            <w:r>
              <w:rPr>
                <w:color w:val="000000"/>
                <w:sz w:val="20"/>
                <w:lang w:eastAsia="nl-NL"/>
              </w:rPr>
              <w:t>annual map from 2000 to 2010 (we used the average)</w:t>
            </w:r>
          </w:p>
        </w:tc>
        <w:tc>
          <w:tcPr>
            <w:tcW w:w="0" w:type="auto"/>
          </w:tcPr>
          <w:p w:rsidR="007E0F0A" w:rsidRDefault="007E0F0A" w:rsidP="005973CF">
            <w:r w:rsidRPr="00121BF2">
              <w:t>m3ha</w:t>
            </w:r>
            <w:r w:rsidRPr="00121BF2">
              <w:rPr>
                <w:vertAlign w:val="superscript"/>
              </w:rPr>
              <w:t>-1</w:t>
            </w:r>
            <w:r w:rsidRPr="00121BF2">
              <w:t xml:space="preserve"> yr</w:t>
            </w:r>
            <w:r w:rsidRPr="00121BF2">
              <w:rPr>
                <w:vertAlign w:val="superscript"/>
              </w:rPr>
              <w:t>-1</w:t>
            </w:r>
            <w:r>
              <w:t>:</w:t>
            </w:r>
          </w:p>
          <w:p w:rsidR="007E0F0A" w:rsidRDefault="007E0F0A" w:rsidP="005973CF">
            <w:r>
              <w:t>class 1: &lt;0.9 low production</w:t>
            </w:r>
          </w:p>
          <w:p w:rsidR="007E0F0A" w:rsidRPr="00666B60" w:rsidRDefault="007E0F0A" w:rsidP="005973CF">
            <w:r>
              <w:t>class 2: &gt;=0.9 high production</w:t>
            </w:r>
          </w:p>
        </w:tc>
        <w:tc>
          <w:tcPr>
            <w:tcW w:w="0" w:type="auto"/>
          </w:tcPr>
          <w:p w:rsidR="007E0F0A" w:rsidRPr="00C97E6C" w:rsidRDefault="007E0F0A" w:rsidP="005973CF">
            <w:r w:rsidRPr="00C97E6C">
              <w:fldChar w:fldCharType="begin" w:fldLock="1"/>
            </w:r>
            <w:r w:rsidRPr="00C97E6C">
              <w:instrText>ADDIN CSL_CITATION {"citationItems":[{"id":"ITEM-1","itemData":{"DOI":"10.1016/j.foreco.2015.08.007","ISSN":"03781127","abstract":"Wood production is an important forest use, impacting a range of other ecosystem services. However, information on the spatial patterns in wood production is limited and often available only for larger administrative units. In this study, we developed high-resolution wood production maps for European forests. We collected wood production statistics for 29 European countries from 2000 to 2010, as well as comprehensive sets of biophysical and socioeconomic location factors. We used regression analyses to produce maps indicating the harvest likelihood on a 1×1km 2 grid. These likelihood maps were validated using national forest inventory plot data. We then disaggregated wood production statistics from larger administrative units to the grid level using the harvest likelihood as weights. We verified the resulting wood production maps by correlating predicted and observed wood production at the level of smaller administrative units not used for generating the wood production maps. We conclude that (i) productivity, tree species composition and terrain ruggedness are the most important location factors that determine the spatial patterns of wood production at the pan-European scale and that (ii) incorporating these location factors substantially improves the results of disaggregating wood production statistics compared to a disaggregation based on forest cover only. Our wood production maps give insight into forest ecosystem service provisioning and can be used to improve the assessment of potentials and costs of woody biomass supply.","author":[{"dropping-particle":"","family":"Verkerk","given":"Pieter J.","non-dropping-particle":"","parse-names":false,"suffix":""},{"dropping-particle":"","family":"Levers","given":"Christian","non-dropping-particle":"","parse-names":false,"suffix":""},{"dropping-particle":"","family":"Kuemmerle","given":"Tobias","non-dropping-particle":"","parse-names":false,"suffix":""},{"dropping-particle":"","family":"Lindner","given":"Marcus","non-dropping-particle":"","parse-names":false,"suffix":""},{"dropping-particle":"","family":"Valbuena","given":"Ruben","non-dropping-particle":"","parse-names":false,"suffix":""},{"dropping-particle":"","family":"Verburg","given":"Peter H.","non-dropping-particle":"","parse-names":false,"suffix":""},{"dropping-particle":"","family":"Zudin","given":"Sergey","non-dropping-particle":"","parse-names":false,"suffix":""}],"container-title":"Forest Ecology and Management","id":"ITEM-1","issued":{"date-parts":[["2015"]]},"page":"228-238","publisher":"Elsevier B.V.","title":"Mapping wood production in European forests","type":"article-journal","volume":"357"},"uris":["http://www.mendeley.com/documents/?uuid=5e03a1c1-986b-4759-9a57-c0365d1477a7"]}],"mendeley":{"formattedCitation":"(Verkerk et al. 2015)","plainTextFormattedCitation":"(Verkerk et al. 2015)","previouslyFormattedCitation":"(Verkerk et al. 2015)"},"properties":{"noteIndex":0},"schema":"https://github.com/citation-style-language/schema/raw/master/csl-citation.json"}</w:instrText>
            </w:r>
            <w:r w:rsidRPr="00C97E6C">
              <w:fldChar w:fldCharType="separate"/>
            </w:r>
            <w:r w:rsidRPr="00C97E6C">
              <w:rPr>
                <w:noProof/>
              </w:rPr>
              <w:t>(Verkerk et al. 2015)</w:t>
            </w:r>
            <w:r w:rsidRPr="00C97E6C">
              <w:fldChar w:fldCharType="end"/>
            </w:r>
          </w:p>
        </w:tc>
      </w:tr>
      <w:tr w:rsidR="007E0F0A" w:rsidRPr="00A72C77" w:rsidTr="005973CF">
        <w:tc>
          <w:tcPr>
            <w:tcW w:w="0" w:type="auto"/>
            <w:vMerge/>
          </w:tcPr>
          <w:p w:rsidR="007E0F0A" w:rsidRPr="00C97E6C" w:rsidRDefault="007E0F0A" w:rsidP="005973CF"/>
        </w:tc>
        <w:tc>
          <w:tcPr>
            <w:tcW w:w="0" w:type="auto"/>
            <w:vMerge/>
          </w:tcPr>
          <w:p w:rsidR="007E0F0A" w:rsidRPr="00C97E6C" w:rsidRDefault="007E0F0A" w:rsidP="005973CF"/>
        </w:tc>
        <w:tc>
          <w:tcPr>
            <w:tcW w:w="0" w:type="auto"/>
          </w:tcPr>
          <w:p w:rsidR="007E0F0A" w:rsidRPr="00C97E6C" w:rsidRDefault="007E0F0A" w:rsidP="005973CF">
            <w:r w:rsidRPr="00C97E6C">
              <w:t>Probability of primary forest</w:t>
            </w:r>
          </w:p>
        </w:tc>
        <w:tc>
          <w:tcPr>
            <w:tcW w:w="0" w:type="auto"/>
          </w:tcPr>
          <w:p w:rsidR="007E0F0A" w:rsidRPr="00C97E6C" w:rsidRDefault="007E0F0A" w:rsidP="005973CF">
            <w:r>
              <w:t xml:space="preserve">Map of primary forest probability </w:t>
            </w:r>
          </w:p>
        </w:tc>
        <w:tc>
          <w:tcPr>
            <w:tcW w:w="0" w:type="auto"/>
          </w:tcPr>
          <w:p w:rsidR="007E0F0A" w:rsidRDefault="007E0F0A" w:rsidP="005973CF">
            <w:r>
              <w:t>1km</w:t>
            </w:r>
            <w:r w:rsidRPr="00F37265">
              <w:rPr>
                <w:vertAlign w:val="superscript"/>
              </w:rPr>
              <w:t>2</w:t>
            </w:r>
          </w:p>
        </w:tc>
        <w:tc>
          <w:tcPr>
            <w:tcW w:w="0" w:type="auto"/>
          </w:tcPr>
          <w:p w:rsidR="007E0F0A" w:rsidRDefault="007E0F0A" w:rsidP="005973CF"/>
        </w:tc>
        <w:tc>
          <w:tcPr>
            <w:tcW w:w="0" w:type="auto"/>
          </w:tcPr>
          <w:p w:rsidR="007E0F0A" w:rsidRPr="00F37265" w:rsidRDefault="007E0F0A" w:rsidP="007E0F0A">
            <w:pPr>
              <w:pStyle w:val="ListParagraph"/>
              <w:numPr>
                <w:ilvl w:val="1"/>
                <w:numId w:val="2"/>
              </w:numPr>
              <w:spacing w:after="0" w:line="240" w:lineRule="auto"/>
              <w:rPr>
                <w:rFonts w:ascii="Times New Roman" w:hAnsi="Times New Roman" w:cs="Times New Roman"/>
                <w:lang w:val="en-US"/>
              </w:rPr>
            </w:pPr>
            <w:r w:rsidRPr="00F37265">
              <w:rPr>
                <w:rFonts w:ascii="Times New Roman" w:hAnsi="Times New Roman" w:cs="Times New Roman"/>
                <w:lang w:val="en-US"/>
              </w:rPr>
              <w:t>probability:</w:t>
            </w:r>
          </w:p>
          <w:p w:rsidR="007E0F0A" w:rsidRDefault="007E0F0A" w:rsidP="005973CF">
            <w:r>
              <w:t>class 1: &gt;0.5 high prob.</w:t>
            </w:r>
          </w:p>
          <w:p w:rsidR="007E0F0A" w:rsidRPr="00F37265" w:rsidRDefault="007E0F0A" w:rsidP="005973CF">
            <w:r>
              <w:t>Class 2: &lt;=0.5 low prob</w:t>
            </w:r>
          </w:p>
        </w:tc>
        <w:tc>
          <w:tcPr>
            <w:tcW w:w="0" w:type="auto"/>
          </w:tcPr>
          <w:p w:rsidR="007E0F0A" w:rsidRPr="00C97E6C" w:rsidRDefault="007E0F0A" w:rsidP="005973CF">
            <w:r w:rsidRPr="00C97E6C">
              <w:fldChar w:fldCharType="begin" w:fldLock="1"/>
            </w:r>
            <w:r w:rsidRPr="00C97E6C">
              <w:instrText>ADDIN CSL_CITATION {"citationItems":[{"id":"ITEM-1","itemData":{"DOI":"10.1111/ddi.12778","ISSN":"14724642","abstract":"Primary forests have high conservation value but are rare in Europe due to historic land use. Yet many primary forest patches remain unmapped, and it is unclear to what extent they are effectively protected. Our aim was to (1) compile the most comprehensive European-scale map of currently known primary forests, (2) analyse the spatial determinants characterizing their location and (3) locate areas where so far unmapped primary forests likely occur. Location: Europe. Methods: We aggregated data from a literature review, online questionnaires and 32 datasets of primary forests. We used boosted regression trees to explore which biophysical, socio-economic and forest-related variables explain the current distribution of primary forests. Finally, we predicted and mapped the relative likelihood of primary forest occurrence at a 1-km resolution across Europe. Results: Data on primary forests were frequently incomplete or inconsistent among countries. Known primary forests covered 1.4 Mha in 32 countries (0.7% of Europe's forest area). Most of these forests were protected (89%), but only 46% of them strictly. Primary forests mostly occurred in mountain and boreal areas and were unevenly distributed across countries, biogeographical regions and forest types. Unmapped primary forests likely occur in the least accessible and populated areas, where forests cover a greater share of land, but wood demand historically has been low. Main conclusions: Despite their outstanding conservation value, primary forests are rare and their current distribution is the result of centuries of land use and forest management. The conservation outlook for primary forests is uncertain as many are not strictly protected and most are small and fragmented, making them prone to extinction debt and human disturbance. Predicting where unmapped primary forests likely occur could guide conservation efforts, especially in Eastern Europe where large areas of primary forest still exist but are being lost at an alarming pace.","author":[{"dropping-particle":"","family":"Sabatini","given":"Francesco Maria","non-dropping-particle":"","parse-names":false,"suffix":""},{"dropping-particle":"","family":"Burrascano","given":"Sabina","non-dropping-particle":"","parse-names":false,"suffix":""},{"dropping-particle":"","family":"Keeton","given":"William S.","non-dropping-particle":"","parse-names":false,"suffix":""},{"dropping-particle":"","family":"Levers","given":"Christian","non-dropping-particle":"","parse-names":false,"suffix":""},{"dropping-particle":"","family":"Lindner","given":"Marcus","non-dropping-particle":"","parse-names":false,"suffix":""},{"dropping-particle":"","family":"Pötzschner","given":"Florian","non-dropping-particle":"","parse-names":false,"suffix":""},{"dropping-particle":"","family":"Verkerk","given":"Pieter Johannes","non-dropping-particle":"","parse-names":false,"suffix":""},{"dropping-particle":"","family":"Bauhus","given":"Jürgen","non-dropping-particle":"","parse-names":false,"suffix":""},{"dropping-particle":"","family":"Buchwald","given":"Erik","non-dropping-particle":"","parse-names":false,"suffix":""},{"dropping-particle":"","family":"Chaskovsky","given":"Oleh","non-dropping-particle":"","parse-names":false,"suffix":""},{"dropping-particle":"","family":"Debaive","given":"Nicolas","non-dropping-particle":"","parse-names":false,"suffix":""},{"dropping-particle":"","family":"Horváth","given":"Ferenc","non-dropping-particle":"","parse-names":false,"suffix":""},{"dropping-particle":"","family":"Garbarino","given":"Matteo","non-dropping-particle":"","parse-names":false,"suffix":""},{"dropping-particle":"","family":"Grigoriadis","given":"Nikolaos","non-dropping-particle":"","parse-names":false,"suffix":""},{"dropping-particle":"","family":"Lombardi","given":"Fabio","non-dropping-particle":"","parse-names":false,"suffix":""},{"dropping-particle":"","family":"Marques Duarte","given":"Inês","non-dropping-particle":"","parse-names":false,"suffix":""},{"dropping-particle":"","family":"Meyer","given":"Peter","non-dropping-particle":"","parse-names":false,"suffix":""},{"dropping-particle":"","family":"Midteng","given":"Rein","non-dropping-particle":"","parse-names":false,"suffix":""},{"dropping-particle":"","family":"Mikac","given":"Stjepan","non-dropping-particle":"","parse-names":false,"suffix":""},{"dropping-particle":"","family":"Mikoláš","given":"Martin","non-dropping-particle":"","parse-names":false,"suffix":""},{"dropping-particle":"","family":"Motta","given":"Renzo","non-dropping-particle":"","parse-names":false,"suffix":""},{"dropping-particle":"","family":"Mozgeris","given":"Gintautas","non-dropping-particle":"","parse-names":false,"suffix":""},{"dropping-particle":"","family":"Nunes","given":"Leónia","non-dropping-particle":"","parse-names":false,"suffix":""},{"dropping-particle":"","family":"Panayotov","given":"Momchil","non-dropping-particle":"","parse-names":false,"suffix":""},{"dropping-particle":"","family":"Ódor","given":"Peter","non-dropping-particle":"","parse-names":false,"suffix":""},{"dropping-particle":"","family":"Ruete","given":"Alejandro","non-dropping-particle":"","parse-names":false,"suffix":""},{"dropping-particle":"","family":"Simovski","given":"Bojan","non-dropping-particle":"","parse-names":false,"suffix":""},{"dropping-particle":"","family":"Stillhard","given":"Jonas","non-dropping-particle":"","parse-names":false,"suffix":""},{"dropping-particle":"","family":"Svoboda","given":"Miroslav","non-dropping-particle":"","parse-names":false,"suffix":""},{"dropping-particle":"","family":"Szwagrzyk","given":"Jerzy","non-dropping-particle":"","parse-names":false,"suffix":""},{"dropping-particle":"","family":"Tikkanen","given":"Olli Pekka","non-dropping-particle":"","parse-names":false,"suffix":""},{"dropping-particle":"","family":"Volosyanchuk","given":"Roman","non-dropping-particle":"","parse-names":false,"suffix":""},{"dropping-particle":"","family":"Vrska","given":"Tomas","non-dropping-particle":"","parse-names":false,"suffix":""},{"dropping-particle":"","family":"Zlatanov","given":"Tzvetan","non-dropping-particle":"","parse-names":false,"suffix":""},{"dropping-particle":"","family":"Kuemmerle","given":"Tobias","non-dropping-particle":"","parse-names":false,"suffix":""}],"container-title":"Diversity and Distributions","id":"ITEM-1","issue":"10","issued":{"date-parts":[["2018"]]},"page":"1426-1439","title":"Where are Europe’s last primary forests?","type":"article-journal","volume":"24"},"uris":["http://www.mendeley.com/documents/?uuid=9baeae4b-0df5-4706-89f6-6c6977c371a7"]}],"mendeley":{"formattedCitation":"(Sabatini et al. 2018)","plainTextFormattedCitation":"(Sabatini et al. 2018)","previouslyFormattedCitation":"(Sabatini et al. 2018)"},"properties":{"noteIndex":0},"schema":"https://github.com/citation-style-language/schema/raw/master/csl-citation.json"}</w:instrText>
            </w:r>
            <w:r w:rsidRPr="00C97E6C">
              <w:fldChar w:fldCharType="separate"/>
            </w:r>
            <w:r w:rsidRPr="00C97E6C">
              <w:rPr>
                <w:noProof/>
              </w:rPr>
              <w:t>(Sabatini et al. 2018)</w:t>
            </w:r>
            <w:r w:rsidRPr="00C97E6C">
              <w:fldChar w:fldCharType="end"/>
            </w:r>
          </w:p>
        </w:tc>
      </w:tr>
      <w:tr w:rsidR="007E0F0A" w:rsidRPr="00A72C77" w:rsidTr="005973CF">
        <w:tc>
          <w:tcPr>
            <w:tcW w:w="0" w:type="auto"/>
            <w:vMerge/>
          </w:tcPr>
          <w:p w:rsidR="007E0F0A" w:rsidRPr="00C97E6C" w:rsidRDefault="007E0F0A" w:rsidP="005973CF"/>
        </w:tc>
        <w:tc>
          <w:tcPr>
            <w:tcW w:w="0" w:type="auto"/>
            <w:vMerge/>
          </w:tcPr>
          <w:p w:rsidR="007E0F0A" w:rsidRPr="00C97E6C" w:rsidRDefault="007E0F0A" w:rsidP="005973CF"/>
        </w:tc>
        <w:tc>
          <w:tcPr>
            <w:tcW w:w="0" w:type="auto"/>
          </w:tcPr>
          <w:p w:rsidR="007E0F0A" w:rsidRPr="00C97E6C" w:rsidRDefault="007E0F0A" w:rsidP="005973CF">
            <w:r>
              <w:t>Forest types</w:t>
            </w:r>
          </w:p>
        </w:tc>
        <w:tc>
          <w:tcPr>
            <w:tcW w:w="0" w:type="auto"/>
          </w:tcPr>
          <w:p w:rsidR="007E0F0A" w:rsidRPr="00C97E6C" w:rsidRDefault="007E0F0A" w:rsidP="005973CF">
            <w:r>
              <w:t>HRL-forest type product</w:t>
            </w:r>
          </w:p>
        </w:tc>
        <w:tc>
          <w:tcPr>
            <w:tcW w:w="0" w:type="auto"/>
          </w:tcPr>
          <w:p w:rsidR="007E0F0A" w:rsidRDefault="007E0F0A" w:rsidP="005973CF">
            <w:r>
              <w:t>100m</w:t>
            </w:r>
          </w:p>
        </w:tc>
        <w:tc>
          <w:tcPr>
            <w:tcW w:w="0" w:type="auto"/>
          </w:tcPr>
          <w:p w:rsidR="007E0F0A" w:rsidRDefault="007E0F0A" w:rsidP="005973CF">
            <w:r>
              <w:t>2015</w:t>
            </w:r>
          </w:p>
        </w:tc>
        <w:tc>
          <w:tcPr>
            <w:tcW w:w="0" w:type="auto"/>
          </w:tcPr>
          <w:p w:rsidR="007E0F0A" w:rsidRPr="00C97E6C" w:rsidRDefault="007E0F0A" w:rsidP="005973CF">
            <w:r>
              <w:t>Broadleaved,</w:t>
            </w:r>
            <w:r w:rsidRPr="000439DE">
              <w:t xml:space="preserve"> coniferous</w:t>
            </w:r>
            <w:r>
              <w:t>, or mixed</w:t>
            </w:r>
          </w:p>
        </w:tc>
        <w:tc>
          <w:tcPr>
            <w:tcW w:w="0" w:type="auto"/>
          </w:tcPr>
          <w:p w:rsidR="007E0F0A" w:rsidRPr="00C97E6C" w:rsidRDefault="007E0F0A" w:rsidP="005973CF">
            <w:r w:rsidRPr="000439DE">
              <w:t>https://land.copernicus.eu/pan-european/high-resolution-layers</w:t>
            </w:r>
          </w:p>
        </w:tc>
      </w:tr>
      <w:tr w:rsidR="007E0F0A" w:rsidRPr="00C97E6C" w:rsidTr="005973CF">
        <w:tc>
          <w:tcPr>
            <w:tcW w:w="0" w:type="auto"/>
            <w:vMerge w:val="restart"/>
          </w:tcPr>
          <w:p w:rsidR="007E0F0A" w:rsidRPr="00C97E6C" w:rsidRDefault="007E0F0A" w:rsidP="005973CF">
            <w:r>
              <w:t>Cropland</w:t>
            </w:r>
            <w:r w:rsidRPr="00C97E6C">
              <w:t xml:space="preserve"> system</w:t>
            </w:r>
          </w:p>
        </w:tc>
        <w:tc>
          <w:tcPr>
            <w:tcW w:w="0" w:type="auto"/>
            <w:vMerge w:val="restart"/>
          </w:tcPr>
          <w:p w:rsidR="007E0F0A" w:rsidRPr="00C97E6C" w:rsidRDefault="007E0F0A" w:rsidP="005973CF">
            <w:r>
              <w:t>N</w:t>
            </w:r>
            <w:r w:rsidRPr="000439DE">
              <w:t>on-irrigated arable land</w:t>
            </w:r>
            <w:r>
              <w:t>, p</w:t>
            </w:r>
            <w:r w:rsidRPr="000439DE">
              <w:t>ermanently irrigated land</w:t>
            </w:r>
            <w:r>
              <w:t>, r</w:t>
            </w:r>
            <w:r w:rsidRPr="000439DE">
              <w:t>ice field</w:t>
            </w:r>
            <w:r>
              <w:t>, c</w:t>
            </w:r>
            <w:r w:rsidRPr="000439DE">
              <w:t>omplex cultivation patterns</w:t>
            </w:r>
            <w:r>
              <w:t>, l</w:t>
            </w:r>
            <w:r w:rsidRPr="000439DE">
              <w:t>and principally occupied by agriculture, with significant areas of natural vegetation</w:t>
            </w:r>
          </w:p>
        </w:tc>
        <w:tc>
          <w:tcPr>
            <w:tcW w:w="0" w:type="auto"/>
          </w:tcPr>
          <w:p w:rsidR="007E0F0A" w:rsidRPr="00C97E6C" w:rsidRDefault="007E0F0A" w:rsidP="005973CF">
            <w:r w:rsidRPr="00C97E6C">
              <w:t>Field size</w:t>
            </w:r>
          </w:p>
        </w:tc>
        <w:tc>
          <w:tcPr>
            <w:tcW w:w="0" w:type="auto"/>
          </w:tcPr>
          <w:p w:rsidR="007E0F0A" w:rsidRPr="00C97E6C" w:rsidRDefault="007E0F0A" w:rsidP="005973CF">
            <w:r w:rsidRPr="00C97E6C">
              <w:t>LUCAS 2018</w:t>
            </w:r>
          </w:p>
        </w:tc>
        <w:tc>
          <w:tcPr>
            <w:tcW w:w="0" w:type="auto"/>
          </w:tcPr>
          <w:p w:rsidR="007E0F0A" w:rsidRPr="00C97E6C" w:rsidRDefault="007E0F0A" w:rsidP="005973CF"/>
        </w:tc>
        <w:tc>
          <w:tcPr>
            <w:tcW w:w="0" w:type="auto"/>
          </w:tcPr>
          <w:p w:rsidR="007E0F0A" w:rsidRPr="00C97E6C" w:rsidRDefault="007E0F0A" w:rsidP="005973CF"/>
        </w:tc>
        <w:tc>
          <w:tcPr>
            <w:tcW w:w="0" w:type="auto"/>
          </w:tcPr>
          <w:p w:rsidR="007E0F0A" w:rsidRPr="00C97E6C" w:rsidRDefault="007E0F0A" w:rsidP="005973CF">
            <w:r w:rsidRPr="00C97E6C">
              <w:t>PARCEL_AREA_HA, class 1=0.05ha; class</w:t>
            </w:r>
            <w:r>
              <w:t xml:space="preserve"> </w:t>
            </w:r>
            <w:r w:rsidRPr="00C97E6C">
              <w:t>2=0.3ha; class</w:t>
            </w:r>
            <w:r>
              <w:t xml:space="preserve"> </w:t>
            </w:r>
            <w:r w:rsidRPr="00C97E6C">
              <w:t>3=0.75ha; class4=5.5ha; class5=15ha</w:t>
            </w:r>
          </w:p>
        </w:tc>
        <w:tc>
          <w:tcPr>
            <w:tcW w:w="0" w:type="auto"/>
          </w:tcPr>
          <w:p w:rsidR="007E0F0A" w:rsidRPr="00A72C77" w:rsidRDefault="007E0F0A" w:rsidP="005973CF">
            <w:r w:rsidRPr="00C97E6C">
              <w:fldChar w:fldCharType="begin" w:fldLock="1"/>
            </w:r>
            <w:r w:rsidRPr="00C97E6C">
              <w:instrText>ADDIN CSL_CITATION {"citationItems":[{"id":"ITEM-1","itemData":{"DOI":"10.1016/j.landurbplan.2016.02.005","ISSN":"01692046","abstract":"Comprehensive maps that characterize the variation in agricultural landscapes across Europe are lacking. In this paper we present a new Europe-wide, spatially-explicit typology and inventory of the diversity in composition, spatial structure and management intensity of European agricultural landscapes. Agricultural landscape types were characterized at a 1 km2 resolution based on Europe-wide datasets that represent land cover, landscape structure and land management intensity. Two alternative approaches for typology development were used: an expert-based top-down approach, and a bottom-up approach based on automated clustering using Self Organizing Maps (SOMs). Comparison with available national and European landscape typologies showed that our typology deviates from existing biophysical and anthropocentric typologies relevant to agricultural landscapes as result of the inclusion of land management aspects. Concordance occurred between specific European typology classes, while the comparison with national landscape typologies showed a correspondence in agricultural landscape patterns. Our agricultural landscape typology can provide a basis for landscape assessment at a European-scale to help to identify agricultural landscape types prone to change and landscapes that may require policy response.","author":[{"dropping-particle":"","family":"Zanden","given":"Emma H.","non-dropping-particle":"van der","parse-names":false,"suffix":""},{"dropping-particle":"","family":"Levers","given":"Christian","non-dropping-particle":"","parse-names":false,"suffix":""},{"dropping-particle":"","family":"Verburg","given":"Peter H.","non-dropping-particle":"","parse-names":false,"suffix":""},{"dropping-particle":"","family":"Kuemmerle","given":"Tobias","non-dropping-particle":"","parse-names":false,"suffix":""}],"container-title":"Landscape and Urban Planning","id":"ITEM-1","issued":{"date-parts":[["2016"]]},"page":"36-49","publisher":"Elsevier B.V.","title":"Representing composition, spatial structure and management intensity of European agricultural landscapes: A new typology","type":"article-journal","volume":"150"},"uris":["http://www.mendeley.com/documents/?uuid=6a4eb2b1-625c-47bc-ac09-711e53d566a1"]},{"id":"ITEM-2","itemData":{"DOI":"10.1016/j.landusepol.2016.12.001","ISSN":"02648377","abstract":"Almost all rural areas in Europe have been shaped or altered by humans and can be considered cultural landscapes, many of which now are considered to entail valuable cultural heritage. Current dynamics in land management have put cultural landscapes under a huge pressure of agricultural intensification and land abandonment. To prevent the loss of cultural landscapes, knowledge on the location of different types of cultural landscapes is needed. In this paper, we present a characterization of European cultural landscapes based on the prevalence of three key dimensions of cultural landscapes: landscape structure, management intensity, and value and meaning. We mapped these dimensions across Europe at a 1-km resolution by combining proxies on management intensity and landscape structure with new indicators such as social media usage and registered traditional food products. We integrated the three dimensions into a continuous “cultural landscape index” that allows for a characterization of Europe's rural landscapes. The characterization identifies hotspots of cultural landscapes, where all three dimensions are present, such as in the Mediterranean. On the other hand, Eastern and Northern European cultural landscapes are mostly characterized by only one of the dimensions. Our paper can help to identify pressures to cultural landscapes and thus to target measures for the conservation of these landscapes, to link similar landscapes in different regions, and to inform policy design on the most important characteristics of cultural landscapes at a regional scale.","author":[{"dropping-particle":"","family":"Tieskens","given":"Koen F.","non-dropping-particle":"","parse-names":false,"su</w:instrText>
            </w:r>
            <w:r w:rsidRPr="00A72C77">
              <w:instrText>ffix":""},{"dropping-particle":"","family":"Schulp","given":"Catharina J.E.","non-dropping-particle":"","parse-names":false,"suffix":""},{"dropping-particle":"","family":"Levers","given":"Christian","non-dropping-particle":"","parse-names":false,"suffix":""},{"dropping-particle":"","family":"Lieskovský","given":"Juraj","non-dropping-particle":"","parse-names":false,"suffix":""},{"dropping-particle":"","family":"Kuemmerle","given":"Tobias","non-dropping-particle":"","parse-names":false,"suffix":""},{"dropping-particle":"","family":"Plieninger","given":"Tobias","non-dropping-particle":"","parse-names":false,"suffix":""},{"dropping-particle":"","family":"Verburg","given":"Peter H.","non-dropping-particle":"","parse-names":false,"suffix":""}],"container-title":"Land Use Policy","id":"ITEM-2","issued":{"date-parts":[["2017"]]},"page":"29-39","title":"Characterizing European cultural landscapes: Accounting for structure, management intensity and value of agricultural and forest landscapes","type":"article-journal","volume":"62"},"uris":["http://www.mendeley.com/documents/?uuid=be25fb50-34d7-44e1-9a88-7ac9bb66420d"]}],"mendeley":{"formattedCitation":"(van der Zanden et al. 2016, Tieskens et al. 2017)","plainTextFormattedCitation":"(van der Zanden et al. 2016, Tieskens et al. 2017)","previouslyFormattedCitation":"(van der Zanden et al. 2016, Tieskens et al. 2017)"},"properties":{"noteIndex":0},"schema":"https://github.com/citation-style-language/schema/raw/master/csl-citation.json"}</w:instrText>
            </w:r>
            <w:r w:rsidRPr="00C97E6C">
              <w:fldChar w:fldCharType="separate"/>
            </w:r>
            <w:r w:rsidRPr="00A72C77">
              <w:rPr>
                <w:noProof/>
              </w:rPr>
              <w:t>(van der Zanden et al. 2016, Tieskens et al. 2017)</w:t>
            </w:r>
            <w:r w:rsidRPr="00C97E6C">
              <w:fldChar w:fldCharType="end"/>
            </w:r>
          </w:p>
        </w:tc>
      </w:tr>
      <w:tr w:rsidR="007E0F0A" w:rsidRPr="00C97E6C" w:rsidTr="005973CF">
        <w:tc>
          <w:tcPr>
            <w:tcW w:w="0" w:type="auto"/>
            <w:vMerge/>
          </w:tcPr>
          <w:p w:rsidR="007E0F0A" w:rsidRPr="00F37265" w:rsidRDefault="007E0F0A" w:rsidP="005973CF"/>
        </w:tc>
        <w:tc>
          <w:tcPr>
            <w:tcW w:w="0" w:type="auto"/>
            <w:vMerge/>
          </w:tcPr>
          <w:p w:rsidR="007E0F0A" w:rsidRPr="00F37265" w:rsidRDefault="007E0F0A" w:rsidP="005973CF"/>
        </w:tc>
        <w:tc>
          <w:tcPr>
            <w:tcW w:w="0" w:type="auto"/>
          </w:tcPr>
          <w:p w:rsidR="007E0F0A" w:rsidRPr="00A72C77" w:rsidRDefault="007E0F0A" w:rsidP="005973CF">
            <w:r w:rsidRPr="00A72C77">
              <w:t>Nitrogen input</w:t>
            </w:r>
          </w:p>
        </w:tc>
        <w:tc>
          <w:tcPr>
            <w:tcW w:w="0" w:type="auto"/>
          </w:tcPr>
          <w:p w:rsidR="007E0F0A" w:rsidRPr="00A72C77" w:rsidRDefault="007E0F0A" w:rsidP="005973CF">
            <w:r w:rsidRPr="00A72C77">
              <w:t>jrc</w:t>
            </w:r>
          </w:p>
        </w:tc>
        <w:tc>
          <w:tcPr>
            <w:tcW w:w="0" w:type="auto"/>
          </w:tcPr>
          <w:p w:rsidR="007E0F0A" w:rsidRPr="00A72C77" w:rsidRDefault="007E0F0A" w:rsidP="005973CF"/>
        </w:tc>
        <w:tc>
          <w:tcPr>
            <w:tcW w:w="0" w:type="auto"/>
          </w:tcPr>
          <w:p w:rsidR="007E0F0A" w:rsidRPr="00A72C77" w:rsidRDefault="007E0F0A" w:rsidP="005973CF">
            <w:r w:rsidRPr="00A72C77">
              <w:t>2012</w:t>
            </w:r>
          </w:p>
        </w:tc>
        <w:tc>
          <w:tcPr>
            <w:tcW w:w="0" w:type="auto"/>
          </w:tcPr>
          <w:p w:rsidR="007E0F0A" w:rsidRPr="00A72C77" w:rsidRDefault="00526075" w:rsidP="005973CF">
            <w:r>
              <w:t>1km grid shapefile</w:t>
            </w:r>
          </w:p>
        </w:tc>
        <w:tc>
          <w:tcPr>
            <w:tcW w:w="0" w:type="auto"/>
          </w:tcPr>
          <w:p w:rsidR="007E0F0A" w:rsidRPr="00A72C77" w:rsidRDefault="007E0F0A" w:rsidP="005973CF"/>
        </w:tc>
      </w:tr>
      <w:tr w:rsidR="007E0F0A" w:rsidRPr="00C56630" w:rsidTr="005973CF">
        <w:tc>
          <w:tcPr>
            <w:tcW w:w="0" w:type="auto"/>
          </w:tcPr>
          <w:p w:rsidR="007E0F0A" w:rsidRPr="00A72C77" w:rsidRDefault="007E0F0A" w:rsidP="005973CF">
            <w:r w:rsidRPr="00A72C77">
              <w:t>--Permanent  crops</w:t>
            </w:r>
          </w:p>
        </w:tc>
        <w:tc>
          <w:tcPr>
            <w:tcW w:w="0" w:type="auto"/>
          </w:tcPr>
          <w:p w:rsidR="007E0F0A" w:rsidRPr="00A72C77" w:rsidRDefault="007E0F0A" w:rsidP="005973CF">
            <w:r w:rsidRPr="00A72C77">
              <w:t>Vineyard,</w:t>
            </w:r>
          </w:p>
          <w:p w:rsidR="007E0F0A" w:rsidRPr="00A72C77" w:rsidRDefault="007E0F0A" w:rsidP="005973CF">
            <w:r w:rsidRPr="00A72C77">
              <w:t>Fruit trees and berry plantation,</w:t>
            </w:r>
          </w:p>
          <w:p w:rsidR="007E0F0A" w:rsidRPr="00A72C77" w:rsidRDefault="007E0F0A" w:rsidP="005973CF">
            <w:r w:rsidRPr="00A72C77">
              <w:t>Olive grove,</w:t>
            </w:r>
          </w:p>
          <w:p w:rsidR="007E0F0A" w:rsidRPr="00A72C77" w:rsidRDefault="007E0F0A" w:rsidP="005973CF">
            <w:r w:rsidRPr="00A72C77">
              <w:t>Annual crops associated with permanent crops (perm. crops&gt;50%)</w:t>
            </w:r>
          </w:p>
        </w:tc>
        <w:tc>
          <w:tcPr>
            <w:tcW w:w="0" w:type="auto"/>
          </w:tcPr>
          <w:p w:rsidR="007E0F0A" w:rsidRPr="00A72C77" w:rsidRDefault="007E0F0A" w:rsidP="005973CF">
            <w:r w:rsidRPr="00A72C77">
              <w:t xml:space="preserve">Understory </w:t>
            </w:r>
          </w:p>
        </w:tc>
        <w:tc>
          <w:tcPr>
            <w:tcW w:w="0" w:type="auto"/>
          </w:tcPr>
          <w:p w:rsidR="007E0F0A" w:rsidRPr="00A72C77" w:rsidRDefault="007E0F0A" w:rsidP="005973CF">
            <w:r w:rsidRPr="00A72C77">
              <w:t>CORINE 2018,</w:t>
            </w:r>
          </w:p>
          <w:p w:rsidR="007E0F0A" w:rsidRPr="00A72C77" w:rsidRDefault="007E0F0A" w:rsidP="005973CF">
            <w:r w:rsidRPr="00A72C77">
              <w:t>LUCAS2018</w:t>
            </w:r>
          </w:p>
        </w:tc>
        <w:tc>
          <w:tcPr>
            <w:tcW w:w="0" w:type="auto"/>
          </w:tcPr>
          <w:p w:rsidR="007E0F0A" w:rsidRPr="00A72C77" w:rsidRDefault="007E0F0A" w:rsidP="005973CF">
            <w:r w:rsidRPr="00A72C77">
              <w:t>Survey points, 2km apart</w:t>
            </w:r>
          </w:p>
        </w:tc>
        <w:tc>
          <w:tcPr>
            <w:tcW w:w="0" w:type="auto"/>
          </w:tcPr>
          <w:p w:rsidR="007E0F0A" w:rsidRPr="00A72C77" w:rsidRDefault="007E0F0A" w:rsidP="005973CF">
            <w:r w:rsidRPr="00A72C77">
              <w:t>2018</w:t>
            </w:r>
          </w:p>
        </w:tc>
        <w:tc>
          <w:tcPr>
            <w:tcW w:w="0" w:type="auto"/>
          </w:tcPr>
          <w:p w:rsidR="007E0F0A" w:rsidRPr="00A72C77" w:rsidRDefault="007E0F0A" w:rsidP="005973CF">
            <w:r w:rsidRPr="00A72C77">
              <w:t>Class 1: bare soil</w:t>
            </w:r>
          </w:p>
          <w:p w:rsidR="007E0F0A" w:rsidRPr="00A72C77" w:rsidRDefault="007E0F0A" w:rsidP="005973CF">
            <w:r w:rsidRPr="00A72C77">
              <w:t>Class 2: vegetated surface</w:t>
            </w:r>
          </w:p>
        </w:tc>
        <w:tc>
          <w:tcPr>
            <w:tcW w:w="0" w:type="auto"/>
          </w:tcPr>
          <w:p w:rsidR="007E0F0A" w:rsidRPr="00A72C77" w:rsidRDefault="007E0F0A" w:rsidP="005973CF"/>
        </w:tc>
      </w:tr>
      <w:tr w:rsidR="007E0F0A" w:rsidRPr="00C97E6C" w:rsidTr="005973CF">
        <w:tc>
          <w:tcPr>
            <w:tcW w:w="0" w:type="auto"/>
            <w:vMerge w:val="restart"/>
          </w:tcPr>
          <w:p w:rsidR="007E0F0A" w:rsidRPr="00A72C77" w:rsidRDefault="007E0F0A" w:rsidP="005973CF">
            <w:r>
              <w:t>Grassland</w:t>
            </w:r>
          </w:p>
        </w:tc>
        <w:tc>
          <w:tcPr>
            <w:tcW w:w="0" w:type="auto"/>
            <w:vMerge w:val="restart"/>
          </w:tcPr>
          <w:p w:rsidR="007E0F0A" w:rsidRPr="00A72C77" w:rsidRDefault="007E0F0A" w:rsidP="005973CF">
            <w:r w:rsidRPr="00A72C77">
              <w:t>Pasture, complex cultivation patterns, land principally occupied by agriculture, with significant areas of natural vegetation</w:t>
            </w:r>
          </w:p>
          <w:p w:rsidR="007E0F0A" w:rsidRPr="00A72C77" w:rsidRDefault="007E0F0A" w:rsidP="005973CF"/>
        </w:tc>
        <w:tc>
          <w:tcPr>
            <w:tcW w:w="0" w:type="auto"/>
          </w:tcPr>
          <w:p w:rsidR="007E0F0A" w:rsidRPr="00A72C77" w:rsidRDefault="007E0F0A" w:rsidP="005973CF">
            <w:r w:rsidRPr="00A72C77">
              <w:t>Mowing frequency</w:t>
            </w:r>
          </w:p>
        </w:tc>
        <w:tc>
          <w:tcPr>
            <w:tcW w:w="0" w:type="auto"/>
          </w:tcPr>
          <w:p w:rsidR="007E0F0A" w:rsidRPr="00A72C77" w:rsidRDefault="007E0F0A" w:rsidP="005973CF">
            <w:r w:rsidRPr="00A72C77">
              <w:t>Map of grassland management intensity</w:t>
            </w:r>
          </w:p>
        </w:tc>
        <w:tc>
          <w:tcPr>
            <w:tcW w:w="0" w:type="auto"/>
          </w:tcPr>
          <w:p w:rsidR="007E0F0A" w:rsidRPr="00A72C77" w:rsidRDefault="007E0F0A" w:rsidP="005973CF">
            <w:r w:rsidRPr="00A72C77">
              <w:t>3km</w:t>
            </w:r>
          </w:p>
        </w:tc>
        <w:tc>
          <w:tcPr>
            <w:tcW w:w="0" w:type="auto"/>
          </w:tcPr>
          <w:p w:rsidR="007E0F0A" w:rsidRPr="00A72C77" w:rsidRDefault="007E0F0A" w:rsidP="005973CF">
            <w:r w:rsidRPr="00A72C77">
              <w:t>2000-2012</w:t>
            </w:r>
          </w:p>
        </w:tc>
        <w:tc>
          <w:tcPr>
            <w:tcW w:w="0" w:type="auto"/>
          </w:tcPr>
          <w:p w:rsidR="007E0F0A" w:rsidRPr="00A72C77" w:rsidRDefault="007E0F0A" w:rsidP="005973CF">
            <w:r w:rsidRPr="00A72C77">
              <w:t xml:space="preserve">Average number of annual mowing events </w:t>
            </w:r>
          </w:p>
        </w:tc>
        <w:tc>
          <w:tcPr>
            <w:tcW w:w="0" w:type="auto"/>
          </w:tcPr>
          <w:p w:rsidR="007E0F0A" w:rsidRPr="00C97E6C" w:rsidRDefault="007E0F0A" w:rsidP="005973CF">
            <w:r>
              <w:fldChar w:fldCharType="begin" w:fldLock="1"/>
            </w:r>
            <w:r w:rsidRPr="00A72C77">
              <w:instrText>ADDIN CSL_CITATION {"citationItems":[{"id":"ITEM-1","itemData":{"DOI":"10.1088/1748-9326/aacc7a","ISSN":"17489326","author":[{"dropping-particle":"","family":"Estel","given":"Stephan","non-dropping-particle":"","parse-names":false,"suffix":""},{"dropping-particle":"","family":"Mader","given":"Sebastian","non-dropping-particle":"","parse-names":false,"suffix":""},{"dropping-particle":"","family":"Levers","given":"Christian","non-dropping-particle":"","parse-names":false,"suffix":""},{"dropping-particle":"","family":"Verburg","given":"Peter H.","non-dropping-particle":"","parse-names":false,"suffix":""},{"dr</w:instrText>
            </w:r>
            <w:r>
              <w:instrText>opping-particle":"","family":"Baumann","given":"Matthias","non-dropping-particle":"","parse-names":false,"suffix":""},{"dropping-particle":"","family":"Kuemmerle","given":"Tobias","non-dropping-particle":"","parse-names":false,"suffix":""}],"container-title":"Environmental Research Letters","id":"ITEM-1","issue":"7","issued":{"date-parts":[["2018"]]},"title":"Combining satellite data and agricultural statistics to map grassland management intensity in Europe","type":"article-journal","volume":"13"},"uris":["http://www.mendeley.com/documents/?uuid=b8c9703e-4283-49c2-b515-eeba320f1208"]}],"mendeley":{"formattedCitation":"(Estel et al. 2018)","plainTextFormattedCitation":"(Estel et al. 2018)","previouslyFormattedCitation":"(Estel et al. 2018)"},"properties":{"noteIndex":0},"schema":"https://github.com/citation-style-language/schema/raw/master/csl-citation.json"}</w:instrText>
            </w:r>
            <w:r>
              <w:fldChar w:fldCharType="separate"/>
            </w:r>
            <w:r w:rsidRPr="00ED3D4D">
              <w:rPr>
                <w:noProof/>
              </w:rPr>
              <w:t>(Estel et al. 2018)</w:t>
            </w:r>
            <w:r>
              <w:fldChar w:fldCharType="end"/>
            </w:r>
          </w:p>
        </w:tc>
      </w:tr>
      <w:tr w:rsidR="007E0F0A" w:rsidRPr="00C97E6C" w:rsidTr="005973CF">
        <w:tc>
          <w:tcPr>
            <w:tcW w:w="0" w:type="auto"/>
            <w:vMerge/>
          </w:tcPr>
          <w:p w:rsidR="007E0F0A" w:rsidRDefault="007E0F0A" w:rsidP="005973CF"/>
        </w:tc>
        <w:tc>
          <w:tcPr>
            <w:tcW w:w="0" w:type="auto"/>
            <w:vMerge/>
          </w:tcPr>
          <w:p w:rsidR="007E0F0A" w:rsidRDefault="007E0F0A" w:rsidP="005973CF"/>
        </w:tc>
        <w:tc>
          <w:tcPr>
            <w:tcW w:w="0" w:type="auto"/>
          </w:tcPr>
          <w:p w:rsidR="007E0F0A" w:rsidRDefault="007E0F0A" w:rsidP="005973CF">
            <w:r>
              <w:t>Livestock density</w:t>
            </w:r>
          </w:p>
        </w:tc>
        <w:tc>
          <w:tcPr>
            <w:tcW w:w="0" w:type="auto"/>
          </w:tcPr>
          <w:p w:rsidR="007E0F0A" w:rsidRDefault="007E0F0A" w:rsidP="005973CF">
            <w:r>
              <w:t>Global livestock dataset</w:t>
            </w:r>
          </w:p>
        </w:tc>
        <w:tc>
          <w:tcPr>
            <w:tcW w:w="0" w:type="auto"/>
          </w:tcPr>
          <w:p w:rsidR="007E0F0A" w:rsidRDefault="007E0F0A" w:rsidP="005973CF">
            <w:r>
              <w:t>0.0833 decimal degrees</w:t>
            </w:r>
          </w:p>
        </w:tc>
        <w:tc>
          <w:tcPr>
            <w:tcW w:w="0" w:type="auto"/>
          </w:tcPr>
          <w:p w:rsidR="007E0F0A" w:rsidRDefault="007E0F0A" w:rsidP="005973CF">
            <w:r>
              <w:t>2010</w:t>
            </w:r>
          </w:p>
        </w:tc>
        <w:tc>
          <w:tcPr>
            <w:tcW w:w="0" w:type="auto"/>
          </w:tcPr>
          <w:p w:rsidR="007E0F0A" w:rsidRDefault="007E0F0A" w:rsidP="005973CF">
            <w:r>
              <w:t>Number of animals at each pixel (converted):</w:t>
            </w:r>
          </w:p>
          <w:p w:rsidR="007E0F0A" w:rsidRDefault="007E0F0A" w:rsidP="005973CF">
            <w:pPr>
              <w:rPr>
                <w:vertAlign w:val="superscript"/>
              </w:rPr>
            </w:pPr>
            <w:r>
              <w:t>Class 1: 0-50 lsu/ km</w:t>
            </w:r>
            <w:r w:rsidRPr="00F37265">
              <w:rPr>
                <w:vertAlign w:val="superscript"/>
              </w:rPr>
              <w:t>2</w:t>
            </w:r>
          </w:p>
          <w:p w:rsidR="007E0F0A" w:rsidRDefault="007E0F0A" w:rsidP="005973CF">
            <w:pPr>
              <w:rPr>
                <w:vertAlign w:val="superscript"/>
              </w:rPr>
            </w:pPr>
            <w:r>
              <w:t>Class 2: 50-100 lsu/ km</w:t>
            </w:r>
            <w:r w:rsidRPr="00F37265">
              <w:rPr>
                <w:vertAlign w:val="superscript"/>
              </w:rPr>
              <w:t>2</w:t>
            </w:r>
          </w:p>
          <w:p w:rsidR="007E0F0A" w:rsidRDefault="007E0F0A" w:rsidP="005973CF">
            <w:pPr>
              <w:rPr>
                <w:vertAlign w:val="superscript"/>
              </w:rPr>
            </w:pPr>
            <w:r>
              <w:t>Class 3: &gt;100 lsu/ km</w:t>
            </w:r>
            <w:r w:rsidRPr="00F37265">
              <w:rPr>
                <w:vertAlign w:val="superscript"/>
              </w:rPr>
              <w:t>2</w:t>
            </w:r>
          </w:p>
          <w:p w:rsidR="007E0F0A" w:rsidRPr="00666B60" w:rsidRDefault="007E0F0A" w:rsidP="005973CF"/>
        </w:tc>
        <w:tc>
          <w:tcPr>
            <w:tcW w:w="0" w:type="auto"/>
          </w:tcPr>
          <w:p w:rsidR="007E0F0A" w:rsidRDefault="007E0F0A" w:rsidP="005973CF">
            <w:r>
              <w:fldChar w:fldCharType="begin" w:fldLock="1"/>
            </w:r>
            <w:r>
              <w:instrText>ADDIN CSL_CITATION {"citationItems":[{"id":"ITEM-1","itemData":{"DOI":"10.1038/sdata.2018.227","ISSN":"20524463","abstract":"Global distribution data for cattle, buffaloes, horses, sheep, goats, pigs, chickens and ducks in 2010","author":[{"dropping-particle":"","family":"Gilbert","given":"Marius","non-dropping-particle":"","parse-names":false,"suffix":""},{"dropping-particle":"","family":"Nicolas","given":"Gaëlle","non-dropping-particle":"","parse-names":false,"suffix":""},{"dropping-particle":"","family":"Cinardi","given":"Giusepina","non-dropping-particle":"","parse-names":false,"suffix":""},{"dropping-particle":"","family":"Boeckel","given":"Thomas P.","non-dropping-particle":"Van","parse-names":false,"suffix":""},{"dropping-particle":"","family":"Vanwambeke","given":"Sophie O.","non-dropping-particle":"","parse-names":false,"suffix":""},{"dropping-particle":"","family":"Wint","given":"G. R.William","non-dropping-particle":"","parse-names":false,"suffix":""},{"dropping-particle":"","family":"Robinson","given":"Timothy P.","non-dropping-particle":"","parse-names":false,"suffix":""}],"container-title":"Scientific Data","id":"ITEM-1","issued":{"date-parts":[["2018"]]},"page":"1-11","publisher":"The Author(s)","title":"Global distribution data for cattle, buffaloes, horses, sheep, goats, pigs, chickens and ducks in 2010","type":"article-journal","volume":"5"},"uris":["http://www.mendeley.com/documents/?uuid=98315148-0e10-4711-9f11-3dc228713b61"]}],"mendeley":{"formattedCitation":"(Gilbert et al. 2018)","plainTextFormattedCitation":"(Gilbert et al. 2018)","previouslyFormattedCitation":"(Gilbert et al. 2018)"},"properties":{"noteIndex":0},"schema":"https://github.com/citation-style-language/schema/raw/master/csl-citation.json"}</w:instrText>
            </w:r>
            <w:r>
              <w:fldChar w:fldCharType="separate"/>
            </w:r>
            <w:r w:rsidRPr="00666B60">
              <w:rPr>
                <w:noProof/>
              </w:rPr>
              <w:t>(Gilbert et al. 2018)</w:t>
            </w:r>
            <w:r>
              <w:fldChar w:fldCharType="end"/>
            </w:r>
          </w:p>
        </w:tc>
      </w:tr>
      <w:tr w:rsidR="00526075" w:rsidRPr="00A72C77" w:rsidTr="005973CF">
        <w:tc>
          <w:tcPr>
            <w:tcW w:w="0" w:type="auto"/>
          </w:tcPr>
          <w:p w:rsidR="00526075" w:rsidRDefault="00526075" w:rsidP="00526075">
            <w:r>
              <w:t>Shrubs, rocks, and mosaic systems</w:t>
            </w:r>
          </w:p>
        </w:tc>
        <w:tc>
          <w:tcPr>
            <w:tcW w:w="0" w:type="auto"/>
          </w:tcPr>
          <w:p w:rsidR="00526075" w:rsidRDefault="00526075" w:rsidP="00526075">
            <w:r>
              <w:t>Shrubs, rocks, and other mixed land cover</w:t>
            </w:r>
          </w:p>
        </w:tc>
        <w:tc>
          <w:tcPr>
            <w:tcW w:w="0" w:type="auto"/>
          </w:tcPr>
          <w:p w:rsidR="00526075" w:rsidRDefault="00526075" w:rsidP="00526075">
            <w:r>
              <w:t>N/A</w:t>
            </w:r>
          </w:p>
        </w:tc>
        <w:tc>
          <w:tcPr>
            <w:tcW w:w="0" w:type="auto"/>
          </w:tcPr>
          <w:p w:rsidR="00526075" w:rsidRPr="00A72C77" w:rsidRDefault="00526075" w:rsidP="00526075">
            <w:r>
              <w:t>CORINE 2018</w:t>
            </w:r>
          </w:p>
        </w:tc>
        <w:tc>
          <w:tcPr>
            <w:tcW w:w="0" w:type="auto"/>
          </w:tcPr>
          <w:p w:rsidR="00526075" w:rsidRPr="00A72C77" w:rsidRDefault="00526075" w:rsidP="00526075">
            <w:r>
              <w:t>100m</w:t>
            </w:r>
          </w:p>
        </w:tc>
        <w:tc>
          <w:tcPr>
            <w:tcW w:w="0" w:type="auto"/>
          </w:tcPr>
          <w:p w:rsidR="00526075" w:rsidRPr="00A72C77" w:rsidRDefault="00526075" w:rsidP="00526075">
            <w:r w:rsidRPr="00A72C77">
              <w:t>2018</w:t>
            </w:r>
          </w:p>
        </w:tc>
        <w:tc>
          <w:tcPr>
            <w:tcW w:w="0" w:type="auto"/>
          </w:tcPr>
          <w:p w:rsidR="00526075" w:rsidRPr="00A72C77" w:rsidRDefault="00526075" w:rsidP="00526075">
            <w:r>
              <w:t>A</w:t>
            </w:r>
            <w:r w:rsidRPr="009B6B3D">
              <w:t>gro</w:t>
            </w:r>
            <w:r>
              <w:t xml:space="preserve">-forestry areas, moors and heathland, sclerophyllous vegetation, beaches, dunes, and sand plains, bare rocks, sparsely vegetated areas, burnt area, </w:t>
            </w:r>
            <w:r w:rsidRPr="009B6B3D">
              <w:t>mineral extractions sites, dump sites</w:t>
            </w:r>
            <w:r>
              <w:t>, sport and leisure facilities</w:t>
            </w:r>
          </w:p>
        </w:tc>
        <w:tc>
          <w:tcPr>
            <w:tcW w:w="0" w:type="auto"/>
          </w:tcPr>
          <w:p w:rsidR="00526075" w:rsidRDefault="00526075" w:rsidP="00526075"/>
        </w:tc>
      </w:tr>
      <w:tr w:rsidR="00526075" w:rsidRPr="00A72C77" w:rsidTr="005973CF">
        <w:tc>
          <w:tcPr>
            <w:tcW w:w="0" w:type="auto"/>
          </w:tcPr>
          <w:p w:rsidR="00526075" w:rsidRDefault="00526075" w:rsidP="00526075">
            <w:r>
              <w:t>Snow, water, and wetland systems</w:t>
            </w:r>
          </w:p>
        </w:tc>
        <w:tc>
          <w:tcPr>
            <w:tcW w:w="0" w:type="auto"/>
          </w:tcPr>
          <w:p w:rsidR="00526075" w:rsidRPr="004F54E5" w:rsidRDefault="00526075" w:rsidP="00526075">
            <w:r w:rsidRPr="004F54E5">
              <w:t>Glaciers and perpetual snow</w:t>
            </w:r>
            <w:r>
              <w:t xml:space="preserve">, </w:t>
            </w:r>
          </w:p>
          <w:p w:rsidR="00526075" w:rsidRPr="004F54E5" w:rsidRDefault="00526075" w:rsidP="00526075">
            <w:r>
              <w:t>i</w:t>
            </w:r>
            <w:r w:rsidRPr="004F54E5">
              <w:t>nland marshes</w:t>
            </w:r>
            <w:r>
              <w:t>,</w:t>
            </w:r>
          </w:p>
          <w:p w:rsidR="00526075" w:rsidRPr="004F54E5" w:rsidRDefault="00526075" w:rsidP="00526075">
            <w:r>
              <w:t>peatbogs, salt marshes,</w:t>
            </w:r>
          </w:p>
          <w:p w:rsidR="00526075" w:rsidRPr="004F54E5" w:rsidRDefault="00526075" w:rsidP="00526075">
            <w:r>
              <w:t>salines,</w:t>
            </w:r>
          </w:p>
          <w:p w:rsidR="00526075" w:rsidRPr="004F54E5" w:rsidRDefault="00526075" w:rsidP="00526075">
            <w:r>
              <w:t>interdal flats,</w:t>
            </w:r>
          </w:p>
          <w:p w:rsidR="00526075" w:rsidRPr="004F54E5" w:rsidRDefault="00526075" w:rsidP="00526075">
            <w:r>
              <w:t>w</w:t>
            </w:r>
            <w:r w:rsidRPr="004F54E5">
              <w:t>ater courses</w:t>
            </w:r>
            <w:r>
              <w:t>,</w:t>
            </w:r>
          </w:p>
          <w:p w:rsidR="00526075" w:rsidRPr="004F54E5" w:rsidRDefault="00526075" w:rsidP="00526075">
            <w:r>
              <w:t>w</w:t>
            </w:r>
            <w:r w:rsidRPr="004F54E5">
              <w:t>ater bodies</w:t>
            </w:r>
            <w:r>
              <w:t xml:space="preserve">, </w:t>
            </w:r>
          </w:p>
          <w:p w:rsidR="00526075" w:rsidRDefault="00526075" w:rsidP="00526075">
            <w:r>
              <w:t>coastal lagoons, estuaries, sea and ocean</w:t>
            </w:r>
          </w:p>
        </w:tc>
        <w:tc>
          <w:tcPr>
            <w:tcW w:w="0" w:type="auto"/>
          </w:tcPr>
          <w:p w:rsidR="00526075" w:rsidRDefault="00526075" w:rsidP="00526075">
            <w:r>
              <w:t>N/A</w:t>
            </w:r>
          </w:p>
        </w:tc>
        <w:tc>
          <w:tcPr>
            <w:tcW w:w="0" w:type="auto"/>
          </w:tcPr>
          <w:p w:rsidR="00526075" w:rsidRDefault="00526075" w:rsidP="00526075">
            <w:r>
              <w:t>GLIM dataset</w:t>
            </w:r>
          </w:p>
        </w:tc>
        <w:tc>
          <w:tcPr>
            <w:tcW w:w="0" w:type="auto"/>
          </w:tcPr>
          <w:p w:rsidR="00526075" w:rsidRDefault="00526075" w:rsidP="00526075">
            <w:r>
              <w:t>shapefile</w:t>
            </w:r>
          </w:p>
        </w:tc>
        <w:tc>
          <w:tcPr>
            <w:tcW w:w="0" w:type="auto"/>
          </w:tcPr>
          <w:p w:rsidR="00526075" w:rsidRDefault="00526075" w:rsidP="00526075"/>
        </w:tc>
        <w:tc>
          <w:tcPr>
            <w:tcW w:w="0" w:type="auto"/>
          </w:tcPr>
          <w:p w:rsidR="00526075" w:rsidRDefault="00526075" w:rsidP="00526075"/>
        </w:tc>
        <w:tc>
          <w:tcPr>
            <w:tcW w:w="0" w:type="auto"/>
          </w:tcPr>
          <w:p w:rsidR="00526075" w:rsidRDefault="00526075" w:rsidP="00526075">
            <w:r w:rsidRPr="001923D7">
              <w:fldChar w:fldCharType="begin" w:fldLock="1"/>
            </w:r>
            <w:r w:rsidRPr="001923D7">
              <w:instrText>ADDIN CSL_CITATION {"citationItems":[{"id":"ITEM-1","itemData":{"author":[{"dropping-particle":"","family":"Global Land Ice Measurements from Space (GLIMS)","given":"","non-dropping-particle":"","parse-names":false,"suffix":""},{"dropping-particle":"","family":"National Snow and Ice Data Center","given":"","non-dropping-particle":"","parse-names":false,"suffix":""}],"id":"ITEM-1","issued":{"date-parts":[["2012"]]},"publisher":"National Snow and Ice Data Center","title":"GLIMS Glacier Database","type":"article"},"uris":["http://www.mendeley.com/documents/?uuid=ebbe0462-e5ea-4048-8ac6-93664029807d"]}],"mendeley":{"formattedCitation":"(Global Land Ice Measurements from Space (GLIMS) &amp; National Snow and Ice Data Center, 2012)","plainTextFormattedCitation":"(Global Land Ice Measurements from Space (GLIMS) &amp; National Snow and Ice Data Center, 2012)","previouslyFormattedCitation":"(Global Land Ice Measurements from Space (GLIMS) &amp; National Snow and Ice Data Center, 2012)"},"properties":{"noteIndex":0},"schema":"https://github.com/citation-style-language/schema/raw/master/csl-citation.json"}</w:instrText>
            </w:r>
            <w:r w:rsidRPr="001923D7">
              <w:fldChar w:fldCharType="separate"/>
            </w:r>
            <w:r w:rsidRPr="001923D7">
              <w:rPr>
                <w:noProof/>
              </w:rPr>
              <w:t>(Global Land Ice Measurements from Space (GLIMS) &amp; National Snow and Ice Data Center, 2012)</w:t>
            </w:r>
            <w:r w:rsidRPr="001923D7">
              <w:fldChar w:fldCharType="end"/>
            </w:r>
          </w:p>
        </w:tc>
      </w:tr>
    </w:tbl>
    <w:p w:rsidR="007E0F0A" w:rsidRDefault="007E0F0A" w:rsidP="007E0F0A"/>
    <w:p w:rsidR="007E0F0A" w:rsidRPr="00793248" w:rsidRDefault="007E0F0A" w:rsidP="007E0F0A">
      <w:pPr>
        <w:keepNext/>
      </w:pPr>
    </w:p>
    <w:p w:rsidR="007E0F0A" w:rsidRDefault="007E0F0A" w:rsidP="007E0F0A">
      <w:pPr>
        <w:keepNext/>
      </w:pPr>
    </w:p>
    <w:p w:rsidR="008846AE" w:rsidRPr="00793248" w:rsidRDefault="008846AE" w:rsidP="007E0F0A">
      <w:pPr>
        <w:keepNext/>
        <w:sectPr w:rsidR="008846AE" w:rsidRPr="00793248" w:rsidSect="005F3251">
          <w:type w:val="nextPage"/>
          <w:pgSz w:w="16838" w:h="11906" w:orient="landscape"/>
          <w:pgMar w:top="1440" w:right="1440" w:bottom="1440" w:left="1440" w:header="708" w:footer="708" w:gutter="0"/>
          <w:cols w:space="708"/>
          <w:docGrid w:linePitch="360"/>
        </w:sectPr>
      </w:pPr>
    </w:p>
    <w:p w:rsidR="008846AE" w:rsidRDefault="008846AE" w:rsidP="008846AE">
      <w:pPr>
        <w:pStyle w:val="SMHeading"/>
        <w:jc w:val="center"/>
        <w:rPr>
          <w:lang w:val="en-GB"/>
        </w:rPr>
      </w:pPr>
      <w:bookmarkStart w:id="38" w:name="_Toc60758373"/>
      <w:r w:rsidRPr="00451E71">
        <w:rPr>
          <w:lang w:val="en-GB"/>
        </w:rPr>
        <w:t xml:space="preserve">Table </w:t>
      </w:r>
      <w:r w:rsidR="005417FE">
        <w:rPr>
          <w:lang w:val="en-GB"/>
        </w:rPr>
        <w:t>S6</w:t>
      </w:r>
      <w:r w:rsidR="005417FE" w:rsidRPr="00451E71">
        <w:rPr>
          <w:lang w:val="en-GB"/>
        </w:rPr>
        <w:t xml:space="preserve"> </w:t>
      </w:r>
      <w:r>
        <w:rPr>
          <w:lang w:val="en-GB"/>
        </w:rPr>
        <w:t xml:space="preserve">Selection of </w:t>
      </w:r>
      <w:r w:rsidR="0093138B">
        <w:rPr>
          <w:lang w:val="en-GB"/>
        </w:rPr>
        <w:t xml:space="preserve">bioclimatic </w:t>
      </w:r>
      <w:r>
        <w:rPr>
          <w:lang w:val="en-GB"/>
        </w:rPr>
        <w:t>variables</w:t>
      </w:r>
      <w:bookmarkEnd w:id="38"/>
      <w:r w:rsidR="0093138B">
        <w:rPr>
          <w:lang w:val="en-GB"/>
        </w:rPr>
        <w:t xml:space="preserve"> </w:t>
      </w:r>
    </w:p>
    <w:p w:rsidR="0093138B" w:rsidRPr="00451E71" w:rsidRDefault="0093138B" w:rsidP="00417F8F">
      <w:pPr>
        <w:rPr>
          <w:lang w:val="en-GB"/>
        </w:rPr>
      </w:pPr>
    </w:p>
    <w:tbl>
      <w:tblPr>
        <w:tblStyle w:val="PlainTable2"/>
        <w:tblpPr w:leftFromText="180" w:rightFromText="180" w:vertAnchor="page" w:horzAnchor="margin" w:tblpXSpec="center" w:tblpY="2195"/>
        <w:tblW w:w="4838" w:type="dxa"/>
        <w:tblLook w:val="04A0" w:firstRow="1" w:lastRow="0" w:firstColumn="1" w:lastColumn="0" w:noHBand="0" w:noVBand="1"/>
      </w:tblPr>
      <w:tblGrid>
        <w:gridCol w:w="690"/>
        <w:gridCol w:w="4148"/>
      </w:tblGrid>
      <w:tr w:rsidR="008846AE" w:rsidRPr="008846AE" w:rsidTr="009313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0" w:type="dxa"/>
            <w:tcBorders>
              <w:top w:val="single" w:sz="18" w:space="0" w:color="auto"/>
              <w:bottom w:val="single" w:sz="18" w:space="0" w:color="auto"/>
            </w:tcBorders>
            <w:noWrap/>
            <w:hideMark/>
          </w:tcPr>
          <w:p w:rsidR="008846AE" w:rsidRPr="008846AE" w:rsidRDefault="008846AE" w:rsidP="0093138B">
            <w:pPr>
              <w:rPr>
                <w:color w:val="000000"/>
                <w:szCs w:val="24"/>
                <w:lang w:eastAsia="zh-CN"/>
              </w:rPr>
            </w:pPr>
            <w:r w:rsidRPr="008846AE">
              <w:rPr>
                <w:color w:val="000000"/>
                <w:szCs w:val="24"/>
                <w:lang w:eastAsia="zh-CN"/>
              </w:rPr>
              <w:t>No.</w:t>
            </w:r>
          </w:p>
        </w:tc>
        <w:tc>
          <w:tcPr>
            <w:tcW w:w="4148" w:type="dxa"/>
            <w:tcBorders>
              <w:top w:val="single" w:sz="18" w:space="0" w:color="auto"/>
              <w:bottom w:val="single" w:sz="18" w:space="0" w:color="auto"/>
            </w:tcBorders>
            <w:noWrap/>
            <w:hideMark/>
          </w:tcPr>
          <w:p w:rsidR="008846AE" w:rsidRPr="008846AE" w:rsidRDefault="008846AE" w:rsidP="0093138B">
            <w:pPr>
              <w:cnfStyle w:val="100000000000" w:firstRow="1" w:lastRow="0" w:firstColumn="0" w:lastColumn="0" w:oddVBand="0" w:evenVBand="0" w:oddHBand="0" w:evenHBand="0" w:firstRowFirstColumn="0" w:firstRowLastColumn="0" w:lastRowFirstColumn="0" w:lastRowLastColumn="0"/>
              <w:rPr>
                <w:color w:val="000000"/>
                <w:szCs w:val="24"/>
                <w:lang w:eastAsia="zh-CN"/>
              </w:rPr>
            </w:pPr>
            <w:r>
              <w:rPr>
                <w:color w:val="000000"/>
                <w:szCs w:val="24"/>
                <w:lang w:eastAsia="zh-CN"/>
              </w:rPr>
              <w:t>V</w:t>
            </w:r>
            <w:r w:rsidRPr="008846AE">
              <w:rPr>
                <w:color w:val="000000"/>
                <w:szCs w:val="24"/>
                <w:lang w:eastAsia="zh-CN"/>
              </w:rPr>
              <w:t>ariables</w:t>
            </w:r>
          </w:p>
        </w:tc>
      </w:tr>
      <w:tr w:rsidR="008846AE" w:rsidRPr="008846AE" w:rsidTr="0093138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90" w:type="dxa"/>
            <w:tcBorders>
              <w:top w:val="single" w:sz="18" w:space="0" w:color="auto"/>
            </w:tcBorders>
            <w:noWrap/>
            <w:hideMark/>
          </w:tcPr>
          <w:p w:rsidR="008846AE" w:rsidRPr="008846AE" w:rsidRDefault="008846AE" w:rsidP="0093138B">
            <w:pPr>
              <w:jc w:val="right"/>
              <w:rPr>
                <w:color w:val="000000"/>
                <w:szCs w:val="24"/>
                <w:lang w:eastAsia="zh-CN"/>
              </w:rPr>
            </w:pPr>
            <w:r w:rsidRPr="008846AE">
              <w:rPr>
                <w:color w:val="000000"/>
                <w:szCs w:val="24"/>
                <w:lang w:eastAsia="zh-CN"/>
              </w:rPr>
              <w:t>2</w:t>
            </w:r>
          </w:p>
        </w:tc>
        <w:tc>
          <w:tcPr>
            <w:tcW w:w="4148" w:type="dxa"/>
            <w:tcBorders>
              <w:top w:val="single" w:sz="18" w:space="0" w:color="auto"/>
            </w:tcBorders>
            <w:noWrap/>
            <w:hideMark/>
          </w:tcPr>
          <w:p w:rsidR="008846AE" w:rsidRPr="008846AE" w:rsidRDefault="008846AE" w:rsidP="0093138B">
            <w:pPr>
              <w:cnfStyle w:val="000000100000" w:firstRow="0" w:lastRow="0" w:firstColumn="0" w:lastColumn="0" w:oddVBand="0" w:evenVBand="0" w:oddHBand="1" w:evenHBand="0" w:firstRowFirstColumn="0" w:firstRowLastColumn="0" w:lastRowFirstColumn="0" w:lastRowLastColumn="0"/>
              <w:rPr>
                <w:color w:val="333333"/>
                <w:szCs w:val="24"/>
                <w:lang w:eastAsia="zh-CN"/>
              </w:rPr>
            </w:pPr>
            <w:r w:rsidRPr="008846AE">
              <w:rPr>
                <w:color w:val="333333"/>
                <w:szCs w:val="24"/>
                <w:lang w:eastAsia="zh-CN"/>
              </w:rPr>
              <w:t>Mean Diurnal Range</w:t>
            </w:r>
          </w:p>
        </w:tc>
      </w:tr>
      <w:tr w:rsidR="008846AE" w:rsidRPr="008846AE" w:rsidTr="0093138B">
        <w:trPr>
          <w:trHeight w:val="315"/>
        </w:trPr>
        <w:tc>
          <w:tcPr>
            <w:cnfStyle w:val="001000000000" w:firstRow="0" w:lastRow="0" w:firstColumn="1" w:lastColumn="0" w:oddVBand="0" w:evenVBand="0" w:oddHBand="0" w:evenHBand="0" w:firstRowFirstColumn="0" w:firstRowLastColumn="0" w:lastRowFirstColumn="0" w:lastRowLastColumn="0"/>
            <w:tcW w:w="690" w:type="dxa"/>
            <w:noWrap/>
            <w:hideMark/>
          </w:tcPr>
          <w:p w:rsidR="008846AE" w:rsidRPr="008846AE" w:rsidRDefault="008846AE" w:rsidP="0093138B">
            <w:pPr>
              <w:jc w:val="right"/>
              <w:rPr>
                <w:color w:val="000000"/>
                <w:szCs w:val="24"/>
                <w:lang w:eastAsia="zh-CN"/>
              </w:rPr>
            </w:pPr>
            <w:r w:rsidRPr="008846AE">
              <w:rPr>
                <w:color w:val="000000"/>
                <w:szCs w:val="24"/>
                <w:lang w:eastAsia="zh-CN"/>
              </w:rPr>
              <w:t>4</w:t>
            </w:r>
          </w:p>
        </w:tc>
        <w:tc>
          <w:tcPr>
            <w:tcW w:w="4148" w:type="dxa"/>
            <w:noWrap/>
            <w:hideMark/>
          </w:tcPr>
          <w:p w:rsidR="008846AE" w:rsidRPr="008846AE" w:rsidRDefault="008846AE" w:rsidP="0093138B">
            <w:pPr>
              <w:cnfStyle w:val="000000000000" w:firstRow="0" w:lastRow="0" w:firstColumn="0" w:lastColumn="0" w:oddVBand="0" w:evenVBand="0" w:oddHBand="0" w:evenHBand="0" w:firstRowFirstColumn="0" w:firstRowLastColumn="0" w:lastRowFirstColumn="0" w:lastRowLastColumn="0"/>
              <w:rPr>
                <w:color w:val="333333"/>
                <w:szCs w:val="24"/>
                <w:lang w:eastAsia="zh-CN"/>
              </w:rPr>
            </w:pPr>
            <w:r w:rsidRPr="008846AE">
              <w:rPr>
                <w:color w:val="333333"/>
                <w:szCs w:val="24"/>
                <w:lang w:eastAsia="zh-CN"/>
              </w:rPr>
              <w:t>Temperature Seasonality</w:t>
            </w:r>
          </w:p>
        </w:tc>
      </w:tr>
      <w:tr w:rsidR="008846AE" w:rsidRPr="008846AE" w:rsidTr="0093138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90" w:type="dxa"/>
            <w:noWrap/>
            <w:hideMark/>
          </w:tcPr>
          <w:p w:rsidR="008846AE" w:rsidRPr="008846AE" w:rsidRDefault="008846AE" w:rsidP="0093138B">
            <w:pPr>
              <w:jc w:val="right"/>
              <w:rPr>
                <w:color w:val="000000"/>
                <w:szCs w:val="24"/>
                <w:lang w:eastAsia="zh-CN"/>
              </w:rPr>
            </w:pPr>
            <w:r w:rsidRPr="008846AE">
              <w:rPr>
                <w:color w:val="000000"/>
                <w:szCs w:val="24"/>
                <w:lang w:eastAsia="zh-CN"/>
              </w:rPr>
              <w:t>8</w:t>
            </w:r>
          </w:p>
        </w:tc>
        <w:tc>
          <w:tcPr>
            <w:tcW w:w="4148" w:type="dxa"/>
            <w:noWrap/>
            <w:hideMark/>
          </w:tcPr>
          <w:p w:rsidR="008846AE" w:rsidRPr="008846AE" w:rsidRDefault="008846AE" w:rsidP="0093138B">
            <w:pPr>
              <w:cnfStyle w:val="000000100000" w:firstRow="0" w:lastRow="0" w:firstColumn="0" w:lastColumn="0" w:oddVBand="0" w:evenVBand="0" w:oddHBand="1" w:evenHBand="0" w:firstRowFirstColumn="0" w:firstRowLastColumn="0" w:lastRowFirstColumn="0" w:lastRowLastColumn="0"/>
              <w:rPr>
                <w:color w:val="333333"/>
                <w:szCs w:val="24"/>
                <w:lang w:eastAsia="zh-CN"/>
              </w:rPr>
            </w:pPr>
            <w:r w:rsidRPr="008846AE">
              <w:rPr>
                <w:color w:val="333333"/>
                <w:szCs w:val="24"/>
                <w:lang w:eastAsia="zh-CN"/>
              </w:rPr>
              <w:t>Mean Temperature of Wettest Quarter</w:t>
            </w:r>
          </w:p>
        </w:tc>
      </w:tr>
      <w:tr w:rsidR="008846AE" w:rsidRPr="008846AE" w:rsidTr="0093138B">
        <w:trPr>
          <w:trHeight w:val="315"/>
        </w:trPr>
        <w:tc>
          <w:tcPr>
            <w:cnfStyle w:val="001000000000" w:firstRow="0" w:lastRow="0" w:firstColumn="1" w:lastColumn="0" w:oddVBand="0" w:evenVBand="0" w:oddHBand="0" w:evenHBand="0" w:firstRowFirstColumn="0" w:firstRowLastColumn="0" w:lastRowFirstColumn="0" w:lastRowLastColumn="0"/>
            <w:tcW w:w="690" w:type="dxa"/>
            <w:noWrap/>
            <w:hideMark/>
          </w:tcPr>
          <w:p w:rsidR="008846AE" w:rsidRPr="008846AE" w:rsidRDefault="008846AE" w:rsidP="0093138B">
            <w:pPr>
              <w:jc w:val="right"/>
              <w:rPr>
                <w:color w:val="000000"/>
                <w:szCs w:val="24"/>
                <w:lang w:eastAsia="zh-CN"/>
              </w:rPr>
            </w:pPr>
            <w:r w:rsidRPr="008846AE">
              <w:rPr>
                <w:color w:val="000000"/>
                <w:szCs w:val="24"/>
                <w:lang w:eastAsia="zh-CN"/>
              </w:rPr>
              <w:t>10</w:t>
            </w:r>
          </w:p>
        </w:tc>
        <w:tc>
          <w:tcPr>
            <w:tcW w:w="4148" w:type="dxa"/>
            <w:noWrap/>
            <w:hideMark/>
          </w:tcPr>
          <w:p w:rsidR="008846AE" w:rsidRPr="008846AE" w:rsidRDefault="008846AE" w:rsidP="0093138B">
            <w:pPr>
              <w:cnfStyle w:val="000000000000" w:firstRow="0" w:lastRow="0" w:firstColumn="0" w:lastColumn="0" w:oddVBand="0" w:evenVBand="0" w:oddHBand="0" w:evenHBand="0" w:firstRowFirstColumn="0" w:firstRowLastColumn="0" w:lastRowFirstColumn="0" w:lastRowLastColumn="0"/>
              <w:rPr>
                <w:color w:val="333333"/>
                <w:szCs w:val="24"/>
                <w:lang w:eastAsia="zh-CN"/>
              </w:rPr>
            </w:pPr>
            <w:r w:rsidRPr="008846AE">
              <w:rPr>
                <w:color w:val="333333"/>
                <w:szCs w:val="24"/>
                <w:lang w:eastAsia="zh-CN"/>
              </w:rPr>
              <w:t>Mean Temperature of Warmest Quarter</w:t>
            </w:r>
          </w:p>
        </w:tc>
      </w:tr>
      <w:tr w:rsidR="008846AE" w:rsidRPr="008846AE" w:rsidTr="0093138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90" w:type="dxa"/>
            <w:noWrap/>
            <w:hideMark/>
          </w:tcPr>
          <w:p w:rsidR="008846AE" w:rsidRPr="008846AE" w:rsidRDefault="008846AE" w:rsidP="0093138B">
            <w:pPr>
              <w:jc w:val="right"/>
              <w:rPr>
                <w:color w:val="000000"/>
                <w:szCs w:val="24"/>
                <w:lang w:eastAsia="zh-CN"/>
              </w:rPr>
            </w:pPr>
            <w:r w:rsidRPr="008846AE">
              <w:rPr>
                <w:color w:val="000000"/>
                <w:szCs w:val="24"/>
                <w:lang w:eastAsia="zh-CN"/>
              </w:rPr>
              <w:t>15</w:t>
            </w:r>
          </w:p>
        </w:tc>
        <w:tc>
          <w:tcPr>
            <w:tcW w:w="4148" w:type="dxa"/>
            <w:noWrap/>
            <w:hideMark/>
          </w:tcPr>
          <w:p w:rsidR="008846AE" w:rsidRPr="008846AE" w:rsidRDefault="008846AE" w:rsidP="0093138B">
            <w:pPr>
              <w:cnfStyle w:val="000000100000" w:firstRow="0" w:lastRow="0" w:firstColumn="0" w:lastColumn="0" w:oddVBand="0" w:evenVBand="0" w:oddHBand="1" w:evenHBand="0" w:firstRowFirstColumn="0" w:firstRowLastColumn="0" w:lastRowFirstColumn="0" w:lastRowLastColumn="0"/>
              <w:rPr>
                <w:color w:val="333333"/>
                <w:szCs w:val="24"/>
                <w:lang w:eastAsia="zh-CN"/>
              </w:rPr>
            </w:pPr>
            <w:r w:rsidRPr="008846AE">
              <w:rPr>
                <w:color w:val="333333"/>
                <w:szCs w:val="24"/>
                <w:lang w:eastAsia="zh-CN"/>
              </w:rPr>
              <w:t>Precipitation Seasonality</w:t>
            </w:r>
          </w:p>
        </w:tc>
      </w:tr>
      <w:tr w:rsidR="008846AE" w:rsidRPr="008846AE" w:rsidTr="0093138B">
        <w:trPr>
          <w:trHeight w:val="315"/>
        </w:trPr>
        <w:tc>
          <w:tcPr>
            <w:cnfStyle w:val="001000000000" w:firstRow="0" w:lastRow="0" w:firstColumn="1" w:lastColumn="0" w:oddVBand="0" w:evenVBand="0" w:oddHBand="0" w:evenHBand="0" w:firstRowFirstColumn="0" w:firstRowLastColumn="0" w:lastRowFirstColumn="0" w:lastRowLastColumn="0"/>
            <w:tcW w:w="690" w:type="dxa"/>
            <w:tcBorders>
              <w:bottom w:val="single" w:sz="18" w:space="0" w:color="auto"/>
            </w:tcBorders>
            <w:noWrap/>
            <w:hideMark/>
          </w:tcPr>
          <w:p w:rsidR="008846AE" w:rsidRPr="008846AE" w:rsidRDefault="008846AE" w:rsidP="0093138B">
            <w:pPr>
              <w:jc w:val="right"/>
              <w:rPr>
                <w:color w:val="000000"/>
                <w:szCs w:val="24"/>
                <w:lang w:eastAsia="zh-CN"/>
              </w:rPr>
            </w:pPr>
            <w:r w:rsidRPr="008846AE">
              <w:rPr>
                <w:color w:val="000000"/>
                <w:szCs w:val="24"/>
                <w:lang w:eastAsia="zh-CN"/>
              </w:rPr>
              <w:t>19</w:t>
            </w:r>
          </w:p>
        </w:tc>
        <w:tc>
          <w:tcPr>
            <w:tcW w:w="4148" w:type="dxa"/>
            <w:tcBorders>
              <w:bottom w:val="single" w:sz="18" w:space="0" w:color="auto"/>
            </w:tcBorders>
            <w:noWrap/>
            <w:hideMark/>
          </w:tcPr>
          <w:p w:rsidR="008846AE" w:rsidRPr="008846AE" w:rsidRDefault="008846AE" w:rsidP="0093138B">
            <w:pPr>
              <w:cnfStyle w:val="000000000000" w:firstRow="0" w:lastRow="0" w:firstColumn="0" w:lastColumn="0" w:oddVBand="0" w:evenVBand="0" w:oddHBand="0" w:evenHBand="0" w:firstRowFirstColumn="0" w:firstRowLastColumn="0" w:lastRowFirstColumn="0" w:lastRowLastColumn="0"/>
              <w:rPr>
                <w:color w:val="333333"/>
                <w:szCs w:val="24"/>
                <w:lang w:eastAsia="zh-CN"/>
              </w:rPr>
            </w:pPr>
            <w:r w:rsidRPr="008846AE">
              <w:rPr>
                <w:color w:val="333333"/>
                <w:szCs w:val="24"/>
                <w:lang w:eastAsia="zh-CN"/>
              </w:rPr>
              <w:t>Precipitation of Coldest Quarter</w:t>
            </w:r>
          </w:p>
        </w:tc>
      </w:tr>
    </w:tbl>
    <w:p w:rsidR="008846AE" w:rsidRPr="008846AE" w:rsidRDefault="008846AE" w:rsidP="007E0F0A">
      <w:pPr>
        <w:keepNext/>
        <w:rPr>
          <w:lang w:val="en-GB"/>
        </w:rPr>
      </w:pPr>
    </w:p>
    <w:p w:rsidR="008846AE" w:rsidRDefault="008846AE" w:rsidP="007E0F0A">
      <w:pPr>
        <w:keepNext/>
      </w:pPr>
    </w:p>
    <w:p w:rsidR="008846AE" w:rsidRDefault="008846AE" w:rsidP="007E0F0A">
      <w:pPr>
        <w:keepNext/>
      </w:pPr>
    </w:p>
    <w:p w:rsidR="008846AE" w:rsidRDefault="008846AE" w:rsidP="007E0F0A">
      <w:pPr>
        <w:keepNext/>
      </w:pPr>
    </w:p>
    <w:p w:rsidR="008846AE" w:rsidRDefault="008846AE" w:rsidP="007E0F0A">
      <w:pPr>
        <w:keepNext/>
      </w:pPr>
    </w:p>
    <w:p w:rsidR="008846AE" w:rsidRDefault="008846AE" w:rsidP="007E0F0A">
      <w:pPr>
        <w:keepNext/>
      </w:pPr>
    </w:p>
    <w:p w:rsidR="008846AE" w:rsidRDefault="008846AE" w:rsidP="007E0F0A">
      <w:pPr>
        <w:keepNext/>
      </w:pPr>
    </w:p>
    <w:p w:rsidR="008846AE" w:rsidRDefault="008846AE" w:rsidP="007E0F0A">
      <w:pPr>
        <w:keepNext/>
      </w:pPr>
    </w:p>
    <w:p w:rsidR="008846AE" w:rsidRDefault="008846AE" w:rsidP="007E0F0A">
      <w:pPr>
        <w:keepNext/>
      </w:pPr>
    </w:p>
    <w:p w:rsidR="008846AE" w:rsidRDefault="008846AE" w:rsidP="007E0F0A">
      <w:pPr>
        <w:keepNext/>
      </w:pPr>
    </w:p>
    <w:p w:rsidR="008846AE" w:rsidRDefault="008846AE" w:rsidP="007E0F0A">
      <w:pPr>
        <w:keepNext/>
      </w:pPr>
    </w:p>
    <w:p w:rsidR="008846AE" w:rsidRDefault="008846AE" w:rsidP="007E0F0A">
      <w:pPr>
        <w:keepNext/>
      </w:pPr>
    </w:p>
    <w:p w:rsidR="008846AE" w:rsidRDefault="007E0F0A" w:rsidP="007E0F0A">
      <w:pPr>
        <w:keepNext/>
      </w:pPr>
      <w:r>
        <w:rPr>
          <w:noProof/>
          <w:lang w:val="en-IN" w:eastAsia="en-IN"/>
        </w:rPr>
        <w:drawing>
          <wp:inline distT="0" distB="0" distL="0" distR="0" wp14:anchorId="33706F82" wp14:editId="7B72A6DD">
            <wp:extent cx="5731510" cy="32238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rbanworkflow.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rsidR="007E0F0A" w:rsidRPr="00451E71" w:rsidRDefault="007E0F0A" w:rsidP="00451E71">
      <w:pPr>
        <w:pStyle w:val="SMHeading"/>
        <w:jc w:val="center"/>
        <w:rPr>
          <w:lang w:val="en-GB"/>
        </w:rPr>
      </w:pPr>
      <w:bookmarkStart w:id="39" w:name="_Toc60758374"/>
      <w:r w:rsidRPr="00451E71">
        <w:rPr>
          <w:lang w:val="en-GB"/>
        </w:rPr>
        <w:t xml:space="preserve">Figure </w:t>
      </w:r>
      <w:r w:rsidR="005417FE">
        <w:rPr>
          <w:lang w:val="en-GB"/>
        </w:rPr>
        <w:t>S</w:t>
      </w:r>
      <w:r w:rsidR="00622C6B">
        <w:rPr>
          <w:lang w:val="en-GB"/>
        </w:rPr>
        <w:t>4</w:t>
      </w:r>
      <w:r w:rsidR="005417FE" w:rsidRPr="00451E71">
        <w:rPr>
          <w:lang w:val="en-GB"/>
        </w:rPr>
        <w:t xml:space="preserve"> </w:t>
      </w:r>
      <w:r w:rsidRPr="00451E71">
        <w:rPr>
          <w:lang w:val="en-GB"/>
        </w:rPr>
        <w:t>Workflow of human settlement system</w:t>
      </w:r>
      <w:bookmarkEnd w:id="39"/>
    </w:p>
    <w:p w:rsidR="007E0F0A" w:rsidRPr="002E1727" w:rsidRDefault="007E0F0A" w:rsidP="007E0F0A"/>
    <w:p w:rsidR="007E0F0A" w:rsidRDefault="007E0F0A" w:rsidP="007E0F0A">
      <w:pPr>
        <w:keepNext/>
      </w:pPr>
      <w:r>
        <w:rPr>
          <w:noProof/>
          <w:lang w:val="en-IN" w:eastAsia="en-IN"/>
        </w:rPr>
        <w:drawing>
          <wp:inline distT="0" distB="0" distL="0" distR="0" wp14:anchorId="787867EA" wp14:editId="3E37711F">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est-figures3.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rsidR="007E0F0A" w:rsidRPr="00451E71" w:rsidRDefault="007E0F0A" w:rsidP="00451E71">
      <w:pPr>
        <w:pStyle w:val="SMHeading"/>
        <w:jc w:val="center"/>
        <w:rPr>
          <w:lang w:val="en-GB"/>
        </w:rPr>
      </w:pPr>
      <w:bookmarkStart w:id="40" w:name="_Toc60758375"/>
      <w:r w:rsidRPr="00451E71">
        <w:rPr>
          <w:lang w:val="en-GB"/>
        </w:rPr>
        <w:t xml:space="preserve">Figure </w:t>
      </w:r>
      <w:r w:rsidR="005417FE">
        <w:rPr>
          <w:lang w:val="en-GB"/>
        </w:rPr>
        <w:t>S</w:t>
      </w:r>
      <w:r w:rsidR="00622C6B">
        <w:rPr>
          <w:lang w:val="en-GB"/>
        </w:rPr>
        <w:t>5</w:t>
      </w:r>
      <w:r w:rsidR="005417FE" w:rsidRPr="00451E71">
        <w:rPr>
          <w:lang w:val="en-GB"/>
        </w:rPr>
        <w:t xml:space="preserve"> </w:t>
      </w:r>
      <w:r w:rsidRPr="00451E71">
        <w:rPr>
          <w:lang w:val="en-GB"/>
        </w:rPr>
        <w:t>Workflow of forest system</w:t>
      </w:r>
      <w:bookmarkEnd w:id="40"/>
    </w:p>
    <w:p w:rsidR="007E0F0A" w:rsidRPr="00AF28C2" w:rsidRDefault="007E0F0A" w:rsidP="007E0F0A"/>
    <w:p w:rsidR="007E0F0A" w:rsidRDefault="007E0F0A" w:rsidP="007E0F0A">
      <w:pPr>
        <w:keepNext/>
      </w:pPr>
      <w:r>
        <w:rPr>
          <w:noProof/>
          <w:lang w:val="en-IN" w:eastAsia="en-IN"/>
        </w:rPr>
        <w:drawing>
          <wp:inline distT="0" distB="0" distL="0" distR="0" wp14:anchorId="6FFB8880" wp14:editId="1FB09954">
            <wp:extent cx="5731510" cy="32238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ssland-figureS4.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rsidR="007E0F0A" w:rsidRPr="00451E71" w:rsidRDefault="007E0F0A" w:rsidP="00451E71">
      <w:pPr>
        <w:pStyle w:val="SMHeading"/>
        <w:jc w:val="center"/>
        <w:rPr>
          <w:lang w:val="en-GB"/>
        </w:rPr>
      </w:pPr>
      <w:bookmarkStart w:id="41" w:name="_Toc60758376"/>
      <w:r w:rsidRPr="00451E71">
        <w:rPr>
          <w:lang w:val="en-GB"/>
        </w:rPr>
        <w:t xml:space="preserve">Figure </w:t>
      </w:r>
      <w:r w:rsidR="005417FE">
        <w:rPr>
          <w:lang w:val="en-GB"/>
        </w:rPr>
        <w:t>S</w:t>
      </w:r>
      <w:r w:rsidR="00622C6B">
        <w:rPr>
          <w:lang w:val="en-GB"/>
        </w:rPr>
        <w:t>6</w:t>
      </w:r>
      <w:r w:rsidR="005417FE" w:rsidRPr="00451E71">
        <w:rPr>
          <w:lang w:val="en-GB"/>
        </w:rPr>
        <w:t xml:space="preserve"> </w:t>
      </w:r>
      <w:r w:rsidRPr="00451E71">
        <w:rPr>
          <w:lang w:val="en-GB"/>
        </w:rPr>
        <w:t>workflow of grassland system</w:t>
      </w:r>
      <w:bookmarkEnd w:id="41"/>
    </w:p>
    <w:p w:rsidR="007E0F0A" w:rsidRDefault="007E0F0A" w:rsidP="007E0F0A">
      <w:pPr>
        <w:keepNext/>
      </w:pPr>
      <w:r>
        <w:rPr>
          <w:noProof/>
          <w:lang w:val="en-IN" w:eastAsia="en-IN"/>
        </w:rPr>
        <w:drawing>
          <wp:inline distT="0" distB="0" distL="0" distR="0" wp14:anchorId="54F6E4AF" wp14:editId="1EAFFE1E">
            <wp:extent cx="5731510" cy="32238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ropland-figureS5.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rsidR="007E0F0A" w:rsidRPr="00451E71" w:rsidRDefault="007E0F0A" w:rsidP="00451E71">
      <w:pPr>
        <w:pStyle w:val="SMHeading"/>
        <w:jc w:val="center"/>
        <w:rPr>
          <w:lang w:val="en-GB"/>
        </w:rPr>
      </w:pPr>
      <w:bookmarkStart w:id="42" w:name="_Toc60758377"/>
      <w:r w:rsidRPr="00451E71">
        <w:rPr>
          <w:lang w:val="en-GB"/>
        </w:rPr>
        <w:t xml:space="preserve">Figure </w:t>
      </w:r>
      <w:r w:rsidR="005417FE">
        <w:rPr>
          <w:lang w:val="en-GB"/>
        </w:rPr>
        <w:t>S</w:t>
      </w:r>
      <w:r w:rsidR="00622C6B">
        <w:rPr>
          <w:lang w:val="en-GB"/>
        </w:rPr>
        <w:t>7</w:t>
      </w:r>
      <w:r w:rsidR="005417FE" w:rsidRPr="00451E71">
        <w:rPr>
          <w:lang w:val="en-GB"/>
        </w:rPr>
        <w:t xml:space="preserve"> </w:t>
      </w:r>
      <w:r w:rsidRPr="00451E71">
        <w:rPr>
          <w:lang w:val="en-GB"/>
        </w:rPr>
        <w:t>workflow of cropland system (annual crops, EU-region)</w:t>
      </w:r>
      <w:bookmarkEnd w:id="42"/>
    </w:p>
    <w:p w:rsidR="007E0F0A" w:rsidRDefault="007E0F0A" w:rsidP="007E0F0A">
      <w:pPr>
        <w:keepNext/>
      </w:pPr>
      <w:r>
        <w:rPr>
          <w:noProof/>
          <w:lang w:val="en-IN" w:eastAsia="en-IN"/>
        </w:rPr>
        <w:drawing>
          <wp:inline distT="0" distB="0" distL="0" distR="0" wp14:anchorId="60B497FE" wp14:editId="0B37D5FA">
            <wp:extent cx="5731510" cy="322389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rmcrops-figureS6.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rsidR="007E0F0A" w:rsidRPr="00451E71" w:rsidRDefault="007E0F0A" w:rsidP="00451E71">
      <w:pPr>
        <w:pStyle w:val="SMHeading"/>
        <w:jc w:val="center"/>
        <w:rPr>
          <w:lang w:val="en-GB"/>
        </w:rPr>
      </w:pPr>
      <w:bookmarkStart w:id="43" w:name="_Toc60758378"/>
      <w:r w:rsidRPr="00451E71">
        <w:rPr>
          <w:lang w:val="en-GB"/>
        </w:rPr>
        <w:t xml:space="preserve">Figure </w:t>
      </w:r>
      <w:r w:rsidR="005417FE">
        <w:rPr>
          <w:lang w:val="en-GB"/>
        </w:rPr>
        <w:t>S</w:t>
      </w:r>
      <w:r w:rsidR="00622C6B">
        <w:rPr>
          <w:lang w:val="en-GB"/>
        </w:rPr>
        <w:t>8</w:t>
      </w:r>
      <w:r w:rsidR="005417FE" w:rsidRPr="00451E71">
        <w:rPr>
          <w:lang w:val="en-GB"/>
        </w:rPr>
        <w:t xml:space="preserve"> </w:t>
      </w:r>
      <w:r w:rsidRPr="00451E71">
        <w:rPr>
          <w:lang w:val="en-GB"/>
        </w:rPr>
        <w:t>workflow of cropland system (permanent crops)</w:t>
      </w:r>
      <w:bookmarkEnd w:id="43"/>
    </w:p>
    <w:p w:rsidR="007E0F0A" w:rsidRDefault="007E0F0A" w:rsidP="007E0F0A">
      <w:pPr>
        <w:keepNext/>
      </w:pPr>
      <w:r>
        <w:rPr>
          <w:noProof/>
          <w:lang w:val="en-IN" w:eastAsia="en-IN"/>
        </w:rPr>
        <w:drawing>
          <wp:inline distT="0" distB="0" distL="0" distR="0" wp14:anchorId="78187E1B" wp14:editId="5EAACB0B">
            <wp:extent cx="5731510" cy="322389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saics-figureS7.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rsidR="007E0F0A" w:rsidRPr="00451E71" w:rsidRDefault="007E0F0A" w:rsidP="00451E71">
      <w:pPr>
        <w:pStyle w:val="SMHeading"/>
        <w:jc w:val="center"/>
        <w:rPr>
          <w:lang w:val="en-GB"/>
        </w:rPr>
      </w:pPr>
      <w:bookmarkStart w:id="44" w:name="_Toc60758379"/>
      <w:r w:rsidRPr="00451E71">
        <w:rPr>
          <w:lang w:val="en-GB"/>
        </w:rPr>
        <w:t xml:space="preserve">Figure </w:t>
      </w:r>
      <w:r w:rsidR="005417FE">
        <w:rPr>
          <w:lang w:val="en-GB"/>
        </w:rPr>
        <w:t>S</w:t>
      </w:r>
      <w:r w:rsidR="00622C6B">
        <w:rPr>
          <w:lang w:val="en-GB"/>
        </w:rPr>
        <w:t xml:space="preserve">9 </w:t>
      </w:r>
      <w:r w:rsidRPr="00451E71">
        <w:rPr>
          <w:lang w:val="en-GB"/>
        </w:rPr>
        <w:t>workflow of agricultural mosaics</w:t>
      </w:r>
      <w:bookmarkEnd w:id="44"/>
    </w:p>
    <w:p w:rsidR="007E0F0A" w:rsidRDefault="007E0F0A" w:rsidP="007E0F0A">
      <w:bookmarkStart w:id="45" w:name="_GoBack"/>
      <w:bookmarkEnd w:id="45"/>
    </w:p>
    <w:p w:rsidR="007E0F0A" w:rsidRDefault="007E0F0A" w:rsidP="007E0F0A">
      <w:pPr>
        <w:keepNext/>
      </w:pPr>
      <w:r>
        <w:rPr>
          <w:noProof/>
          <w:lang w:val="en-IN" w:eastAsia="en-IN"/>
        </w:rPr>
        <w:drawing>
          <wp:inline distT="0" distB="0" distL="0" distR="0" wp14:anchorId="593C3AF0" wp14:editId="76ADF023">
            <wp:extent cx="5731510" cy="4619767"/>
            <wp:effectExtent l="0" t="0" r="254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E0F0A" w:rsidRPr="00451E71" w:rsidRDefault="007E0F0A" w:rsidP="00451E71">
      <w:pPr>
        <w:pStyle w:val="SMHeading"/>
        <w:jc w:val="center"/>
        <w:rPr>
          <w:lang w:val="en-GB"/>
        </w:rPr>
      </w:pPr>
      <w:bookmarkStart w:id="46" w:name="_Toc60758380"/>
      <w:r w:rsidRPr="00451E71">
        <w:rPr>
          <w:lang w:val="en-GB"/>
        </w:rPr>
        <w:t xml:space="preserve">Figure </w:t>
      </w:r>
      <w:r w:rsidR="005417FE">
        <w:rPr>
          <w:lang w:val="en-GB"/>
        </w:rPr>
        <w:t>S1</w:t>
      </w:r>
      <w:r w:rsidR="00622C6B">
        <w:rPr>
          <w:lang w:val="en-GB"/>
        </w:rPr>
        <w:t>0</w:t>
      </w:r>
      <w:r w:rsidR="005417FE" w:rsidRPr="00451E71">
        <w:rPr>
          <w:lang w:val="en-GB"/>
        </w:rPr>
        <w:t xml:space="preserve"> </w:t>
      </w:r>
      <w:r w:rsidRPr="00451E71">
        <w:rPr>
          <w:lang w:val="en-GB"/>
        </w:rPr>
        <w:t>Sensitivity analysis of cropland percentage when aggregated to 1km pixel</w:t>
      </w:r>
      <w:bookmarkEnd w:id="46"/>
    </w:p>
    <w:p w:rsidR="007E0F0A" w:rsidRPr="00D717E4" w:rsidRDefault="007E0F0A" w:rsidP="007E0F0A">
      <w:r>
        <w:rPr>
          <w:noProof/>
          <w:lang w:val="en-IN" w:eastAsia="en-IN"/>
        </w:rPr>
        <w:drawing>
          <wp:inline distT="0" distB="0" distL="0" distR="0" wp14:anchorId="09E25E96" wp14:editId="4C535B4F">
            <wp:extent cx="5731510" cy="4651283"/>
            <wp:effectExtent l="0" t="0" r="2540" b="1651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E0F0A" w:rsidRPr="00451E71" w:rsidRDefault="007E0F0A" w:rsidP="00451E71">
      <w:pPr>
        <w:pStyle w:val="SMHeading"/>
        <w:jc w:val="center"/>
        <w:rPr>
          <w:lang w:val="en-GB"/>
        </w:rPr>
      </w:pPr>
      <w:bookmarkStart w:id="47" w:name="_Toc60758381"/>
      <w:r w:rsidRPr="00451E71">
        <w:rPr>
          <w:lang w:val="en-GB"/>
        </w:rPr>
        <w:t xml:space="preserve">Figure </w:t>
      </w:r>
      <w:r w:rsidR="005417FE">
        <w:rPr>
          <w:lang w:val="en-GB"/>
        </w:rPr>
        <w:t>S1</w:t>
      </w:r>
      <w:r w:rsidR="00622C6B">
        <w:rPr>
          <w:lang w:val="en-GB"/>
        </w:rPr>
        <w:t>1</w:t>
      </w:r>
      <w:r w:rsidR="005417FE" w:rsidRPr="00451E71">
        <w:rPr>
          <w:lang w:val="en-GB"/>
        </w:rPr>
        <w:t xml:space="preserve"> </w:t>
      </w:r>
      <w:r w:rsidRPr="00451E71">
        <w:rPr>
          <w:lang w:val="en-GB"/>
        </w:rPr>
        <w:t>Sensitivity analysis of forest percentage when aggregated to 1km pixel</w:t>
      </w:r>
      <w:bookmarkEnd w:id="47"/>
    </w:p>
    <w:p w:rsidR="00666700" w:rsidRPr="00EC7776" w:rsidRDefault="00666700" w:rsidP="00666700">
      <w:pPr>
        <w:pStyle w:val="Heading1"/>
      </w:pPr>
    </w:p>
    <w:sectPr w:rsidR="00666700" w:rsidRPr="00EC7776" w:rsidSect="005F3251">
      <w:type w:val="nextPag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89D" w:rsidRDefault="0007289D" w:rsidP="002B5AB9">
      <w:r>
        <w:separator/>
      </w:r>
    </w:p>
  </w:endnote>
  <w:endnote w:type="continuationSeparator" w:id="0">
    <w:p w:rsidR="0007289D" w:rsidRDefault="0007289D" w:rsidP="002B5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853525"/>
      <w:docPartObj>
        <w:docPartGallery w:val="Page Numbers (Bottom of Page)"/>
        <w:docPartUnique/>
      </w:docPartObj>
    </w:sdtPr>
    <w:sdtEndPr>
      <w:rPr>
        <w:noProof/>
      </w:rPr>
    </w:sdtEndPr>
    <w:sdtContent>
      <w:p w:rsidR="008B2586" w:rsidRDefault="008B2586">
        <w:pPr>
          <w:pStyle w:val="Footer"/>
          <w:jc w:val="center"/>
        </w:pPr>
        <w:r>
          <w:fldChar w:fldCharType="begin"/>
        </w:r>
        <w:r>
          <w:instrText xml:space="preserve"> PAGE   \* MERGEFORMAT </w:instrText>
        </w:r>
        <w:r>
          <w:fldChar w:fldCharType="separate"/>
        </w:r>
        <w:r w:rsidR="00993EF3">
          <w:rPr>
            <w:noProof/>
          </w:rPr>
          <w:t>26</w:t>
        </w:r>
        <w:r>
          <w:rPr>
            <w:noProof/>
          </w:rPr>
          <w:fldChar w:fldCharType="end"/>
        </w:r>
      </w:p>
    </w:sdtContent>
  </w:sdt>
  <w:p w:rsidR="008B2586" w:rsidRDefault="008B25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89D" w:rsidRDefault="0007289D" w:rsidP="002B5AB9">
      <w:r>
        <w:separator/>
      </w:r>
    </w:p>
  </w:footnote>
  <w:footnote w:type="continuationSeparator" w:id="0">
    <w:p w:rsidR="0007289D" w:rsidRDefault="0007289D" w:rsidP="002B5A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B0253"/>
    <w:multiLevelType w:val="multilevel"/>
    <w:tmpl w:val="B3681E4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C0C5ECA"/>
    <w:multiLevelType w:val="multilevel"/>
    <w:tmpl w:val="8CCAC166"/>
    <w:lvl w:ilvl="0">
      <w:start w:val="1"/>
      <w:numFmt w:val="decimal"/>
      <w:lvlText w:val="%1."/>
      <w:lvlJc w:val="left"/>
      <w:pPr>
        <w:ind w:left="720" w:hanging="360"/>
      </w:pPr>
    </w:lvl>
    <w:lvl w:ilvl="1">
      <w:start w:val="1"/>
      <w:numFmt w:val="decimal"/>
      <w:lvlText w:val="%1.%2"/>
      <w:lvlJc w:val="left"/>
      <w:pPr>
        <w:ind w:left="720" w:hanging="360"/>
      </w:pPr>
      <w:rPr>
        <w:rFonts w:ascii="Arial" w:eastAsia="Arial" w:hAnsi="Arial" w:cs="Arial"/>
        <w:b/>
        <w:color w:val="00000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700"/>
    <w:rsid w:val="00011ABF"/>
    <w:rsid w:val="00045E34"/>
    <w:rsid w:val="00047223"/>
    <w:rsid w:val="00055F71"/>
    <w:rsid w:val="000573BF"/>
    <w:rsid w:val="0007289D"/>
    <w:rsid w:val="000D336E"/>
    <w:rsid w:val="00127ED9"/>
    <w:rsid w:val="0015515B"/>
    <w:rsid w:val="00164B40"/>
    <w:rsid w:val="002069D7"/>
    <w:rsid w:val="00272DCE"/>
    <w:rsid w:val="002B5AB9"/>
    <w:rsid w:val="002C62A5"/>
    <w:rsid w:val="002E7619"/>
    <w:rsid w:val="00304CC4"/>
    <w:rsid w:val="003477C4"/>
    <w:rsid w:val="003623A5"/>
    <w:rsid w:val="003702C3"/>
    <w:rsid w:val="00397699"/>
    <w:rsid w:val="003B67DC"/>
    <w:rsid w:val="00417F8F"/>
    <w:rsid w:val="00440BB8"/>
    <w:rsid w:val="0045026E"/>
    <w:rsid w:val="00451229"/>
    <w:rsid w:val="00451E71"/>
    <w:rsid w:val="00504A29"/>
    <w:rsid w:val="0050514A"/>
    <w:rsid w:val="00526075"/>
    <w:rsid w:val="005417FE"/>
    <w:rsid w:val="00557C88"/>
    <w:rsid w:val="0058538A"/>
    <w:rsid w:val="00593073"/>
    <w:rsid w:val="005973CF"/>
    <w:rsid w:val="005B0784"/>
    <w:rsid w:val="005C32D9"/>
    <w:rsid w:val="005E76F6"/>
    <w:rsid w:val="005F0D93"/>
    <w:rsid w:val="005F3251"/>
    <w:rsid w:val="006024EA"/>
    <w:rsid w:val="00606085"/>
    <w:rsid w:val="00610C57"/>
    <w:rsid w:val="0061197A"/>
    <w:rsid w:val="00622C6B"/>
    <w:rsid w:val="00635B0B"/>
    <w:rsid w:val="0065572B"/>
    <w:rsid w:val="00666700"/>
    <w:rsid w:val="00667D19"/>
    <w:rsid w:val="0067785F"/>
    <w:rsid w:val="006A1874"/>
    <w:rsid w:val="006D0172"/>
    <w:rsid w:val="006F26E4"/>
    <w:rsid w:val="00751A1C"/>
    <w:rsid w:val="007D5975"/>
    <w:rsid w:val="007E0F0A"/>
    <w:rsid w:val="00844E7D"/>
    <w:rsid w:val="00873872"/>
    <w:rsid w:val="008846AE"/>
    <w:rsid w:val="00892CD5"/>
    <w:rsid w:val="0089432F"/>
    <w:rsid w:val="008A0649"/>
    <w:rsid w:val="008B2586"/>
    <w:rsid w:val="008B4AE5"/>
    <w:rsid w:val="008C3903"/>
    <w:rsid w:val="008C3AF0"/>
    <w:rsid w:val="008E7461"/>
    <w:rsid w:val="00914569"/>
    <w:rsid w:val="0093138B"/>
    <w:rsid w:val="00932FD9"/>
    <w:rsid w:val="009447AD"/>
    <w:rsid w:val="00993EF3"/>
    <w:rsid w:val="009F3A64"/>
    <w:rsid w:val="00A23907"/>
    <w:rsid w:val="00A446D0"/>
    <w:rsid w:val="00A753F8"/>
    <w:rsid w:val="00AA57CB"/>
    <w:rsid w:val="00AE53F6"/>
    <w:rsid w:val="00AE6510"/>
    <w:rsid w:val="00B331CE"/>
    <w:rsid w:val="00B72354"/>
    <w:rsid w:val="00B756D6"/>
    <w:rsid w:val="00BA7E8F"/>
    <w:rsid w:val="00BD34FE"/>
    <w:rsid w:val="00C00378"/>
    <w:rsid w:val="00C35FA0"/>
    <w:rsid w:val="00C500E7"/>
    <w:rsid w:val="00C854DA"/>
    <w:rsid w:val="00CD52D5"/>
    <w:rsid w:val="00D25714"/>
    <w:rsid w:val="00D31521"/>
    <w:rsid w:val="00DD3527"/>
    <w:rsid w:val="00E03AD5"/>
    <w:rsid w:val="00E06C6D"/>
    <w:rsid w:val="00E27615"/>
    <w:rsid w:val="00E30910"/>
    <w:rsid w:val="00E7653F"/>
    <w:rsid w:val="00EC7776"/>
    <w:rsid w:val="00F55DBA"/>
    <w:rsid w:val="00F73DD2"/>
    <w:rsid w:val="00FF0AC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1C5706-FFC5-4F2C-B068-2A377821C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700"/>
    <w:pPr>
      <w:spacing w:after="0" w:line="240" w:lineRule="auto"/>
    </w:pPr>
    <w:rPr>
      <w:rFonts w:ascii="Times New Roman" w:eastAsia="Times New Roman" w:hAnsi="Times New Roman" w:cs="Times New Roman"/>
      <w:sz w:val="24"/>
      <w:szCs w:val="20"/>
      <w:lang w:val="en-US" w:eastAsia="en-US"/>
    </w:rPr>
  </w:style>
  <w:style w:type="paragraph" w:styleId="Heading1">
    <w:name w:val="heading 1"/>
    <w:basedOn w:val="Normal"/>
    <w:next w:val="Normal"/>
    <w:link w:val="Heading1Char"/>
    <w:uiPriority w:val="9"/>
    <w:qFormat/>
    <w:rsid w:val="006667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6670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66700"/>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66670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666700"/>
    <w:rPr>
      <w:rFonts w:ascii="Calibri" w:eastAsia="SimSun" w:hAnsi="Calibri" w:cs="Calibri"/>
      <w:sz w:val="56"/>
      <w:szCs w:val="56"/>
    </w:rPr>
  </w:style>
  <w:style w:type="character" w:customStyle="1" w:styleId="TitleChar">
    <w:name w:val="Title Char"/>
    <w:basedOn w:val="DefaultParagraphFont"/>
    <w:link w:val="Title"/>
    <w:rsid w:val="00666700"/>
    <w:rPr>
      <w:rFonts w:ascii="Calibri" w:eastAsia="SimSun" w:hAnsi="Calibri" w:cs="Calibri"/>
      <w:sz w:val="56"/>
      <w:szCs w:val="56"/>
      <w:lang w:val="en-US" w:eastAsia="en-US"/>
    </w:rPr>
  </w:style>
  <w:style w:type="character" w:customStyle="1" w:styleId="Heading1Char">
    <w:name w:val="Heading 1 Char"/>
    <w:basedOn w:val="DefaultParagraphFont"/>
    <w:link w:val="Heading1"/>
    <w:uiPriority w:val="9"/>
    <w:rsid w:val="00666700"/>
    <w:rPr>
      <w:rFonts w:asciiTheme="majorHAnsi" w:eastAsiaTheme="majorEastAsia" w:hAnsiTheme="majorHAnsi" w:cstheme="majorBidi"/>
      <w:color w:val="2E74B5" w:themeColor="accent1" w:themeShade="BF"/>
      <w:sz w:val="32"/>
      <w:szCs w:val="32"/>
      <w:lang w:val="en-US" w:eastAsia="en-US"/>
    </w:rPr>
  </w:style>
  <w:style w:type="paragraph" w:customStyle="1" w:styleId="SMHeading">
    <w:name w:val="SM Heading"/>
    <w:basedOn w:val="Heading1"/>
    <w:qFormat/>
    <w:rsid w:val="00666700"/>
    <w:pPr>
      <w:keepLines w:val="0"/>
      <w:spacing w:after="60"/>
    </w:pPr>
    <w:rPr>
      <w:rFonts w:ascii="Times New Roman" w:eastAsia="Times New Roman" w:hAnsi="Times New Roman" w:cs="Times New Roman"/>
      <w:b/>
      <w:bCs/>
      <w:color w:val="auto"/>
      <w:kern w:val="32"/>
      <w:sz w:val="24"/>
      <w:szCs w:val="24"/>
    </w:rPr>
  </w:style>
  <w:style w:type="character" w:customStyle="1" w:styleId="Heading2Char">
    <w:name w:val="Heading 2 Char"/>
    <w:basedOn w:val="DefaultParagraphFont"/>
    <w:link w:val="Heading2"/>
    <w:uiPriority w:val="9"/>
    <w:rsid w:val="00666700"/>
    <w:rPr>
      <w:rFonts w:asciiTheme="majorHAnsi" w:eastAsiaTheme="majorEastAsia" w:hAnsiTheme="majorHAnsi" w:cstheme="majorBidi"/>
      <w:color w:val="2E74B5" w:themeColor="accent1" w:themeShade="BF"/>
      <w:sz w:val="26"/>
      <w:szCs w:val="26"/>
      <w:lang w:val="en-US" w:eastAsia="en-US"/>
    </w:rPr>
  </w:style>
  <w:style w:type="character" w:customStyle="1" w:styleId="Heading3Char">
    <w:name w:val="Heading 3 Char"/>
    <w:basedOn w:val="DefaultParagraphFont"/>
    <w:link w:val="Heading3"/>
    <w:uiPriority w:val="9"/>
    <w:rsid w:val="00666700"/>
    <w:rPr>
      <w:rFonts w:asciiTheme="majorHAnsi" w:eastAsiaTheme="majorEastAsia" w:hAnsiTheme="majorHAnsi" w:cstheme="majorBidi"/>
      <w:color w:val="1F4D78" w:themeColor="accent1" w:themeShade="7F"/>
      <w:sz w:val="24"/>
      <w:szCs w:val="24"/>
      <w:lang w:val="en-US" w:eastAsia="en-US"/>
    </w:rPr>
  </w:style>
  <w:style w:type="character" w:customStyle="1" w:styleId="Heading4Char">
    <w:name w:val="Heading 4 Char"/>
    <w:basedOn w:val="DefaultParagraphFont"/>
    <w:link w:val="Heading4"/>
    <w:uiPriority w:val="9"/>
    <w:semiHidden/>
    <w:rsid w:val="00666700"/>
    <w:rPr>
      <w:rFonts w:asciiTheme="majorHAnsi" w:eastAsiaTheme="majorEastAsia" w:hAnsiTheme="majorHAnsi" w:cstheme="majorBidi"/>
      <w:i/>
      <w:iCs/>
      <w:color w:val="2E74B5" w:themeColor="accent1" w:themeShade="BF"/>
      <w:sz w:val="24"/>
      <w:szCs w:val="20"/>
      <w:lang w:val="en-US" w:eastAsia="en-US"/>
    </w:rPr>
  </w:style>
  <w:style w:type="paragraph" w:styleId="CommentText">
    <w:name w:val="annotation text"/>
    <w:basedOn w:val="Normal"/>
    <w:link w:val="CommentTextChar"/>
    <w:uiPriority w:val="99"/>
    <w:semiHidden/>
    <w:unhideWhenUsed/>
    <w:rsid w:val="00666700"/>
    <w:pPr>
      <w:spacing w:after="160"/>
    </w:pPr>
    <w:rPr>
      <w:rFonts w:ascii="Calibri" w:eastAsia="Calibri" w:hAnsi="Calibri" w:cs="Calibri"/>
      <w:sz w:val="20"/>
    </w:rPr>
  </w:style>
  <w:style w:type="character" w:customStyle="1" w:styleId="CommentTextChar">
    <w:name w:val="Comment Text Char"/>
    <w:basedOn w:val="DefaultParagraphFont"/>
    <w:link w:val="CommentText"/>
    <w:uiPriority w:val="99"/>
    <w:semiHidden/>
    <w:rsid w:val="00666700"/>
    <w:rPr>
      <w:rFonts w:ascii="Calibri" w:eastAsia="Calibri" w:hAnsi="Calibri" w:cs="Calibri"/>
      <w:sz w:val="20"/>
      <w:szCs w:val="20"/>
      <w:lang w:val="en-US" w:eastAsia="en-US"/>
    </w:rPr>
  </w:style>
  <w:style w:type="character" w:styleId="CommentReference">
    <w:name w:val="annotation reference"/>
    <w:basedOn w:val="DefaultParagraphFont"/>
    <w:uiPriority w:val="99"/>
    <w:semiHidden/>
    <w:unhideWhenUsed/>
    <w:rsid w:val="00666700"/>
    <w:rPr>
      <w:sz w:val="16"/>
      <w:szCs w:val="16"/>
    </w:rPr>
  </w:style>
  <w:style w:type="paragraph" w:styleId="BalloonText">
    <w:name w:val="Balloon Text"/>
    <w:basedOn w:val="Normal"/>
    <w:link w:val="BalloonTextChar"/>
    <w:uiPriority w:val="99"/>
    <w:semiHidden/>
    <w:unhideWhenUsed/>
    <w:rsid w:val="006667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700"/>
    <w:rPr>
      <w:rFonts w:ascii="Segoe UI" w:eastAsia="Times New Roman" w:hAnsi="Segoe UI" w:cs="Segoe UI"/>
      <w:sz w:val="18"/>
      <w:szCs w:val="18"/>
      <w:lang w:val="en-US" w:eastAsia="en-US"/>
    </w:rPr>
  </w:style>
  <w:style w:type="paragraph" w:styleId="Caption">
    <w:name w:val="caption"/>
    <w:basedOn w:val="Normal"/>
    <w:next w:val="Normal"/>
    <w:uiPriority w:val="35"/>
    <w:unhideWhenUsed/>
    <w:qFormat/>
    <w:rsid w:val="00EC7776"/>
    <w:pPr>
      <w:spacing w:after="200"/>
    </w:pPr>
    <w:rPr>
      <w:rFonts w:ascii="Calibri" w:eastAsia="Calibri" w:hAnsi="Calibri" w:cs="Calibri"/>
      <w:i/>
      <w:iCs/>
      <w:color w:val="44546A" w:themeColor="text2"/>
      <w:sz w:val="18"/>
      <w:szCs w:val="18"/>
    </w:rPr>
  </w:style>
  <w:style w:type="character" w:styleId="Hyperlink">
    <w:name w:val="Hyperlink"/>
    <w:basedOn w:val="DefaultParagraphFont"/>
    <w:uiPriority w:val="99"/>
    <w:unhideWhenUsed/>
    <w:rsid w:val="002069D7"/>
    <w:rPr>
      <w:color w:val="0563C1" w:themeColor="hyperlink"/>
      <w:u w:val="single"/>
    </w:rPr>
  </w:style>
  <w:style w:type="paragraph" w:styleId="ListParagraph">
    <w:name w:val="List Paragraph"/>
    <w:basedOn w:val="Normal"/>
    <w:uiPriority w:val="34"/>
    <w:qFormat/>
    <w:rsid w:val="007E0F0A"/>
    <w:pPr>
      <w:spacing w:after="160" w:line="259" w:lineRule="auto"/>
      <w:ind w:left="720"/>
      <w:contextualSpacing/>
    </w:pPr>
    <w:rPr>
      <w:rFonts w:asciiTheme="minorHAnsi" w:eastAsiaTheme="minorHAnsi" w:hAnsiTheme="minorHAnsi" w:cstheme="minorBidi"/>
      <w:sz w:val="22"/>
      <w:szCs w:val="22"/>
      <w:lang w:val="nl-NL"/>
    </w:rPr>
  </w:style>
  <w:style w:type="table" w:styleId="TableGrid">
    <w:name w:val="Table Grid"/>
    <w:basedOn w:val="TableNormal"/>
    <w:uiPriority w:val="39"/>
    <w:rsid w:val="007E0F0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A0649"/>
    <w:pPr>
      <w:spacing w:line="259" w:lineRule="auto"/>
      <w:outlineLvl w:val="9"/>
    </w:pPr>
  </w:style>
  <w:style w:type="paragraph" w:styleId="TOC1">
    <w:name w:val="toc 1"/>
    <w:basedOn w:val="Normal"/>
    <w:next w:val="Normal"/>
    <w:autoRedefine/>
    <w:uiPriority w:val="39"/>
    <w:unhideWhenUsed/>
    <w:rsid w:val="008A0649"/>
    <w:pPr>
      <w:spacing w:after="100"/>
    </w:pPr>
  </w:style>
  <w:style w:type="paragraph" w:styleId="TOC2">
    <w:name w:val="toc 2"/>
    <w:basedOn w:val="Normal"/>
    <w:next w:val="Normal"/>
    <w:autoRedefine/>
    <w:uiPriority w:val="39"/>
    <w:unhideWhenUsed/>
    <w:rsid w:val="008A0649"/>
    <w:pPr>
      <w:spacing w:after="100"/>
      <w:ind w:left="240"/>
    </w:pPr>
  </w:style>
  <w:style w:type="paragraph" w:styleId="TOC3">
    <w:name w:val="toc 3"/>
    <w:basedOn w:val="Normal"/>
    <w:next w:val="Normal"/>
    <w:autoRedefine/>
    <w:uiPriority w:val="39"/>
    <w:unhideWhenUsed/>
    <w:rsid w:val="008A0649"/>
    <w:pPr>
      <w:spacing w:after="100"/>
      <w:ind w:left="480"/>
    </w:pPr>
  </w:style>
  <w:style w:type="paragraph" w:styleId="Header">
    <w:name w:val="header"/>
    <w:basedOn w:val="Normal"/>
    <w:link w:val="HeaderChar"/>
    <w:uiPriority w:val="99"/>
    <w:unhideWhenUsed/>
    <w:rsid w:val="002B5AB9"/>
    <w:pPr>
      <w:tabs>
        <w:tab w:val="center" w:pos="4680"/>
        <w:tab w:val="right" w:pos="9360"/>
      </w:tabs>
    </w:pPr>
  </w:style>
  <w:style w:type="character" w:customStyle="1" w:styleId="HeaderChar">
    <w:name w:val="Header Char"/>
    <w:basedOn w:val="DefaultParagraphFont"/>
    <w:link w:val="Header"/>
    <w:uiPriority w:val="99"/>
    <w:rsid w:val="002B5AB9"/>
    <w:rPr>
      <w:rFonts w:ascii="Times New Roman" w:eastAsia="Times New Roman" w:hAnsi="Times New Roman" w:cs="Times New Roman"/>
      <w:sz w:val="24"/>
      <w:szCs w:val="20"/>
      <w:lang w:val="en-US" w:eastAsia="en-US"/>
    </w:rPr>
  </w:style>
  <w:style w:type="paragraph" w:styleId="Footer">
    <w:name w:val="footer"/>
    <w:basedOn w:val="Normal"/>
    <w:link w:val="FooterChar"/>
    <w:uiPriority w:val="99"/>
    <w:unhideWhenUsed/>
    <w:rsid w:val="002B5AB9"/>
    <w:pPr>
      <w:tabs>
        <w:tab w:val="center" w:pos="4680"/>
        <w:tab w:val="right" w:pos="9360"/>
      </w:tabs>
    </w:pPr>
  </w:style>
  <w:style w:type="character" w:customStyle="1" w:styleId="FooterChar">
    <w:name w:val="Footer Char"/>
    <w:basedOn w:val="DefaultParagraphFont"/>
    <w:link w:val="Footer"/>
    <w:uiPriority w:val="99"/>
    <w:rsid w:val="002B5AB9"/>
    <w:rPr>
      <w:rFonts w:ascii="Times New Roman" w:eastAsia="Times New Roman" w:hAnsi="Times New Roman" w:cs="Times New Roman"/>
      <w:sz w:val="24"/>
      <w:szCs w:val="20"/>
      <w:lang w:val="en-US" w:eastAsia="en-US"/>
    </w:rPr>
  </w:style>
  <w:style w:type="table" w:styleId="GridTable1Light">
    <w:name w:val="Grid Table 1 Light"/>
    <w:basedOn w:val="TableNormal"/>
    <w:uiPriority w:val="46"/>
    <w:rsid w:val="008846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8C390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5B0784"/>
  </w:style>
  <w:style w:type="paragraph" w:styleId="NormalWeb">
    <w:name w:val="Normal (Web)"/>
    <w:basedOn w:val="Normal"/>
    <w:uiPriority w:val="99"/>
    <w:unhideWhenUsed/>
    <w:rsid w:val="0089432F"/>
    <w:pPr>
      <w:spacing w:before="100" w:beforeAutospacing="1" w:after="100" w:afterAutospacing="1"/>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37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e.dou@vu.nl" TargetMode="External"/><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birdsoftheworld.org/bow/home"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fao.org/faostat/en/" TargetMode="External"/><Relationship Id="rId14" Type="http://schemas.openxmlformats.org/officeDocument/2006/relationships/image" Target="media/image3.png"/><Relationship Id="rId22"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U:\FutureWeb\Docs\mapping\sensitivit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ydu900\surfDrive\futureweb\Docs\coun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'cropland extent'!$B$39</c:f>
              <c:strCache>
                <c:ptCount val="1"/>
                <c:pt idx="0">
                  <c:v>BA</c:v>
                </c:pt>
              </c:strCache>
            </c:strRef>
          </c:tx>
          <c:spPr>
            <a:ln w="28575" cap="rnd">
              <a:solidFill>
                <a:schemeClr val="accent1"/>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extent'!$D$39:$V$39</c:f>
              <c:numCache>
                <c:formatCode>0%</c:formatCode>
                <c:ptCount val="19"/>
                <c:pt idx="0">
                  <c:v>0.54913486700777248</c:v>
                </c:pt>
                <c:pt idx="1">
                  <c:v>0.50212865679803143</c:v>
                </c:pt>
                <c:pt idx="2">
                  <c:v>0.45463422255204466</c:v>
                </c:pt>
                <c:pt idx="3">
                  <c:v>0.41684568214662343</c:v>
                </c:pt>
                <c:pt idx="4">
                  <c:v>0.3813225012693825</c:v>
                </c:pt>
                <c:pt idx="5">
                  <c:v>0.34730305042377846</c:v>
                </c:pt>
                <c:pt idx="6">
                  <c:v>0.31537319845330625</c:v>
                </c:pt>
                <c:pt idx="7">
                  <c:v>0.28482990274577197</c:v>
                </c:pt>
                <c:pt idx="8">
                  <c:v>0.25504823653478109</c:v>
                </c:pt>
                <c:pt idx="9">
                  <c:v>0.22749287192907081</c:v>
                </c:pt>
                <c:pt idx="10">
                  <c:v>0.20052337616685545</c:v>
                </c:pt>
                <c:pt idx="11">
                  <c:v>0.17388587274928718</c:v>
                </c:pt>
                <c:pt idx="12">
                  <c:v>0.15004101081904464</c:v>
                </c:pt>
                <c:pt idx="13">
                  <c:v>0.12656719915634887</c:v>
                </c:pt>
                <c:pt idx="14">
                  <c:v>0.10541733390618287</c:v>
                </c:pt>
                <c:pt idx="15">
                  <c:v>8.4697105807913134E-2</c:v>
                </c:pt>
                <c:pt idx="16">
                  <c:v>6.6046947623325386E-2</c:v>
                </c:pt>
                <c:pt idx="17">
                  <c:v>5.182986368784908E-2</c:v>
                </c:pt>
                <c:pt idx="18">
                  <c:v>3.4605319689098933E-2</c:v>
                </c:pt>
              </c:numCache>
            </c:numRef>
          </c:val>
          <c:smooth val="0"/>
          <c:extLst xmlns:c16r2="http://schemas.microsoft.com/office/drawing/2015/06/chart">
            <c:ext xmlns:c16="http://schemas.microsoft.com/office/drawing/2014/chart" uri="{C3380CC4-5D6E-409C-BE32-E72D297353CC}">
              <c16:uniqueId val="{00000000-2C51-44D4-A72C-A874F48AD346}"/>
            </c:ext>
          </c:extLst>
        </c:ser>
        <c:ser>
          <c:idx val="1"/>
          <c:order val="1"/>
          <c:tx>
            <c:strRef>
              <c:f>'cropland extent'!$B$40</c:f>
              <c:strCache>
                <c:ptCount val="1"/>
                <c:pt idx="0">
                  <c:v>RS</c:v>
                </c:pt>
              </c:strCache>
            </c:strRef>
          </c:tx>
          <c:spPr>
            <a:ln w="28575" cap="rnd">
              <a:solidFill>
                <a:schemeClr val="accent2"/>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extent'!$D$40:$V$40</c:f>
              <c:numCache>
                <c:formatCode>0%</c:formatCode>
                <c:ptCount val="19"/>
                <c:pt idx="0">
                  <c:v>0.74990666892923807</c:v>
                </c:pt>
                <c:pt idx="1">
                  <c:v>0.7185700548673567</c:v>
                </c:pt>
                <c:pt idx="2">
                  <c:v>0.68296849369308221</c:v>
                </c:pt>
                <c:pt idx="3">
                  <c:v>0.65280841676565415</c:v>
                </c:pt>
                <c:pt idx="4">
                  <c:v>0.62325923411957684</c:v>
                </c:pt>
                <c:pt idx="5">
                  <c:v>0.5945924543243396</c:v>
                </c:pt>
                <c:pt idx="6">
                  <c:v>0.56545053453249616</c:v>
                </c:pt>
                <c:pt idx="7">
                  <c:v>0.53652355902483173</c:v>
                </c:pt>
                <c:pt idx="8">
                  <c:v>0.50769839923072568</c:v>
                </c:pt>
                <c:pt idx="9">
                  <c:v>0.47920131229141921</c:v>
                </c:pt>
                <c:pt idx="10">
                  <c:v>0.45137168391877369</c:v>
                </c:pt>
                <c:pt idx="11">
                  <c:v>0.42362124554556252</c:v>
                </c:pt>
                <c:pt idx="12">
                  <c:v>0.39606312574240626</c:v>
                </c:pt>
                <c:pt idx="13">
                  <c:v>0.36668363595225972</c:v>
                </c:pt>
                <c:pt idx="14">
                  <c:v>0.33730414616211324</c:v>
                </c:pt>
                <c:pt idx="15">
                  <c:v>0.30738163923298828</c:v>
                </c:pt>
                <c:pt idx="16">
                  <c:v>0.27507211946377058</c:v>
                </c:pt>
                <c:pt idx="17">
                  <c:v>0.24794388822897223</c:v>
                </c:pt>
                <c:pt idx="18">
                  <c:v>0.20971774421630182</c:v>
                </c:pt>
              </c:numCache>
            </c:numRef>
          </c:val>
          <c:smooth val="0"/>
          <c:extLst xmlns:c16r2="http://schemas.microsoft.com/office/drawing/2015/06/chart">
            <c:ext xmlns:c16="http://schemas.microsoft.com/office/drawing/2014/chart" uri="{C3380CC4-5D6E-409C-BE32-E72D297353CC}">
              <c16:uniqueId val="{00000001-2C51-44D4-A72C-A874F48AD346}"/>
            </c:ext>
          </c:extLst>
        </c:ser>
        <c:ser>
          <c:idx val="2"/>
          <c:order val="2"/>
          <c:tx>
            <c:strRef>
              <c:f>'cropland extent'!$B$41</c:f>
              <c:strCache>
                <c:ptCount val="1"/>
                <c:pt idx="0">
                  <c:v>AL</c:v>
                </c:pt>
              </c:strCache>
            </c:strRef>
          </c:tx>
          <c:spPr>
            <a:ln w="28575" cap="rnd">
              <a:solidFill>
                <a:schemeClr val="accent3"/>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extent'!$D$41:$V$41</c:f>
              <c:numCache>
                <c:formatCode>0%</c:formatCode>
                <c:ptCount val="19"/>
                <c:pt idx="0">
                  <c:v>0.46956491544845308</c:v>
                </c:pt>
                <c:pt idx="1">
                  <c:v>0.42602173686586342</c:v>
                </c:pt>
                <c:pt idx="2">
                  <c:v>0.38470085766866907</c:v>
                </c:pt>
                <c:pt idx="3">
                  <c:v>0.35226917601305602</c:v>
                </c:pt>
                <c:pt idx="4">
                  <c:v>0.32317094343553593</c:v>
                </c:pt>
                <c:pt idx="5">
                  <c:v>0.29608666967603042</c:v>
                </c:pt>
                <c:pt idx="6">
                  <c:v>0.26816903364700162</c:v>
                </c:pt>
                <c:pt idx="7">
                  <c:v>0.24570297579777076</c:v>
                </c:pt>
                <c:pt idx="8">
                  <c:v>0.22302857738115905</c:v>
                </c:pt>
                <c:pt idx="9">
                  <c:v>0.20163894579672906</c:v>
                </c:pt>
                <c:pt idx="10">
                  <c:v>0.18288829473245599</c:v>
                </c:pt>
                <c:pt idx="11">
                  <c:v>0.1657349213514358</c:v>
                </c:pt>
                <c:pt idx="12">
                  <c:v>0.14740095142192436</c:v>
                </c:pt>
                <c:pt idx="13">
                  <c:v>0.13170596201256987</c:v>
                </c:pt>
                <c:pt idx="14">
                  <c:v>0.11528178061738255</c:v>
                </c:pt>
                <c:pt idx="15">
                  <c:v>9.8753428938504806E-2</c:v>
                </c:pt>
                <c:pt idx="16">
                  <c:v>8.3648737803395948E-2</c:v>
                </c:pt>
                <c:pt idx="17">
                  <c:v>7.1773325462689677E-2</c:v>
                </c:pt>
                <c:pt idx="18">
                  <c:v>5.6495017188096811E-2</c:v>
                </c:pt>
              </c:numCache>
            </c:numRef>
          </c:val>
          <c:smooth val="0"/>
          <c:extLst xmlns:c16r2="http://schemas.microsoft.com/office/drawing/2015/06/chart">
            <c:ext xmlns:c16="http://schemas.microsoft.com/office/drawing/2014/chart" uri="{C3380CC4-5D6E-409C-BE32-E72D297353CC}">
              <c16:uniqueId val="{00000002-2C51-44D4-A72C-A874F48AD346}"/>
            </c:ext>
          </c:extLst>
        </c:ser>
        <c:ser>
          <c:idx val="3"/>
          <c:order val="3"/>
          <c:tx>
            <c:strRef>
              <c:f>'cropland extent'!$B$42</c:f>
              <c:strCache>
                <c:ptCount val="1"/>
                <c:pt idx="0">
                  <c:v>CZ</c:v>
                </c:pt>
              </c:strCache>
            </c:strRef>
          </c:tx>
          <c:spPr>
            <a:ln w="28575" cap="rnd">
              <a:solidFill>
                <a:schemeClr val="accent4"/>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extent'!$D$42:$V$42</c:f>
              <c:numCache>
                <c:formatCode>0%</c:formatCode>
                <c:ptCount val="19"/>
                <c:pt idx="0">
                  <c:v>0.76922394228696767</c:v>
                </c:pt>
                <c:pt idx="1">
                  <c:v>0.72564756000152142</c:v>
                </c:pt>
                <c:pt idx="2">
                  <c:v>0.67660669684175823</c:v>
                </c:pt>
                <c:pt idx="3">
                  <c:v>0.63778479327526527</c:v>
                </c:pt>
                <c:pt idx="4">
                  <c:v>0.60058575177817508</c:v>
                </c:pt>
                <c:pt idx="5">
                  <c:v>0.56556743118684472</c:v>
                </c:pt>
                <c:pt idx="6">
                  <c:v>0.53299608230953555</c:v>
                </c:pt>
                <c:pt idx="7">
                  <c:v>0.50148973666527197</c:v>
                </c:pt>
                <c:pt idx="8">
                  <c:v>0.46842392200119182</c:v>
                </c:pt>
                <c:pt idx="9">
                  <c:v>0.43634703891065385</c:v>
                </c:pt>
                <c:pt idx="10">
                  <c:v>0.40446033496887401</c:v>
                </c:pt>
                <c:pt idx="11">
                  <c:v>0.37112826949653238</c:v>
                </c:pt>
                <c:pt idx="12">
                  <c:v>0.33674387940106248</c:v>
                </c:pt>
                <c:pt idx="13">
                  <c:v>0.30044501920809402</c:v>
                </c:pt>
                <c:pt idx="14">
                  <c:v>0.26275151192423263</c:v>
                </c:pt>
                <c:pt idx="15">
                  <c:v>0.22361264310980944</c:v>
                </c:pt>
                <c:pt idx="16">
                  <c:v>0.18660378076147732</c:v>
                </c:pt>
                <c:pt idx="17">
                  <c:v>0.15660618969736159</c:v>
                </c:pt>
                <c:pt idx="18">
                  <c:v>0.11707428397550493</c:v>
                </c:pt>
              </c:numCache>
            </c:numRef>
          </c:val>
          <c:smooth val="0"/>
          <c:extLst xmlns:c16r2="http://schemas.microsoft.com/office/drawing/2015/06/chart">
            <c:ext xmlns:c16="http://schemas.microsoft.com/office/drawing/2014/chart" uri="{C3380CC4-5D6E-409C-BE32-E72D297353CC}">
              <c16:uniqueId val="{00000003-2C51-44D4-A72C-A874F48AD346}"/>
            </c:ext>
          </c:extLst>
        </c:ser>
        <c:ser>
          <c:idx val="4"/>
          <c:order val="4"/>
          <c:tx>
            <c:strRef>
              <c:f>'cropland extent'!$B$43</c:f>
              <c:strCache>
                <c:ptCount val="1"/>
                <c:pt idx="0">
                  <c:v>DE</c:v>
                </c:pt>
              </c:strCache>
            </c:strRef>
          </c:tx>
          <c:spPr>
            <a:ln w="28575" cap="rnd">
              <a:solidFill>
                <a:schemeClr val="accent5"/>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extent'!$D$43:$V$43</c:f>
              <c:numCache>
                <c:formatCode>0%</c:formatCode>
                <c:ptCount val="19"/>
                <c:pt idx="0">
                  <c:v>0.67293330835623677</c:v>
                </c:pt>
                <c:pt idx="1">
                  <c:v>0.63709769865878585</c:v>
                </c:pt>
                <c:pt idx="2">
                  <c:v>0.59913437584752038</c:v>
                </c:pt>
                <c:pt idx="3">
                  <c:v>0.56767721389807668</c:v>
                </c:pt>
                <c:pt idx="4">
                  <c:v>0.53633468563807629</c:v>
                </c:pt>
                <c:pt idx="5">
                  <c:v>0.50489709529414728</c:v>
                </c:pt>
                <c:pt idx="6">
                  <c:v>0.47375587497658395</c:v>
                </c:pt>
                <c:pt idx="7">
                  <c:v>0.44250561285686724</c:v>
                </c:pt>
                <c:pt idx="8">
                  <c:v>0.410735305219188</c:v>
                </c:pt>
                <c:pt idx="9">
                  <c:v>0.37911597853833656</c:v>
                </c:pt>
                <c:pt idx="10">
                  <c:v>0.34736803844981701</c:v>
                </c:pt>
                <c:pt idx="11">
                  <c:v>0.31632467615982734</c:v>
                </c:pt>
                <c:pt idx="12">
                  <c:v>0.28436144841064581</c:v>
                </c:pt>
                <c:pt idx="13">
                  <c:v>0.2526163042657712</c:v>
                </c:pt>
                <c:pt idx="14">
                  <c:v>0.22068103595303934</c:v>
                </c:pt>
                <c:pt idx="15">
                  <c:v>0.19011578002633778</c:v>
                </c:pt>
                <c:pt idx="16">
                  <c:v>0.16047598144611797</c:v>
                </c:pt>
                <c:pt idx="17">
                  <c:v>0.13726964919295087</c:v>
                </c:pt>
                <c:pt idx="18">
                  <c:v>0.10723562255879171</c:v>
                </c:pt>
              </c:numCache>
            </c:numRef>
          </c:val>
          <c:smooth val="0"/>
          <c:extLst xmlns:c16r2="http://schemas.microsoft.com/office/drawing/2015/06/chart">
            <c:ext xmlns:c16="http://schemas.microsoft.com/office/drawing/2014/chart" uri="{C3380CC4-5D6E-409C-BE32-E72D297353CC}">
              <c16:uniqueId val="{00000004-2C51-44D4-A72C-A874F48AD346}"/>
            </c:ext>
          </c:extLst>
        </c:ser>
        <c:ser>
          <c:idx val="5"/>
          <c:order val="5"/>
          <c:tx>
            <c:strRef>
              <c:f>'cropland extent'!$B$44</c:f>
              <c:strCache>
                <c:ptCount val="1"/>
                <c:pt idx="0">
                  <c:v>DK</c:v>
                </c:pt>
              </c:strCache>
            </c:strRef>
          </c:tx>
          <c:spPr>
            <a:ln w="28575" cap="rnd">
              <a:solidFill>
                <a:schemeClr val="accent6"/>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extent'!$D$44:$V$44</c:f>
              <c:numCache>
                <c:formatCode>0%</c:formatCode>
                <c:ptCount val="19"/>
                <c:pt idx="0">
                  <c:v>0.90363901693266313</c:v>
                </c:pt>
                <c:pt idx="1">
                  <c:v>0.88666002640661556</c:v>
                </c:pt>
                <c:pt idx="2">
                  <c:v>0.86745732088670635</c:v>
                </c:pt>
                <c:pt idx="3">
                  <c:v>0.85189131592967504</c:v>
                </c:pt>
                <c:pt idx="4">
                  <c:v>0.8347965069143638</c:v>
                </c:pt>
                <c:pt idx="5">
                  <c:v>0.81735424243126176</c:v>
                </c:pt>
                <c:pt idx="6">
                  <c:v>0.79877695675337612</c:v>
                </c:pt>
                <c:pt idx="7">
                  <c:v>0.77820759306015608</c:v>
                </c:pt>
                <c:pt idx="8">
                  <c:v>0.75594727942368722</c:v>
                </c:pt>
                <c:pt idx="9">
                  <c:v>0.73461351370132733</c:v>
                </c:pt>
                <c:pt idx="10">
                  <c:v>0.70885548168909684</c:v>
                </c:pt>
                <c:pt idx="11">
                  <c:v>0.67992402307104305</c:v>
                </c:pt>
                <c:pt idx="12">
                  <c:v>0.64812026591925131</c:v>
                </c:pt>
                <c:pt idx="13">
                  <c:v>0.61437075814783071</c:v>
                </c:pt>
                <c:pt idx="14">
                  <c:v>0.57408908758194155</c:v>
                </c:pt>
                <c:pt idx="15">
                  <c:v>0.52685830766023489</c:v>
                </c:pt>
                <c:pt idx="16">
                  <c:v>0.47694053878761206</c:v>
                </c:pt>
                <c:pt idx="17">
                  <c:v>0.43228092932755785</c:v>
                </c:pt>
                <c:pt idx="18">
                  <c:v>0.36214125222950594</c:v>
                </c:pt>
              </c:numCache>
            </c:numRef>
          </c:val>
          <c:smooth val="0"/>
          <c:extLst xmlns:c16r2="http://schemas.microsoft.com/office/drawing/2015/06/chart">
            <c:ext xmlns:c16="http://schemas.microsoft.com/office/drawing/2014/chart" uri="{C3380CC4-5D6E-409C-BE32-E72D297353CC}">
              <c16:uniqueId val="{00000005-2C51-44D4-A72C-A874F48AD346}"/>
            </c:ext>
          </c:extLst>
        </c:ser>
        <c:ser>
          <c:idx val="6"/>
          <c:order val="6"/>
          <c:tx>
            <c:strRef>
              <c:f>'cropland extent'!$B$45</c:f>
              <c:strCache>
                <c:ptCount val="1"/>
                <c:pt idx="0">
                  <c:v>CY</c:v>
                </c:pt>
              </c:strCache>
            </c:strRef>
          </c:tx>
          <c:spPr>
            <a:ln w="28575" cap="rnd">
              <a:solidFill>
                <a:schemeClr val="accent1">
                  <a:lumMod val="6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extent'!$D$45:$V$45</c:f>
              <c:numCache>
                <c:formatCode>0%</c:formatCode>
                <c:ptCount val="19"/>
                <c:pt idx="0">
                  <c:v>0.63958513396715644</c:v>
                </c:pt>
                <c:pt idx="1">
                  <c:v>0.60328435609334485</c:v>
                </c:pt>
                <c:pt idx="2">
                  <c:v>0.56568712186689718</c:v>
                </c:pt>
                <c:pt idx="3">
                  <c:v>0.5352203975799481</c:v>
                </c:pt>
                <c:pt idx="4">
                  <c:v>0.50237683664649957</c:v>
                </c:pt>
                <c:pt idx="5">
                  <c:v>0.47374675885911843</c:v>
                </c:pt>
                <c:pt idx="6">
                  <c:v>0.44814174589455491</c:v>
                </c:pt>
                <c:pt idx="7">
                  <c:v>0.42156439066551427</c:v>
                </c:pt>
                <c:pt idx="8">
                  <c:v>0.39639152981849612</c:v>
                </c:pt>
                <c:pt idx="9">
                  <c:v>0.37197493517718239</c:v>
                </c:pt>
                <c:pt idx="10">
                  <c:v>0.34712618841832327</c:v>
                </c:pt>
                <c:pt idx="11">
                  <c:v>0.32216940363007779</c:v>
                </c:pt>
                <c:pt idx="12">
                  <c:v>0.29872515125324112</c:v>
                </c:pt>
                <c:pt idx="13">
                  <c:v>0.27333621434745031</c:v>
                </c:pt>
                <c:pt idx="14">
                  <c:v>0.24859550561797752</c:v>
                </c:pt>
                <c:pt idx="15">
                  <c:v>0.2214779602420052</c:v>
                </c:pt>
                <c:pt idx="16">
                  <c:v>0.19684528954191877</c:v>
                </c:pt>
                <c:pt idx="17">
                  <c:v>0.17642610198789974</c:v>
                </c:pt>
                <c:pt idx="18">
                  <c:v>0.14963267070008643</c:v>
                </c:pt>
              </c:numCache>
            </c:numRef>
          </c:val>
          <c:smooth val="0"/>
          <c:extLst xmlns:c16r2="http://schemas.microsoft.com/office/drawing/2015/06/chart">
            <c:ext xmlns:c16="http://schemas.microsoft.com/office/drawing/2014/chart" uri="{C3380CC4-5D6E-409C-BE32-E72D297353CC}">
              <c16:uniqueId val="{00000006-2C51-44D4-A72C-A874F48AD346}"/>
            </c:ext>
          </c:extLst>
        </c:ser>
        <c:ser>
          <c:idx val="7"/>
          <c:order val="7"/>
          <c:tx>
            <c:strRef>
              <c:f>'cropland extent'!$B$46</c:f>
              <c:strCache>
                <c:ptCount val="1"/>
                <c:pt idx="0">
                  <c:v>AT</c:v>
                </c:pt>
              </c:strCache>
            </c:strRef>
          </c:tx>
          <c:spPr>
            <a:ln w="28575" cap="rnd">
              <a:solidFill>
                <a:schemeClr val="accent2">
                  <a:lumMod val="6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extent'!$D$46:$V$46</c:f>
              <c:numCache>
                <c:formatCode>0%</c:formatCode>
                <c:ptCount val="19"/>
                <c:pt idx="0">
                  <c:v>0.39649051748784903</c:v>
                </c:pt>
                <c:pt idx="1">
                  <c:v>0.37009196607261985</c:v>
                </c:pt>
                <c:pt idx="2">
                  <c:v>0.34027446869341466</c:v>
                </c:pt>
                <c:pt idx="3">
                  <c:v>0.3176998951682074</c:v>
                </c:pt>
                <c:pt idx="4">
                  <c:v>0.29666206042123322</c:v>
                </c:pt>
                <c:pt idx="5">
                  <c:v>0.27561231297055178</c:v>
                </c:pt>
                <c:pt idx="6">
                  <c:v>0.25559897074239968</c:v>
                </c:pt>
                <c:pt idx="7">
                  <c:v>0.23562136662536928</c:v>
                </c:pt>
                <c:pt idx="8">
                  <c:v>0.21688268369389116</c:v>
                </c:pt>
                <c:pt idx="9">
                  <c:v>0.19758410368817306</c:v>
                </c:pt>
                <c:pt idx="10">
                  <c:v>0.17981034975698085</c:v>
                </c:pt>
                <c:pt idx="11">
                  <c:v>0.16227484989993329</c:v>
                </c:pt>
                <c:pt idx="12">
                  <c:v>0.1454421995616125</c:v>
                </c:pt>
                <c:pt idx="13">
                  <c:v>0.12860954922329171</c:v>
                </c:pt>
                <c:pt idx="14">
                  <c:v>0.11193176403316497</c:v>
                </c:pt>
                <c:pt idx="15">
                  <c:v>9.5170589917087586E-2</c:v>
                </c:pt>
                <c:pt idx="16">
                  <c:v>8.0077194320022874E-2</c:v>
                </c:pt>
                <c:pt idx="17">
                  <c:v>6.7830934908986937E-2</c:v>
                </c:pt>
                <c:pt idx="18">
                  <c:v>5.2046602496902697E-2</c:v>
                </c:pt>
              </c:numCache>
            </c:numRef>
          </c:val>
          <c:smooth val="0"/>
          <c:extLst xmlns:c16r2="http://schemas.microsoft.com/office/drawing/2015/06/chart">
            <c:ext xmlns:c16="http://schemas.microsoft.com/office/drawing/2014/chart" uri="{C3380CC4-5D6E-409C-BE32-E72D297353CC}">
              <c16:uniqueId val="{00000007-2C51-44D4-A72C-A874F48AD346}"/>
            </c:ext>
          </c:extLst>
        </c:ser>
        <c:ser>
          <c:idx val="8"/>
          <c:order val="8"/>
          <c:tx>
            <c:strRef>
              <c:f>'cropland extent'!$B$47</c:f>
              <c:strCache>
                <c:ptCount val="1"/>
                <c:pt idx="0">
                  <c:v>BE</c:v>
                </c:pt>
              </c:strCache>
            </c:strRef>
          </c:tx>
          <c:spPr>
            <a:ln w="28575" cap="rnd">
              <a:solidFill>
                <a:schemeClr val="accent3">
                  <a:lumMod val="6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extent'!$D$47:$V$47</c:f>
              <c:numCache>
                <c:formatCode>0%</c:formatCode>
                <c:ptCount val="19"/>
                <c:pt idx="0">
                  <c:v>0.78865844909671945</c:v>
                </c:pt>
                <c:pt idx="1">
                  <c:v>0.73413552468531929</c:v>
                </c:pt>
                <c:pt idx="2">
                  <c:v>0.67269940650883719</c:v>
                </c:pt>
                <c:pt idx="3">
                  <c:v>0.62163307897997777</c:v>
                </c:pt>
                <c:pt idx="4">
                  <c:v>0.57157764299223901</c:v>
                </c:pt>
                <c:pt idx="5">
                  <c:v>0.5236744277049501</c:v>
                </c:pt>
                <c:pt idx="6">
                  <c:v>0.47541250896758624</c:v>
                </c:pt>
                <c:pt idx="7">
                  <c:v>0.43194417269940649</c:v>
                </c:pt>
                <c:pt idx="8">
                  <c:v>0.38785625774473359</c:v>
                </c:pt>
                <c:pt idx="9">
                  <c:v>0.34552925063588341</c:v>
                </c:pt>
                <c:pt idx="10">
                  <c:v>0.30196308615404682</c:v>
                </c:pt>
                <c:pt idx="11">
                  <c:v>0.26061436118176484</c:v>
                </c:pt>
                <c:pt idx="12">
                  <c:v>0.21933085501858737</c:v>
                </c:pt>
                <c:pt idx="13">
                  <c:v>0.18163438335615992</c:v>
                </c:pt>
                <c:pt idx="14">
                  <c:v>0.14638361703515293</c:v>
                </c:pt>
                <c:pt idx="15">
                  <c:v>0.11436118176482098</c:v>
                </c:pt>
                <c:pt idx="16">
                  <c:v>8.5371421117850385E-2</c:v>
                </c:pt>
                <c:pt idx="17">
                  <c:v>6.5773168981934388E-2</c:v>
                </c:pt>
                <c:pt idx="18">
                  <c:v>4.2327007108850193E-2</c:v>
                </c:pt>
              </c:numCache>
            </c:numRef>
          </c:val>
          <c:smooth val="0"/>
          <c:extLst xmlns:c16r2="http://schemas.microsoft.com/office/drawing/2015/06/chart">
            <c:ext xmlns:c16="http://schemas.microsoft.com/office/drawing/2014/chart" uri="{C3380CC4-5D6E-409C-BE32-E72D297353CC}">
              <c16:uniqueId val="{00000008-2C51-44D4-A72C-A874F48AD346}"/>
            </c:ext>
          </c:extLst>
        </c:ser>
        <c:ser>
          <c:idx val="9"/>
          <c:order val="9"/>
          <c:tx>
            <c:strRef>
              <c:f>'cropland extent'!$B$48</c:f>
              <c:strCache>
                <c:ptCount val="1"/>
                <c:pt idx="0">
                  <c:v>BG</c:v>
                </c:pt>
              </c:strCache>
            </c:strRef>
          </c:tx>
          <c:spPr>
            <a:ln w="28575" cap="rnd">
              <a:solidFill>
                <a:schemeClr val="accent4">
                  <a:lumMod val="6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extent'!$D$48:$V$48</c:f>
              <c:numCache>
                <c:formatCode>0%</c:formatCode>
                <c:ptCount val="19"/>
                <c:pt idx="0">
                  <c:v>0.72693118546948488</c:v>
                </c:pt>
                <c:pt idx="1">
                  <c:v>0.69209146440348124</c:v>
                </c:pt>
                <c:pt idx="2">
                  <c:v>0.65365695442996918</c:v>
                </c:pt>
                <c:pt idx="3">
                  <c:v>0.621808386038885</c:v>
                </c:pt>
                <c:pt idx="4">
                  <c:v>0.59051840640034592</c:v>
                </c:pt>
                <c:pt idx="5">
                  <c:v>0.55902120835360469</c:v>
                </c:pt>
                <c:pt idx="6">
                  <c:v>0.5284790168837955</c:v>
                </c:pt>
                <c:pt idx="7">
                  <c:v>0.49829720525433807</c:v>
                </c:pt>
                <c:pt idx="8">
                  <c:v>0.46948483701821719</c:v>
                </c:pt>
                <c:pt idx="9">
                  <c:v>0.44037515541380617</c:v>
                </c:pt>
                <c:pt idx="10">
                  <c:v>0.4117700055858875</c:v>
                </c:pt>
                <c:pt idx="11">
                  <c:v>0.38356127358235581</c:v>
                </c:pt>
                <c:pt idx="12">
                  <c:v>0.35422635457772494</c:v>
                </c:pt>
                <c:pt idx="13">
                  <c:v>0.32454907472475991</c:v>
                </c:pt>
                <c:pt idx="14">
                  <c:v>0.29514207975205869</c:v>
                </c:pt>
                <c:pt idx="15">
                  <c:v>0.26471701173036383</c:v>
                </c:pt>
                <c:pt idx="16">
                  <c:v>0.23376939294015892</c:v>
                </c:pt>
                <c:pt idx="17">
                  <c:v>0.20941672522839072</c:v>
                </c:pt>
                <c:pt idx="18">
                  <c:v>0.17428870029010576</c:v>
                </c:pt>
              </c:numCache>
            </c:numRef>
          </c:val>
          <c:smooth val="0"/>
          <c:extLst xmlns:c16r2="http://schemas.microsoft.com/office/drawing/2015/06/chart">
            <c:ext xmlns:c16="http://schemas.microsoft.com/office/drawing/2014/chart" uri="{C3380CC4-5D6E-409C-BE32-E72D297353CC}">
              <c16:uniqueId val="{00000009-2C51-44D4-A72C-A874F48AD346}"/>
            </c:ext>
          </c:extLst>
        </c:ser>
        <c:ser>
          <c:idx val="10"/>
          <c:order val="10"/>
          <c:tx>
            <c:strRef>
              <c:f>'cropland extent'!$B$49</c:f>
              <c:strCache>
                <c:ptCount val="1"/>
                <c:pt idx="0">
                  <c:v>CH</c:v>
                </c:pt>
              </c:strCache>
            </c:strRef>
          </c:tx>
          <c:spPr>
            <a:ln w="28575" cap="rnd">
              <a:solidFill>
                <a:schemeClr val="accent5">
                  <a:lumMod val="6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extent'!$D$49:$V$49</c:f>
              <c:numCache>
                <c:formatCode>0%</c:formatCode>
                <c:ptCount val="19"/>
                <c:pt idx="0">
                  <c:v>0.34236787288669285</c:v>
                </c:pt>
                <c:pt idx="1">
                  <c:v>0.3165964249382357</c:v>
                </c:pt>
                <c:pt idx="2">
                  <c:v>0.28978346170614738</c:v>
                </c:pt>
                <c:pt idx="3">
                  <c:v>0.26900159860485395</c:v>
                </c:pt>
                <c:pt idx="4">
                  <c:v>0.24904325921619919</c:v>
                </c:pt>
                <c:pt idx="5">
                  <c:v>0.22998110739718064</c:v>
                </c:pt>
                <c:pt idx="6">
                  <c:v>0.2112580535774839</c:v>
                </c:pt>
                <c:pt idx="7">
                  <c:v>0.19333430218475997</c:v>
                </c:pt>
                <c:pt idx="8">
                  <c:v>0.17705759821731337</c:v>
                </c:pt>
                <c:pt idx="9">
                  <c:v>0.15889163396793102</c:v>
                </c:pt>
                <c:pt idx="10">
                  <c:v>0.14251804485782105</c:v>
                </c:pt>
                <c:pt idx="11">
                  <c:v>0.12641088989003535</c:v>
                </c:pt>
                <c:pt idx="12">
                  <c:v>0.11049750520757642</c:v>
                </c:pt>
                <c:pt idx="13">
                  <c:v>9.3179285956498575E-2</c:v>
                </c:pt>
                <c:pt idx="14">
                  <c:v>7.7047909703047035E-2</c:v>
                </c:pt>
                <c:pt idx="15">
                  <c:v>6.1861163590563387E-2</c:v>
                </c:pt>
                <c:pt idx="16">
                  <c:v>4.6868187763406483E-2</c:v>
                </c:pt>
                <c:pt idx="17">
                  <c:v>3.6961681926076635E-2</c:v>
                </c:pt>
                <c:pt idx="18">
                  <c:v>2.5165915806811025E-2</c:v>
                </c:pt>
              </c:numCache>
            </c:numRef>
          </c:val>
          <c:smooth val="0"/>
          <c:extLst xmlns:c16r2="http://schemas.microsoft.com/office/drawing/2015/06/chart">
            <c:ext xmlns:c16="http://schemas.microsoft.com/office/drawing/2014/chart" uri="{C3380CC4-5D6E-409C-BE32-E72D297353CC}">
              <c16:uniqueId val="{0000000A-2C51-44D4-A72C-A874F48AD346}"/>
            </c:ext>
          </c:extLst>
        </c:ser>
        <c:ser>
          <c:idx val="11"/>
          <c:order val="11"/>
          <c:tx>
            <c:strRef>
              <c:f>'cropland extent'!$B$50</c:f>
              <c:strCache>
                <c:ptCount val="1"/>
                <c:pt idx="0">
                  <c:v>EE</c:v>
                </c:pt>
              </c:strCache>
            </c:strRef>
          </c:tx>
          <c:spPr>
            <a:ln w="28575" cap="rnd">
              <a:solidFill>
                <a:schemeClr val="accent6">
                  <a:lumMod val="6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extent'!$D$50:$V$50</c:f>
              <c:numCache>
                <c:formatCode>0%</c:formatCode>
                <c:ptCount val="19"/>
                <c:pt idx="0">
                  <c:v>0.52862561750176429</c:v>
                </c:pt>
                <c:pt idx="1">
                  <c:v>0.47607180663373322</c:v>
                </c:pt>
                <c:pt idx="2">
                  <c:v>0.42212861679604796</c:v>
                </c:pt>
                <c:pt idx="3">
                  <c:v>0.37919019054340153</c:v>
                </c:pt>
                <c:pt idx="4">
                  <c:v>0.34097124206069163</c:v>
                </c:pt>
                <c:pt idx="5">
                  <c:v>0.30548694424841216</c:v>
                </c:pt>
                <c:pt idx="6">
                  <c:v>0.27249470712773466</c:v>
                </c:pt>
                <c:pt idx="7">
                  <c:v>0.24197247706422018</c:v>
                </c:pt>
                <c:pt idx="8">
                  <c:v>0.21458186309103741</c:v>
                </c:pt>
                <c:pt idx="9">
                  <c:v>0.18895553987297106</c:v>
                </c:pt>
                <c:pt idx="10">
                  <c:v>0.16469654199011996</c:v>
                </c:pt>
                <c:pt idx="11">
                  <c:v>0.14211362032462949</c:v>
                </c:pt>
                <c:pt idx="12">
                  <c:v>0.12166990119971771</c:v>
                </c:pt>
                <c:pt idx="13">
                  <c:v>0.10107180663373323</c:v>
                </c:pt>
                <c:pt idx="14">
                  <c:v>8.2811397318278052E-2</c:v>
                </c:pt>
                <c:pt idx="15">
                  <c:v>6.5278757939308402E-2</c:v>
                </c:pt>
                <c:pt idx="16">
                  <c:v>4.8032815808045165E-2</c:v>
                </c:pt>
                <c:pt idx="17">
                  <c:v>3.574894142554693E-2</c:v>
                </c:pt>
                <c:pt idx="18">
                  <c:v>2.1943366266760762E-2</c:v>
                </c:pt>
              </c:numCache>
            </c:numRef>
          </c:val>
          <c:smooth val="0"/>
          <c:extLst xmlns:c16r2="http://schemas.microsoft.com/office/drawing/2015/06/chart">
            <c:ext xmlns:c16="http://schemas.microsoft.com/office/drawing/2014/chart" uri="{C3380CC4-5D6E-409C-BE32-E72D297353CC}">
              <c16:uniqueId val="{0000000B-2C51-44D4-A72C-A874F48AD346}"/>
            </c:ext>
          </c:extLst>
        </c:ser>
        <c:ser>
          <c:idx val="12"/>
          <c:order val="12"/>
          <c:tx>
            <c:strRef>
              <c:f>'cropland extent'!$B$51</c:f>
              <c:strCache>
                <c:ptCount val="1"/>
                <c:pt idx="0">
                  <c:v>EL</c:v>
                </c:pt>
              </c:strCache>
            </c:strRef>
          </c:tx>
          <c:spPr>
            <a:ln w="28575" cap="rnd">
              <a:solidFill>
                <a:schemeClr val="accent1">
                  <a:lumMod val="80000"/>
                  <a:lumOff val="2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extent'!$D$51:$V$51</c:f>
              <c:numCache>
                <c:formatCode>0%</c:formatCode>
                <c:ptCount val="19"/>
                <c:pt idx="0">
                  <c:v>0.53871841771719575</c:v>
                </c:pt>
                <c:pt idx="1">
                  <c:v>0.49595853034707305</c:v>
                </c:pt>
                <c:pt idx="2">
                  <c:v>0.45354776523804824</c:v>
                </c:pt>
                <c:pt idx="3">
                  <c:v>0.42064678693675572</c:v>
                </c:pt>
                <c:pt idx="4">
                  <c:v>0.38992402796013936</c:v>
                </c:pt>
                <c:pt idx="5">
                  <c:v>0.36128841293573871</c:v>
                </c:pt>
                <c:pt idx="6">
                  <c:v>0.3349979887521915</c:v>
                </c:pt>
                <c:pt idx="7">
                  <c:v>0.30989154441062849</c:v>
                </c:pt>
                <c:pt idx="8">
                  <c:v>0.28676598942007758</c:v>
                </c:pt>
                <c:pt idx="9">
                  <c:v>0.26471057005593546</c:v>
                </c:pt>
                <c:pt idx="10">
                  <c:v>0.24418825279487549</c:v>
                </c:pt>
                <c:pt idx="11">
                  <c:v>0.22440212812786983</c:v>
                </c:pt>
                <c:pt idx="12">
                  <c:v>0.20684735008614213</c:v>
                </c:pt>
                <c:pt idx="13">
                  <c:v>0.18993009965163671</c:v>
                </c:pt>
                <c:pt idx="14">
                  <c:v>0.1733316130207424</c:v>
                </c:pt>
                <c:pt idx="15">
                  <c:v>0.15669517831798965</c:v>
                </c:pt>
                <c:pt idx="16">
                  <c:v>0.13966408366790883</c:v>
                </c:pt>
                <c:pt idx="17">
                  <c:v>0.12488710448622105</c:v>
                </c:pt>
                <c:pt idx="18">
                  <c:v>0.10646711040612027</c:v>
                </c:pt>
              </c:numCache>
            </c:numRef>
          </c:val>
          <c:smooth val="0"/>
          <c:extLst xmlns:c16r2="http://schemas.microsoft.com/office/drawing/2015/06/chart">
            <c:ext xmlns:c16="http://schemas.microsoft.com/office/drawing/2014/chart" uri="{C3380CC4-5D6E-409C-BE32-E72D297353CC}">
              <c16:uniqueId val="{0000000C-2C51-44D4-A72C-A874F48AD346}"/>
            </c:ext>
          </c:extLst>
        </c:ser>
        <c:ser>
          <c:idx val="13"/>
          <c:order val="13"/>
          <c:tx>
            <c:strRef>
              <c:f>'cropland extent'!$B$52</c:f>
              <c:strCache>
                <c:ptCount val="1"/>
                <c:pt idx="0">
                  <c:v>ES</c:v>
                </c:pt>
              </c:strCache>
            </c:strRef>
          </c:tx>
          <c:spPr>
            <a:ln w="28575" cap="rnd">
              <a:solidFill>
                <a:schemeClr val="accent2">
                  <a:lumMod val="80000"/>
                  <a:lumOff val="2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extent'!$D$52:$V$52</c:f>
              <c:numCache>
                <c:formatCode>0%</c:formatCode>
                <c:ptCount val="19"/>
                <c:pt idx="0">
                  <c:v>0.55335926198211871</c:v>
                </c:pt>
                <c:pt idx="1">
                  <c:v>0.51395048260488063</c:v>
                </c:pt>
                <c:pt idx="2">
                  <c:v>0.47314645734025818</c:v>
                </c:pt>
                <c:pt idx="3">
                  <c:v>0.4419095501221334</c:v>
                </c:pt>
                <c:pt idx="4">
                  <c:v>0.4118880483158236</c:v>
                </c:pt>
                <c:pt idx="5">
                  <c:v>0.38424992687804838</c:v>
                </c:pt>
                <c:pt idx="6">
                  <c:v>0.35860981336115921</c:v>
                </c:pt>
                <c:pt idx="7">
                  <c:v>0.3347127690690192</c:v>
                </c:pt>
                <c:pt idx="8">
                  <c:v>0.31208053691275167</c:v>
                </c:pt>
                <c:pt idx="9">
                  <c:v>0.29043841550659677</c:v>
                </c:pt>
                <c:pt idx="10">
                  <c:v>0.27031999747037572</c:v>
                </c:pt>
                <c:pt idx="11">
                  <c:v>0.25058497561284099</c:v>
                </c:pt>
                <c:pt idx="12">
                  <c:v>0.23106931961012167</c:v>
                </c:pt>
                <c:pt idx="13">
                  <c:v>0.21191136828957874</c:v>
                </c:pt>
                <c:pt idx="14">
                  <c:v>0.19256567141761724</c:v>
                </c:pt>
                <c:pt idx="15">
                  <c:v>0.17362510968292741</c:v>
                </c:pt>
                <c:pt idx="16">
                  <c:v>0.15487624603758074</c:v>
                </c:pt>
                <c:pt idx="17">
                  <c:v>0.1396925716002245</c:v>
                </c:pt>
                <c:pt idx="18">
                  <c:v>0.1197263262741006</c:v>
                </c:pt>
              </c:numCache>
            </c:numRef>
          </c:val>
          <c:smooth val="0"/>
          <c:extLst xmlns:c16r2="http://schemas.microsoft.com/office/drawing/2015/06/chart">
            <c:ext xmlns:c16="http://schemas.microsoft.com/office/drawing/2014/chart" uri="{C3380CC4-5D6E-409C-BE32-E72D297353CC}">
              <c16:uniqueId val="{0000000D-2C51-44D4-A72C-A874F48AD346}"/>
            </c:ext>
          </c:extLst>
        </c:ser>
        <c:ser>
          <c:idx val="14"/>
          <c:order val="14"/>
          <c:tx>
            <c:strRef>
              <c:f>'cropland extent'!$B$53</c:f>
              <c:strCache>
                <c:ptCount val="1"/>
                <c:pt idx="0">
                  <c:v>FI</c:v>
                </c:pt>
              </c:strCache>
            </c:strRef>
          </c:tx>
          <c:spPr>
            <a:ln w="28575" cap="rnd">
              <a:solidFill>
                <a:schemeClr val="accent3">
                  <a:lumMod val="80000"/>
                  <a:lumOff val="2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extent'!$D$53:$V$53</c:f>
              <c:numCache>
                <c:formatCode>0%</c:formatCode>
                <c:ptCount val="19"/>
                <c:pt idx="0">
                  <c:v>0.21129819301203176</c:v>
                </c:pt>
                <c:pt idx="1">
                  <c:v>0.18218610287298939</c:v>
                </c:pt>
                <c:pt idx="2">
                  <c:v>0.15459687191687677</c:v>
                </c:pt>
                <c:pt idx="3">
                  <c:v>0.1343760277077414</c:v>
                </c:pt>
                <c:pt idx="4">
                  <c:v>0.11593284013237616</c:v>
                </c:pt>
                <c:pt idx="5">
                  <c:v>0.10024798310041093</c:v>
                </c:pt>
                <c:pt idx="6">
                  <c:v>8.660743119728137E-2</c:v>
                </c:pt>
                <c:pt idx="7">
                  <c:v>7.500822166193119E-2</c:v>
                </c:pt>
                <c:pt idx="8">
                  <c:v>6.5020754141199261E-2</c:v>
                </c:pt>
                <c:pt idx="9">
                  <c:v>5.6046550901716327E-2</c:v>
                </c:pt>
                <c:pt idx="10">
                  <c:v>4.8215973429958849E-2</c:v>
                </c:pt>
                <c:pt idx="11">
                  <c:v>4.0960171603120377E-2</c:v>
                </c:pt>
                <c:pt idx="12">
                  <c:v>3.4575421526829284E-2</c:v>
                </c:pt>
                <c:pt idx="13">
                  <c:v>2.8617309042643022E-2</c:v>
                </c:pt>
                <c:pt idx="14">
                  <c:v>2.3586540769073516E-2</c:v>
                </c:pt>
                <c:pt idx="15">
                  <c:v>1.8964633521271142E-2</c:v>
                </c:pt>
                <c:pt idx="16">
                  <c:v>1.4926390201556635E-2</c:v>
                </c:pt>
                <c:pt idx="17">
                  <c:v>1.1901411163091107E-2</c:v>
                </c:pt>
                <c:pt idx="18">
                  <c:v>8.1238908163295542E-3</c:v>
                </c:pt>
              </c:numCache>
            </c:numRef>
          </c:val>
          <c:smooth val="0"/>
          <c:extLst xmlns:c16r2="http://schemas.microsoft.com/office/drawing/2015/06/chart">
            <c:ext xmlns:c16="http://schemas.microsoft.com/office/drawing/2014/chart" uri="{C3380CC4-5D6E-409C-BE32-E72D297353CC}">
              <c16:uniqueId val="{0000000E-2C51-44D4-A72C-A874F48AD346}"/>
            </c:ext>
          </c:extLst>
        </c:ser>
        <c:ser>
          <c:idx val="15"/>
          <c:order val="15"/>
          <c:tx>
            <c:strRef>
              <c:f>'cropland extent'!$B$54</c:f>
              <c:strCache>
                <c:ptCount val="1"/>
                <c:pt idx="0">
                  <c:v>FR</c:v>
                </c:pt>
              </c:strCache>
            </c:strRef>
          </c:tx>
          <c:spPr>
            <a:ln w="28575" cap="rnd">
              <a:solidFill>
                <a:schemeClr val="accent4">
                  <a:lumMod val="80000"/>
                  <a:lumOff val="20000"/>
                </a:schemeClr>
              </a:solidFill>
              <a:prstDash val="dash"/>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extent'!$D$54:$V$54</c:f>
              <c:numCache>
                <c:formatCode>0%</c:formatCode>
                <c:ptCount val="19"/>
                <c:pt idx="0">
                  <c:v>0.58799276276111634</c:v>
                </c:pt>
                <c:pt idx="1">
                  <c:v>0.54632067860863298</c:v>
                </c:pt>
                <c:pt idx="2">
                  <c:v>0.50256827990256359</c:v>
                </c:pt>
                <c:pt idx="3">
                  <c:v>0.46898404517791548</c:v>
                </c:pt>
                <c:pt idx="4">
                  <c:v>0.43732660781841109</c:v>
                </c:pt>
                <c:pt idx="5">
                  <c:v>0.40739858858176747</c:v>
                </c:pt>
                <c:pt idx="6">
                  <c:v>0.38007566204287518</c:v>
                </c:pt>
                <c:pt idx="7">
                  <c:v>0.35345609486735646</c:v>
                </c:pt>
                <c:pt idx="8">
                  <c:v>0.32787198546286217</c:v>
                </c:pt>
                <c:pt idx="9">
                  <c:v>0.30292857534482626</c:v>
                </c:pt>
                <c:pt idx="10">
                  <c:v>0.27843945078442583</c:v>
                </c:pt>
                <c:pt idx="11">
                  <c:v>0.25432472018359403</c:v>
                </c:pt>
                <c:pt idx="12">
                  <c:v>0.23042929985196556</c:v>
                </c:pt>
                <c:pt idx="13">
                  <c:v>0.20620021461076343</c:v>
                </c:pt>
                <c:pt idx="14">
                  <c:v>0.18219670564645618</c:v>
                </c:pt>
                <c:pt idx="15">
                  <c:v>0.1586756792743963</c:v>
                </c:pt>
                <c:pt idx="16">
                  <c:v>0.13535986465423386</c:v>
                </c:pt>
                <c:pt idx="17">
                  <c:v>0.11656810758735206</c:v>
                </c:pt>
                <c:pt idx="18">
                  <c:v>9.2194904169244862E-2</c:v>
                </c:pt>
              </c:numCache>
            </c:numRef>
          </c:val>
          <c:smooth val="0"/>
          <c:extLst xmlns:c16r2="http://schemas.microsoft.com/office/drawing/2015/06/chart">
            <c:ext xmlns:c16="http://schemas.microsoft.com/office/drawing/2014/chart" uri="{C3380CC4-5D6E-409C-BE32-E72D297353CC}">
              <c16:uniqueId val="{0000000F-2C51-44D4-A72C-A874F48AD346}"/>
            </c:ext>
          </c:extLst>
        </c:ser>
        <c:ser>
          <c:idx val="16"/>
          <c:order val="16"/>
          <c:tx>
            <c:strRef>
              <c:f>'cropland extent'!$B$55</c:f>
              <c:strCache>
                <c:ptCount val="1"/>
                <c:pt idx="0">
                  <c:v>HR</c:v>
                </c:pt>
              </c:strCache>
            </c:strRef>
          </c:tx>
          <c:spPr>
            <a:ln w="28575" cap="rnd">
              <a:solidFill>
                <a:schemeClr val="accent5">
                  <a:lumMod val="80000"/>
                  <a:lumOff val="2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extent'!$D$55:$V$55</c:f>
              <c:numCache>
                <c:formatCode>0%</c:formatCode>
                <c:ptCount val="19"/>
                <c:pt idx="0">
                  <c:v>0.58898365064760427</c:v>
                </c:pt>
                <c:pt idx="1">
                  <c:v>0.55108287918465571</c:v>
                </c:pt>
                <c:pt idx="2">
                  <c:v>0.50836931134545971</c:v>
                </c:pt>
                <c:pt idx="3">
                  <c:v>0.4759183240144384</c:v>
                </c:pt>
                <c:pt idx="4">
                  <c:v>0.4445643711515323</c:v>
                </c:pt>
                <c:pt idx="5">
                  <c:v>0.4135466062707906</c:v>
                </c:pt>
                <c:pt idx="6">
                  <c:v>0.38307735862410647</c:v>
                </c:pt>
                <c:pt idx="7">
                  <c:v>0.35439521551419068</c:v>
                </c:pt>
                <c:pt idx="8">
                  <c:v>0.32458064972751077</c:v>
                </c:pt>
                <c:pt idx="9">
                  <c:v>0.29772099936301222</c:v>
                </c:pt>
                <c:pt idx="10">
                  <c:v>0.27181683063203338</c:v>
                </c:pt>
                <c:pt idx="11">
                  <c:v>0.24522259183240144</c:v>
                </c:pt>
                <c:pt idx="12">
                  <c:v>0.21899992922358269</c:v>
                </c:pt>
                <c:pt idx="13">
                  <c:v>0.19422818316936796</c:v>
                </c:pt>
                <c:pt idx="14">
                  <c:v>0.17094274187840611</c:v>
                </c:pt>
                <c:pt idx="15">
                  <c:v>0.14744497133555098</c:v>
                </c:pt>
                <c:pt idx="16">
                  <c:v>0.12327482482836719</c:v>
                </c:pt>
                <c:pt idx="17">
                  <c:v>0.10566919102555028</c:v>
                </c:pt>
                <c:pt idx="18">
                  <c:v>8.1428268101068721E-2</c:v>
                </c:pt>
              </c:numCache>
            </c:numRef>
          </c:val>
          <c:smooth val="0"/>
          <c:extLst xmlns:c16r2="http://schemas.microsoft.com/office/drawing/2015/06/chart">
            <c:ext xmlns:c16="http://schemas.microsoft.com/office/drawing/2014/chart" uri="{C3380CC4-5D6E-409C-BE32-E72D297353CC}">
              <c16:uniqueId val="{00000010-2C51-44D4-A72C-A874F48AD346}"/>
            </c:ext>
          </c:extLst>
        </c:ser>
        <c:ser>
          <c:idx val="17"/>
          <c:order val="17"/>
          <c:tx>
            <c:strRef>
              <c:f>'cropland extent'!$B$56</c:f>
              <c:strCache>
                <c:ptCount val="1"/>
                <c:pt idx="0">
                  <c:v>HU</c:v>
                </c:pt>
              </c:strCache>
            </c:strRef>
          </c:tx>
          <c:spPr>
            <a:ln w="28575" cap="rnd">
              <a:solidFill>
                <a:schemeClr val="accent6">
                  <a:lumMod val="80000"/>
                  <a:lumOff val="2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extent'!$D$56:$V$56</c:f>
              <c:numCache>
                <c:formatCode>0%</c:formatCode>
                <c:ptCount val="19"/>
                <c:pt idx="0">
                  <c:v>0.82161941317506904</c:v>
                </c:pt>
                <c:pt idx="1">
                  <c:v>0.79231042157210596</c:v>
                </c:pt>
                <c:pt idx="2">
                  <c:v>0.75973292907138024</c:v>
                </c:pt>
                <c:pt idx="3">
                  <c:v>0.73296132632325905</c:v>
                </c:pt>
                <c:pt idx="4">
                  <c:v>0.70610371039361786</c:v>
                </c:pt>
                <c:pt idx="5">
                  <c:v>0.67805266157038568</c:v>
                </c:pt>
                <c:pt idx="6">
                  <c:v>0.64871141502435248</c:v>
                </c:pt>
                <c:pt idx="7">
                  <c:v>0.61911212893375911</c:v>
                </c:pt>
                <c:pt idx="8">
                  <c:v>0.58912578352632539</c:v>
                </c:pt>
                <c:pt idx="9">
                  <c:v>0.55827930630369105</c:v>
                </c:pt>
                <c:pt idx="10">
                  <c:v>0.52627165113053576</c:v>
                </c:pt>
                <c:pt idx="11">
                  <c:v>0.4935113806190799</c:v>
                </c:pt>
                <c:pt idx="12">
                  <c:v>0.45972970357707321</c:v>
                </c:pt>
                <c:pt idx="13">
                  <c:v>0.42444279585846528</c:v>
                </c:pt>
                <c:pt idx="14">
                  <c:v>0.38857529916459699</c:v>
                </c:pt>
                <c:pt idx="15">
                  <c:v>0.35040694986506682</c:v>
                </c:pt>
                <c:pt idx="16">
                  <c:v>0.31066886000279542</c:v>
                </c:pt>
                <c:pt idx="17">
                  <c:v>0.27841391693276996</c:v>
                </c:pt>
                <c:pt idx="18">
                  <c:v>0.23556860088808609</c:v>
                </c:pt>
              </c:numCache>
            </c:numRef>
          </c:val>
          <c:smooth val="0"/>
          <c:extLst xmlns:c16r2="http://schemas.microsoft.com/office/drawing/2015/06/chart">
            <c:ext xmlns:c16="http://schemas.microsoft.com/office/drawing/2014/chart" uri="{C3380CC4-5D6E-409C-BE32-E72D297353CC}">
              <c16:uniqueId val="{00000011-2C51-44D4-A72C-A874F48AD346}"/>
            </c:ext>
          </c:extLst>
        </c:ser>
        <c:ser>
          <c:idx val="18"/>
          <c:order val="18"/>
          <c:tx>
            <c:strRef>
              <c:f>'cropland extent'!$B$57</c:f>
              <c:strCache>
                <c:ptCount val="1"/>
                <c:pt idx="0">
                  <c:v>IE</c:v>
                </c:pt>
              </c:strCache>
            </c:strRef>
          </c:tx>
          <c:spPr>
            <a:ln w="28575" cap="rnd">
              <a:solidFill>
                <a:schemeClr val="accent1">
                  <a:lumMod val="8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extent'!$D$57:$V$57</c:f>
              <c:numCache>
                <c:formatCode>0%</c:formatCode>
                <c:ptCount val="19"/>
                <c:pt idx="0">
                  <c:v>0.27826708607377754</c:v>
                </c:pt>
                <c:pt idx="1">
                  <c:v>0.22845295967972548</c:v>
                </c:pt>
                <c:pt idx="2">
                  <c:v>0.18478696025164426</c:v>
                </c:pt>
                <c:pt idx="3">
                  <c:v>0.15500428939090649</c:v>
                </c:pt>
                <c:pt idx="4">
                  <c:v>0.128524449528167</c:v>
                </c:pt>
                <c:pt idx="5">
                  <c:v>0.10680583357163283</c:v>
                </c:pt>
                <c:pt idx="6">
                  <c:v>8.7789533886188167E-2</c:v>
                </c:pt>
                <c:pt idx="7">
                  <c:v>7.1475550471833002E-2</c:v>
                </c:pt>
                <c:pt idx="8">
                  <c:v>5.8421504146411209E-2</c:v>
                </c:pt>
                <c:pt idx="9">
                  <c:v>4.7097512153274235E-2</c:v>
                </c:pt>
                <c:pt idx="10">
                  <c:v>3.8032599370889333E-2</c:v>
                </c:pt>
                <c:pt idx="11">
                  <c:v>3.0011438375750644E-2</c:v>
                </c:pt>
                <c:pt idx="12">
                  <c:v>2.3405776379754075E-2</c:v>
                </c:pt>
                <c:pt idx="13">
                  <c:v>1.7829568201315413E-2</c:v>
                </c:pt>
                <c:pt idx="14">
                  <c:v>1.3197026022304832E-2</c:v>
                </c:pt>
                <c:pt idx="15">
                  <c:v>9.7226193880468968E-3</c:v>
                </c:pt>
                <c:pt idx="16">
                  <c:v>7.0488990563340008E-3</c:v>
                </c:pt>
                <c:pt idx="17">
                  <c:v>4.847011724335144E-3</c:v>
                </c:pt>
                <c:pt idx="18">
                  <c:v>2.9596797254789818E-3</c:v>
                </c:pt>
              </c:numCache>
            </c:numRef>
          </c:val>
          <c:smooth val="0"/>
          <c:extLst xmlns:c16r2="http://schemas.microsoft.com/office/drawing/2015/06/chart">
            <c:ext xmlns:c16="http://schemas.microsoft.com/office/drawing/2014/chart" uri="{C3380CC4-5D6E-409C-BE32-E72D297353CC}">
              <c16:uniqueId val="{00000012-2C51-44D4-A72C-A874F48AD346}"/>
            </c:ext>
          </c:extLst>
        </c:ser>
        <c:ser>
          <c:idx val="19"/>
          <c:order val="19"/>
          <c:tx>
            <c:strRef>
              <c:f>'cropland extent'!$B$58</c:f>
              <c:strCache>
                <c:ptCount val="1"/>
                <c:pt idx="0">
                  <c:v>IT</c:v>
                </c:pt>
              </c:strCache>
            </c:strRef>
          </c:tx>
          <c:spPr>
            <a:ln w="28575" cap="rnd">
              <a:solidFill>
                <a:schemeClr val="accent2">
                  <a:lumMod val="8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extent'!$D$58:$V$58</c:f>
              <c:numCache>
                <c:formatCode>0%</c:formatCode>
                <c:ptCount val="19"/>
                <c:pt idx="0">
                  <c:v>0.65300182936969897</c:v>
                </c:pt>
                <c:pt idx="1">
                  <c:v>0.61827706635622814</c:v>
                </c:pt>
                <c:pt idx="2">
                  <c:v>0.5797372359886912</c:v>
                </c:pt>
                <c:pt idx="3">
                  <c:v>0.54814235822384838</c:v>
                </c:pt>
                <c:pt idx="4">
                  <c:v>0.517661732912024</c:v>
                </c:pt>
                <c:pt idx="5">
                  <c:v>0.48837518709462829</c:v>
                </c:pt>
                <c:pt idx="6">
                  <c:v>0.45958423415932148</c:v>
                </c:pt>
                <c:pt idx="7">
                  <c:v>0.43191085980375854</c:v>
                </c:pt>
                <c:pt idx="8">
                  <c:v>0.40532845501413606</c:v>
                </c:pt>
                <c:pt idx="9">
                  <c:v>0.3794312323299518</c:v>
                </c:pt>
                <c:pt idx="10">
                  <c:v>0.35418593048395142</c:v>
                </c:pt>
                <c:pt idx="11">
                  <c:v>0.32946283053384334</c:v>
                </c:pt>
                <c:pt idx="12">
                  <c:v>0.30461001164144352</c:v>
                </c:pt>
                <c:pt idx="13">
                  <c:v>0.27972725760851491</c:v>
                </c:pt>
                <c:pt idx="14">
                  <c:v>0.25434225844004654</c:v>
                </c:pt>
                <c:pt idx="15">
                  <c:v>0.22934641609845335</c:v>
                </c:pt>
                <c:pt idx="16">
                  <c:v>0.20317312489605854</c:v>
                </c:pt>
                <c:pt idx="17">
                  <c:v>0.18101446865125562</c:v>
                </c:pt>
                <c:pt idx="18">
                  <c:v>0.15127556959920174</c:v>
                </c:pt>
              </c:numCache>
            </c:numRef>
          </c:val>
          <c:smooth val="0"/>
          <c:extLst xmlns:c16r2="http://schemas.microsoft.com/office/drawing/2015/06/chart">
            <c:ext xmlns:c16="http://schemas.microsoft.com/office/drawing/2014/chart" uri="{C3380CC4-5D6E-409C-BE32-E72D297353CC}">
              <c16:uniqueId val="{00000013-2C51-44D4-A72C-A874F48AD346}"/>
            </c:ext>
          </c:extLst>
        </c:ser>
        <c:ser>
          <c:idx val="20"/>
          <c:order val="20"/>
          <c:tx>
            <c:strRef>
              <c:f>'cropland extent'!$B$59</c:f>
              <c:strCache>
                <c:ptCount val="1"/>
                <c:pt idx="0">
                  <c:v>LT</c:v>
                </c:pt>
              </c:strCache>
            </c:strRef>
          </c:tx>
          <c:spPr>
            <a:ln w="28575" cap="rnd">
              <a:solidFill>
                <a:schemeClr val="accent3">
                  <a:lumMod val="8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extent'!$D$59:$V$59</c:f>
              <c:numCache>
                <c:formatCode>0%</c:formatCode>
                <c:ptCount val="19"/>
                <c:pt idx="0">
                  <c:v>0.80844736193293887</c:v>
                </c:pt>
                <c:pt idx="1">
                  <c:v>0.7621579142011834</c:v>
                </c:pt>
                <c:pt idx="2">
                  <c:v>0.71007458086785014</c:v>
                </c:pt>
                <c:pt idx="3">
                  <c:v>0.66677453155818545</c:v>
                </c:pt>
                <c:pt idx="4">
                  <c:v>0.62503081854043396</c:v>
                </c:pt>
                <c:pt idx="5">
                  <c:v>0.58586045364891515</c:v>
                </c:pt>
                <c:pt idx="6">
                  <c:v>0.54892443293885607</c:v>
                </c:pt>
                <c:pt idx="7">
                  <c:v>0.51397620808678501</c:v>
                </c:pt>
                <c:pt idx="8">
                  <c:v>0.47836538461538464</c:v>
                </c:pt>
                <c:pt idx="9">
                  <c:v>0.4427545611439842</c:v>
                </c:pt>
                <c:pt idx="10">
                  <c:v>0.40689718934911245</c:v>
                </c:pt>
                <c:pt idx="11">
                  <c:v>0.37188732741617359</c:v>
                </c:pt>
                <c:pt idx="12">
                  <c:v>0.33804857001972388</c:v>
                </c:pt>
                <c:pt idx="13">
                  <c:v>0.30350098619329391</c:v>
                </c:pt>
                <c:pt idx="14">
                  <c:v>0.26735083826429978</c:v>
                </c:pt>
                <c:pt idx="15">
                  <c:v>0.23234097633136094</c:v>
                </c:pt>
                <c:pt idx="16">
                  <c:v>0.19723865877712032</c:v>
                </c:pt>
                <c:pt idx="17">
                  <c:v>0.1672214003944773</c:v>
                </c:pt>
                <c:pt idx="18">
                  <c:v>0.12481508875739646</c:v>
                </c:pt>
              </c:numCache>
            </c:numRef>
          </c:val>
          <c:smooth val="0"/>
          <c:extLst xmlns:c16r2="http://schemas.microsoft.com/office/drawing/2015/06/chart">
            <c:ext xmlns:c16="http://schemas.microsoft.com/office/drawing/2014/chart" uri="{C3380CC4-5D6E-409C-BE32-E72D297353CC}">
              <c16:uniqueId val="{00000014-2C51-44D4-A72C-A874F48AD346}"/>
            </c:ext>
          </c:extLst>
        </c:ser>
        <c:ser>
          <c:idx val="21"/>
          <c:order val="21"/>
          <c:tx>
            <c:strRef>
              <c:f>'cropland extent'!$B$60</c:f>
              <c:strCache>
                <c:ptCount val="1"/>
                <c:pt idx="0">
                  <c:v>LU</c:v>
                </c:pt>
              </c:strCache>
            </c:strRef>
          </c:tx>
          <c:spPr>
            <a:ln w="28575" cap="rnd">
              <a:solidFill>
                <a:schemeClr val="accent4">
                  <a:lumMod val="8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extent'!$D$60:$V$60</c:f>
              <c:numCache>
                <c:formatCode>0%</c:formatCode>
                <c:ptCount val="19"/>
                <c:pt idx="0">
                  <c:v>0.77456647398843925</c:v>
                </c:pt>
                <c:pt idx="1">
                  <c:v>0.69017341040462432</c:v>
                </c:pt>
                <c:pt idx="2">
                  <c:v>0.59730250481695568</c:v>
                </c:pt>
                <c:pt idx="3">
                  <c:v>0.52947976878612713</c:v>
                </c:pt>
                <c:pt idx="4">
                  <c:v>0.45664739884393063</c:v>
                </c:pt>
                <c:pt idx="5">
                  <c:v>0.37726396917148364</c:v>
                </c:pt>
                <c:pt idx="6">
                  <c:v>0.31368015414258188</c:v>
                </c:pt>
                <c:pt idx="7">
                  <c:v>0.25587668593448942</c:v>
                </c:pt>
                <c:pt idx="8">
                  <c:v>0.20847784200385355</c:v>
                </c:pt>
                <c:pt idx="9">
                  <c:v>0.16994219653179191</c:v>
                </c:pt>
                <c:pt idx="10">
                  <c:v>0.13217726396917148</c:v>
                </c:pt>
                <c:pt idx="11">
                  <c:v>0.10327552986512524</c:v>
                </c:pt>
                <c:pt idx="12">
                  <c:v>7.7071290944123308E-2</c:v>
                </c:pt>
                <c:pt idx="13">
                  <c:v>5.7032755298651254E-2</c:v>
                </c:pt>
                <c:pt idx="14">
                  <c:v>4.2774566473988439E-2</c:v>
                </c:pt>
                <c:pt idx="15">
                  <c:v>2.5048169556840076E-2</c:v>
                </c:pt>
                <c:pt idx="16">
                  <c:v>1.6955684007707129E-2</c:v>
                </c:pt>
                <c:pt idx="17">
                  <c:v>1.1946050096339113E-2</c:v>
                </c:pt>
                <c:pt idx="18">
                  <c:v>4.2389210019267822E-3</c:v>
                </c:pt>
              </c:numCache>
            </c:numRef>
          </c:val>
          <c:smooth val="0"/>
          <c:extLst xmlns:c16r2="http://schemas.microsoft.com/office/drawing/2015/06/chart">
            <c:ext xmlns:c16="http://schemas.microsoft.com/office/drawing/2014/chart" uri="{C3380CC4-5D6E-409C-BE32-E72D297353CC}">
              <c16:uniqueId val="{00000015-2C51-44D4-A72C-A874F48AD346}"/>
            </c:ext>
          </c:extLst>
        </c:ser>
        <c:ser>
          <c:idx val="22"/>
          <c:order val="22"/>
          <c:tx>
            <c:strRef>
              <c:f>'cropland extent'!$B$61</c:f>
              <c:strCache>
                <c:ptCount val="1"/>
                <c:pt idx="0">
                  <c:v>NL</c:v>
                </c:pt>
              </c:strCache>
            </c:strRef>
          </c:tx>
          <c:spPr>
            <a:ln w="28575" cap="rnd">
              <a:solidFill>
                <a:schemeClr val="accent5">
                  <a:lumMod val="8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extent'!$D$61:$V$61</c:f>
              <c:numCache>
                <c:formatCode>0%</c:formatCode>
                <c:ptCount val="19"/>
                <c:pt idx="0">
                  <c:v>0.54331193151417867</c:v>
                </c:pt>
                <c:pt idx="1">
                  <c:v>0.51326912787586942</c:v>
                </c:pt>
                <c:pt idx="2">
                  <c:v>0.48188871054039595</c:v>
                </c:pt>
                <c:pt idx="3">
                  <c:v>0.45765115034777953</c:v>
                </c:pt>
                <c:pt idx="4">
                  <c:v>0.43405564472980201</c:v>
                </c:pt>
                <c:pt idx="5">
                  <c:v>0.40914927768860354</c:v>
                </c:pt>
                <c:pt idx="6">
                  <c:v>0.38437667201712145</c:v>
                </c:pt>
                <c:pt idx="7">
                  <c:v>0.36016586409844836</c:v>
                </c:pt>
                <c:pt idx="8">
                  <c:v>0.33384162653825578</c:v>
                </c:pt>
                <c:pt idx="9">
                  <c:v>0.30722311396468699</c:v>
                </c:pt>
                <c:pt idx="10">
                  <c:v>0.2819957196361691</c:v>
                </c:pt>
                <c:pt idx="11">
                  <c:v>0.25642054574638845</c:v>
                </c:pt>
                <c:pt idx="12">
                  <c:v>0.23025682182985555</c:v>
                </c:pt>
                <c:pt idx="13">
                  <c:v>0.20628678437667203</c:v>
                </c:pt>
                <c:pt idx="14">
                  <c:v>0.18220973782771535</c:v>
                </c:pt>
                <c:pt idx="15">
                  <c:v>0.16056714820759765</c:v>
                </c:pt>
                <c:pt idx="16">
                  <c:v>0.14143927233814874</c:v>
                </c:pt>
                <c:pt idx="17">
                  <c:v>0.1272338148742643</c:v>
                </c:pt>
                <c:pt idx="18">
                  <c:v>0.10765115034777956</c:v>
                </c:pt>
              </c:numCache>
            </c:numRef>
          </c:val>
          <c:smooth val="0"/>
          <c:extLst xmlns:c16r2="http://schemas.microsoft.com/office/drawing/2015/06/chart">
            <c:ext xmlns:c16="http://schemas.microsoft.com/office/drawing/2014/chart" uri="{C3380CC4-5D6E-409C-BE32-E72D297353CC}">
              <c16:uniqueId val="{00000016-2C51-44D4-A72C-A874F48AD346}"/>
            </c:ext>
          </c:extLst>
        </c:ser>
        <c:ser>
          <c:idx val="23"/>
          <c:order val="23"/>
          <c:tx>
            <c:strRef>
              <c:f>'cropland extent'!$B$62</c:f>
              <c:strCache>
                <c:ptCount val="1"/>
                <c:pt idx="0">
                  <c:v>LV</c:v>
                </c:pt>
              </c:strCache>
            </c:strRef>
          </c:tx>
          <c:spPr>
            <a:ln w="28575" cap="rnd">
              <a:solidFill>
                <a:schemeClr val="accent6">
                  <a:lumMod val="8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extent'!$D$62:$V$62</c:f>
              <c:numCache>
                <c:formatCode>0%</c:formatCode>
                <c:ptCount val="19"/>
                <c:pt idx="0">
                  <c:v>0.61065865667482122</c:v>
                </c:pt>
                <c:pt idx="1">
                  <c:v>0.54567553339733066</c:v>
                </c:pt>
                <c:pt idx="2">
                  <c:v>0.4791595701854891</c:v>
                </c:pt>
                <c:pt idx="3">
                  <c:v>0.42893196668008549</c:v>
                </c:pt>
                <c:pt idx="4">
                  <c:v>0.38412349425572107</c:v>
                </c:pt>
                <c:pt idx="5">
                  <c:v>0.34231876877341838</c:v>
                </c:pt>
                <c:pt idx="6">
                  <c:v>0.3047099990710061</c:v>
                </c:pt>
                <c:pt idx="7">
                  <c:v>0.27145201746508529</c:v>
                </c:pt>
                <c:pt idx="8">
                  <c:v>0.24062490322980212</c:v>
                </c:pt>
                <c:pt idx="9">
                  <c:v>0.2119189917319543</c:v>
                </c:pt>
                <c:pt idx="10">
                  <c:v>0.18544266559316261</c:v>
                </c:pt>
                <c:pt idx="11">
                  <c:v>0.16017403152385967</c:v>
                </c:pt>
                <c:pt idx="12">
                  <c:v>0.13724336543523363</c:v>
                </c:pt>
                <c:pt idx="13">
                  <c:v>0.11643390208404299</c:v>
                </c:pt>
                <c:pt idx="14">
                  <c:v>9.7017929582262408E-2</c:v>
                </c:pt>
                <c:pt idx="15">
                  <c:v>7.9908958597838545E-2</c:v>
                </c:pt>
                <c:pt idx="16">
                  <c:v>6.3620598891400607E-2</c:v>
                </c:pt>
                <c:pt idx="17">
                  <c:v>5.1342396184931721E-2</c:v>
                </c:pt>
                <c:pt idx="18">
                  <c:v>3.6292695011302757E-2</c:v>
                </c:pt>
              </c:numCache>
            </c:numRef>
          </c:val>
          <c:smooth val="0"/>
          <c:extLst xmlns:c16r2="http://schemas.microsoft.com/office/drawing/2015/06/chart">
            <c:ext xmlns:c16="http://schemas.microsoft.com/office/drawing/2014/chart" uri="{C3380CC4-5D6E-409C-BE32-E72D297353CC}">
              <c16:uniqueId val="{00000017-2C51-44D4-A72C-A874F48AD346}"/>
            </c:ext>
          </c:extLst>
        </c:ser>
        <c:ser>
          <c:idx val="24"/>
          <c:order val="24"/>
          <c:tx>
            <c:strRef>
              <c:f>'cropland extent'!$B$63</c:f>
              <c:strCache>
                <c:ptCount val="1"/>
                <c:pt idx="0">
                  <c:v>ME</c:v>
                </c:pt>
              </c:strCache>
            </c:strRef>
          </c:tx>
          <c:spPr>
            <a:ln w="28575" cap="rnd">
              <a:solidFill>
                <a:schemeClr val="accent1">
                  <a:lumMod val="60000"/>
                  <a:lumOff val="4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extent'!$D$63:$V$63</c:f>
              <c:numCache>
                <c:formatCode>0%</c:formatCode>
                <c:ptCount val="19"/>
                <c:pt idx="0">
                  <c:v>0.3786470715366328</c:v>
                </c:pt>
                <c:pt idx="1">
                  <c:v>0.33052373748289027</c:v>
                </c:pt>
                <c:pt idx="2">
                  <c:v>0.28441754916792739</c:v>
                </c:pt>
                <c:pt idx="3">
                  <c:v>0.24717239391974641</c:v>
                </c:pt>
                <c:pt idx="4">
                  <c:v>0.21324112095670342</c:v>
                </c:pt>
                <c:pt idx="5">
                  <c:v>0.18089474821698726</c:v>
                </c:pt>
                <c:pt idx="6">
                  <c:v>0.15236654419710396</c:v>
                </c:pt>
                <c:pt idx="7">
                  <c:v>0.12794467257402203</c:v>
                </c:pt>
                <c:pt idx="8">
                  <c:v>0.10597219220517254</c:v>
                </c:pt>
                <c:pt idx="9">
                  <c:v>8.8610330667819315E-2</c:v>
                </c:pt>
                <c:pt idx="10">
                  <c:v>7.081622361501333E-2</c:v>
                </c:pt>
                <c:pt idx="11">
                  <c:v>5.8353144586124922E-2</c:v>
                </c:pt>
                <c:pt idx="12">
                  <c:v>4.6178229234205032E-2</c:v>
                </c:pt>
                <c:pt idx="13">
                  <c:v>3.6164541459549025E-2</c:v>
                </c:pt>
                <c:pt idx="14">
                  <c:v>2.7159426554282832E-2</c:v>
                </c:pt>
                <c:pt idx="15">
                  <c:v>2.0459621064764788E-2</c:v>
                </c:pt>
                <c:pt idx="16">
                  <c:v>1.5632879475542108E-2</c:v>
                </c:pt>
                <c:pt idx="17">
                  <c:v>1.1310424321014336E-2</c:v>
                </c:pt>
                <c:pt idx="18">
                  <c:v>7.2761328434550821E-3</c:v>
                </c:pt>
              </c:numCache>
            </c:numRef>
          </c:val>
          <c:smooth val="0"/>
          <c:extLst xmlns:c16r2="http://schemas.microsoft.com/office/drawing/2015/06/chart">
            <c:ext xmlns:c16="http://schemas.microsoft.com/office/drawing/2014/chart" uri="{C3380CC4-5D6E-409C-BE32-E72D297353CC}">
              <c16:uniqueId val="{00000018-2C51-44D4-A72C-A874F48AD346}"/>
            </c:ext>
          </c:extLst>
        </c:ser>
        <c:ser>
          <c:idx val="25"/>
          <c:order val="25"/>
          <c:tx>
            <c:strRef>
              <c:f>'cropland extent'!$B$64</c:f>
              <c:strCache>
                <c:ptCount val="1"/>
                <c:pt idx="0">
                  <c:v>MK</c:v>
                </c:pt>
              </c:strCache>
            </c:strRef>
          </c:tx>
          <c:spPr>
            <a:ln w="28575" cap="rnd">
              <a:solidFill>
                <a:schemeClr val="accent2">
                  <a:lumMod val="60000"/>
                  <a:lumOff val="4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extent'!$D$64:$V$64</c:f>
              <c:numCache>
                <c:formatCode>0%</c:formatCode>
                <c:ptCount val="19"/>
                <c:pt idx="0">
                  <c:v>0.47489482168835767</c:v>
                </c:pt>
                <c:pt idx="1">
                  <c:v>0.43451421381669486</c:v>
                </c:pt>
                <c:pt idx="2">
                  <c:v>0.39303267408485038</c:v>
                </c:pt>
                <c:pt idx="3">
                  <c:v>0.36460504069515981</c:v>
                </c:pt>
                <c:pt idx="4">
                  <c:v>0.33668855424055361</c:v>
                </c:pt>
                <c:pt idx="5">
                  <c:v>0.31093461251130422</c:v>
                </c:pt>
                <c:pt idx="6">
                  <c:v>0.28738253450241813</c:v>
                </c:pt>
                <c:pt idx="7">
                  <c:v>0.26477411237368775</c:v>
                </c:pt>
                <c:pt idx="8">
                  <c:v>0.24456414894035308</c:v>
                </c:pt>
                <c:pt idx="9">
                  <c:v>0.22687060118743366</c:v>
                </c:pt>
                <c:pt idx="10">
                  <c:v>0.20890182046946881</c:v>
                </c:pt>
                <c:pt idx="11">
                  <c:v>0.19313490347186726</c:v>
                </c:pt>
                <c:pt idx="12">
                  <c:v>0.17642433059411</c:v>
                </c:pt>
                <c:pt idx="13">
                  <c:v>0.16266268234183934</c:v>
                </c:pt>
                <c:pt idx="14">
                  <c:v>0.14835056815947784</c:v>
                </c:pt>
                <c:pt idx="15">
                  <c:v>0.13266228915188927</c:v>
                </c:pt>
                <c:pt idx="16">
                  <c:v>0.11783902803444345</c:v>
                </c:pt>
                <c:pt idx="17">
                  <c:v>0.10521763063736091</c:v>
                </c:pt>
                <c:pt idx="18">
                  <c:v>8.9568670624778829E-2</c:v>
                </c:pt>
              </c:numCache>
            </c:numRef>
          </c:val>
          <c:smooth val="0"/>
          <c:extLst xmlns:c16r2="http://schemas.microsoft.com/office/drawing/2015/06/chart">
            <c:ext xmlns:c16="http://schemas.microsoft.com/office/drawing/2014/chart" uri="{C3380CC4-5D6E-409C-BE32-E72D297353CC}">
              <c16:uniqueId val="{00000019-2C51-44D4-A72C-A874F48AD346}"/>
            </c:ext>
          </c:extLst>
        </c:ser>
        <c:ser>
          <c:idx val="26"/>
          <c:order val="26"/>
          <c:tx>
            <c:strRef>
              <c:f>'cropland extent'!$B$65</c:f>
              <c:strCache>
                <c:ptCount val="1"/>
                <c:pt idx="0">
                  <c:v>PL</c:v>
                </c:pt>
              </c:strCache>
            </c:strRef>
          </c:tx>
          <c:spPr>
            <a:ln w="28575" cap="rnd">
              <a:solidFill>
                <a:schemeClr val="accent3">
                  <a:lumMod val="60000"/>
                  <a:lumOff val="4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extent'!$D$65:$V$65</c:f>
              <c:numCache>
                <c:formatCode>0%</c:formatCode>
                <c:ptCount val="19"/>
                <c:pt idx="0">
                  <c:v>0.77183505855273915</c:v>
                </c:pt>
                <c:pt idx="1">
                  <c:v>0.73972962835920897</c:v>
                </c:pt>
                <c:pt idx="2">
                  <c:v>0.70479032894040861</c:v>
                </c:pt>
                <c:pt idx="3">
                  <c:v>0.67634584745192194</c:v>
                </c:pt>
                <c:pt idx="4">
                  <c:v>0.64755514664632097</c:v>
                </c:pt>
                <c:pt idx="5">
                  <c:v>0.61874521143421357</c:v>
                </c:pt>
                <c:pt idx="6">
                  <c:v>0.58954417662314351</c:v>
                </c:pt>
                <c:pt idx="7">
                  <c:v>0.55984304724290812</c:v>
                </c:pt>
                <c:pt idx="8">
                  <c:v>0.52885641836116448</c:v>
                </c:pt>
                <c:pt idx="9">
                  <c:v>0.49679586844948243</c:v>
                </c:pt>
                <c:pt idx="10">
                  <c:v>0.46403646843473606</c:v>
                </c:pt>
                <c:pt idx="11">
                  <c:v>0.43061668712993806</c:v>
                </c:pt>
                <c:pt idx="12">
                  <c:v>0.39500738921783285</c:v>
                </c:pt>
                <c:pt idx="13">
                  <c:v>0.35823440971209297</c:v>
                </c:pt>
                <c:pt idx="14">
                  <c:v>0.31892569428193152</c:v>
                </c:pt>
                <c:pt idx="15">
                  <c:v>0.27859114383809758</c:v>
                </c:pt>
                <c:pt idx="16">
                  <c:v>0.23855793242952994</c:v>
                </c:pt>
                <c:pt idx="17">
                  <c:v>0.20624092376442982</c:v>
                </c:pt>
                <c:pt idx="18">
                  <c:v>0.16450546738004942</c:v>
                </c:pt>
              </c:numCache>
            </c:numRef>
          </c:val>
          <c:smooth val="0"/>
          <c:extLst xmlns:c16r2="http://schemas.microsoft.com/office/drawing/2015/06/chart">
            <c:ext xmlns:c16="http://schemas.microsoft.com/office/drawing/2014/chart" uri="{C3380CC4-5D6E-409C-BE32-E72D297353CC}">
              <c16:uniqueId val="{0000001A-2C51-44D4-A72C-A874F48AD346}"/>
            </c:ext>
          </c:extLst>
        </c:ser>
        <c:ser>
          <c:idx val="27"/>
          <c:order val="27"/>
          <c:tx>
            <c:strRef>
              <c:f>'cropland extent'!$B$66</c:f>
              <c:strCache>
                <c:ptCount val="1"/>
                <c:pt idx="0">
                  <c:v>SI</c:v>
                </c:pt>
              </c:strCache>
            </c:strRef>
          </c:tx>
          <c:spPr>
            <a:ln w="28575" cap="rnd">
              <a:solidFill>
                <a:schemeClr val="accent4">
                  <a:lumMod val="60000"/>
                  <a:lumOff val="4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extent'!$D$66:$V$66</c:f>
              <c:numCache>
                <c:formatCode>0%</c:formatCode>
                <c:ptCount val="19"/>
                <c:pt idx="0">
                  <c:v>0.61176064328350843</c:v>
                </c:pt>
                <c:pt idx="1">
                  <c:v>0.56213309654185784</c:v>
                </c:pt>
                <c:pt idx="2">
                  <c:v>0.50471116373143898</c:v>
                </c:pt>
                <c:pt idx="3">
                  <c:v>0.45508361698978839</c:v>
                </c:pt>
                <c:pt idx="4">
                  <c:v>0.40797197967539833</c:v>
                </c:pt>
                <c:pt idx="5">
                  <c:v>0.36234028908292637</c:v>
                </c:pt>
                <c:pt idx="6">
                  <c:v>0.31473533619456368</c:v>
                </c:pt>
                <c:pt idx="7">
                  <c:v>0.27374081199743477</c:v>
                </c:pt>
                <c:pt idx="8">
                  <c:v>0.2383700853435943</c:v>
                </c:pt>
                <c:pt idx="9">
                  <c:v>0.2046766316412609</c:v>
                </c:pt>
                <c:pt idx="10">
                  <c:v>0.17433772384194168</c:v>
                </c:pt>
                <c:pt idx="11">
                  <c:v>0.14488678407577327</c:v>
                </c:pt>
                <c:pt idx="12">
                  <c:v>0.12184894677124956</c:v>
                </c:pt>
                <c:pt idx="13">
                  <c:v>9.8860441024123127E-2</c:v>
                </c:pt>
                <c:pt idx="14">
                  <c:v>7.9275812737408122E-2</c:v>
                </c:pt>
                <c:pt idx="15">
                  <c:v>6.0036505352473978E-2</c:v>
                </c:pt>
                <c:pt idx="16">
                  <c:v>4.5187706575896602E-2</c:v>
                </c:pt>
                <c:pt idx="17">
                  <c:v>3.4186769276306053E-2</c:v>
                </c:pt>
                <c:pt idx="18">
                  <c:v>2.0521927877263084E-2</c:v>
                </c:pt>
              </c:numCache>
            </c:numRef>
          </c:val>
          <c:smooth val="0"/>
          <c:extLst xmlns:c16r2="http://schemas.microsoft.com/office/drawing/2015/06/chart">
            <c:ext xmlns:c16="http://schemas.microsoft.com/office/drawing/2014/chart" uri="{C3380CC4-5D6E-409C-BE32-E72D297353CC}">
              <c16:uniqueId val="{0000001B-2C51-44D4-A72C-A874F48AD346}"/>
            </c:ext>
          </c:extLst>
        </c:ser>
        <c:ser>
          <c:idx val="28"/>
          <c:order val="28"/>
          <c:tx>
            <c:strRef>
              <c:f>'cropland extent'!$B$67</c:f>
              <c:strCache>
                <c:ptCount val="1"/>
                <c:pt idx="0">
                  <c:v>SK</c:v>
                </c:pt>
              </c:strCache>
            </c:strRef>
          </c:tx>
          <c:spPr>
            <a:ln w="28575" cap="rnd">
              <a:solidFill>
                <a:schemeClr val="accent5">
                  <a:lumMod val="60000"/>
                  <a:lumOff val="4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extent'!$D$67:$V$67</c:f>
              <c:numCache>
                <c:formatCode>0%</c:formatCode>
                <c:ptCount val="19"/>
                <c:pt idx="0">
                  <c:v>0.6443098137608877</c:v>
                </c:pt>
                <c:pt idx="1">
                  <c:v>0.60861228402994516</c:v>
                </c:pt>
                <c:pt idx="2">
                  <c:v>0.57083409828039899</c:v>
                </c:pt>
                <c:pt idx="3">
                  <c:v>0.54068498459906578</c:v>
                </c:pt>
                <c:pt idx="4">
                  <c:v>0.51361605776880237</c:v>
                </c:pt>
                <c:pt idx="5">
                  <c:v>0.48789343777410604</c:v>
                </c:pt>
                <c:pt idx="6">
                  <c:v>0.46135487424270238</c:v>
                </c:pt>
                <c:pt idx="7">
                  <c:v>0.43667258225730782</c:v>
                </c:pt>
                <c:pt idx="8">
                  <c:v>0.41313261122330336</c:v>
                </c:pt>
                <c:pt idx="9">
                  <c:v>0.38857271076841482</c:v>
                </c:pt>
                <c:pt idx="10">
                  <c:v>0.36411480325561474</c:v>
                </c:pt>
                <c:pt idx="11">
                  <c:v>0.33947330844705548</c:v>
                </c:pt>
                <c:pt idx="12">
                  <c:v>0.31454623340064869</c:v>
                </c:pt>
                <c:pt idx="13">
                  <c:v>0.28959875976582422</c:v>
                </c:pt>
                <c:pt idx="14">
                  <c:v>0.26328458070701505</c:v>
                </c:pt>
                <c:pt idx="15">
                  <c:v>0.23611366093466332</c:v>
                </c:pt>
                <c:pt idx="16">
                  <c:v>0.20831038492136345</c:v>
                </c:pt>
                <c:pt idx="17">
                  <c:v>0.18487240682944739</c:v>
                </c:pt>
                <c:pt idx="18">
                  <c:v>0.15233665830324541</c:v>
                </c:pt>
              </c:numCache>
            </c:numRef>
          </c:val>
          <c:smooth val="0"/>
          <c:extLst xmlns:c16r2="http://schemas.microsoft.com/office/drawing/2015/06/chart">
            <c:ext xmlns:c16="http://schemas.microsoft.com/office/drawing/2014/chart" uri="{C3380CC4-5D6E-409C-BE32-E72D297353CC}">
              <c16:uniqueId val="{0000001C-2C51-44D4-A72C-A874F48AD346}"/>
            </c:ext>
          </c:extLst>
        </c:ser>
        <c:ser>
          <c:idx val="29"/>
          <c:order val="29"/>
          <c:tx>
            <c:strRef>
              <c:f>'cropland extent'!$B$68</c:f>
              <c:strCache>
                <c:ptCount val="1"/>
                <c:pt idx="0">
                  <c:v>UK</c:v>
                </c:pt>
              </c:strCache>
            </c:strRef>
          </c:tx>
          <c:spPr>
            <a:ln w="28575" cap="rnd">
              <a:solidFill>
                <a:schemeClr val="accent6">
                  <a:lumMod val="60000"/>
                  <a:lumOff val="4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extent'!$D$68:$V$68</c:f>
              <c:numCache>
                <c:formatCode>0%</c:formatCode>
                <c:ptCount val="19"/>
                <c:pt idx="0">
                  <c:v>0.45043243574802183</c:v>
                </c:pt>
                <c:pt idx="1">
                  <c:v>0.42763499560408103</c:v>
                </c:pt>
                <c:pt idx="2">
                  <c:v>0.40388476558506614</c:v>
                </c:pt>
                <c:pt idx="3">
                  <c:v>0.38560183197366538</c:v>
                </c:pt>
                <c:pt idx="4">
                  <c:v>0.36705718783863911</c:v>
                </c:pt>
                <c:pt idx="5">
                  <c:v>0.34880287881575989</c:v>
                </c:pt>
                <c:pt idx="6">
                  <c:v>0.33072849577787317</c:v>
                </c:pt>
                <c:pt idx="7">
                  <c:v>0.31235968840090783</c:v>
                </c:pt>
                <c:pt idx="8">
                  <c:v>0.29342656770737491</c:v>
                </c:pt>
                <c:pt idx="9">
                  <c:v>0.27486556666462203</c:v>
                </c:pt>
                <c:pt idx="10">
                  <c:v>0.25593244597108916</c:v>
                </c:pt>
                <c:pt idx="11">
                  <c:v>0.23684802388108528</c:v>
                </c:pt>
                <c:pt idx="12">
                  <c:v>0.21764910343699523</c:v>
                </c:pt>
                <c:pt idx="13">
                  <c:v>0.19806988488826188</c:v>
                </c:pt>
                <c:pt idx="14">
                  <c:v>0.17765237481854054</c:v>
                </c:pt>
                <c:pt idx="15">
                  <c:v>0.15853932814001512</c:v>
                </c:pt>
                <c:pt idx="16">
                  <c:v>0.13935676460365168</c:v>
                </c:pt>
                <c:pt idx="17">
                  <c:v>0.12341286879715389</c:v>
                </c:pt>
                <c:pt idx="18">
                  <c:v>0.10259870371506266</c:v>
                </c:pt>
              </c:numCache>
            </c:numRef>
          </c:val>
          <c:smooth val="0"/>
          <c:extLst xmlns:c16r2="http://schemas.microsoft.com/office/drawing/2015/06/chart">
            <c:ext xmlns:c16="http://schemas.microsoft.com/office/drawing/2014/chart" uri="{C3380CC4-5D6E-409C-BE32-E72D297353CC}">
              <c16:uniqueId val="{0000001D-2C51-44D4-A72C-A874F48AD346}"/>
            </c:ext>
          </c:extLst>
        </c:ser>
        <c:ser>
          <c:idx val="30"/>
          <c:order val="30"/>
          <c:tx>
            <c:strRef>
              <c:f>'cropland extent'!$B$69</c:f>
              <c:strCache>
                <c:ptCount val="1"/>
                <c:pt idx="0">
                  <c:v>SE</c:v>
                </c:pt>
              </c:strCache>
            </c:strRef>
          </c:tx>
          <c:spPr>
            <a:ln w="28575" cap="rnd">
              <a:solidFill>
                <a:schemeClr val="accent1">
                  <a:lumMod val="5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extent'!$D$69:$V$69</c:f>
              <c:numCache>
                <c:formatCode>0%</c:formatCode>
                <c:ptCount val="19"/>
                <c:pt idx="0">
                  <c:v>0.18268813784729249</c:v>
                </c:pt>
                <c:pt idx="1">
                  <c:v>0.15780917454860038</c:v>
                </c:pt>
                <c:pt idx="2">
                  <c:v>0.13563894257178249</c:v>
                </c:pt>
                <c:pt idx="3">
                  <c:v>0.12050740898062301</c:v>
                </c:pt>
                <c:pt idx="4">
                  <c:v>0.10732180306322375</c:v>
                </c:pt>
                <c:pt idx="5">
                  <c:v>9.5679595780784013E-2</c:v>
                </c:pt>
                <c:pt idx="6">
                  <c:v>8.5327260556379639E-2</c:v>
                </c:pt>
                <c:pt idx="7">
                  <c:v>7.6267021307352051E-2</c:v>
                </c:pt>
                <c:pt idx="8">
                  <c:v>6.8118588168314967E-2</c:v>
                </c:pt>
                <c:pt idx="9">
                  <c:v>6.1015396179754794E-2</c:v>
                </c:pt>
                <c:pt idx="10">
                  <c:v>5.4368107246189873E-2</c:v>
                </c:pt>
                <c:pt idx="11">
                  <c:v>4.837909784569127E-2</c:v>
                </c:pt>
                <c:pt idx="12">
                  <c:v>4.2966083036625698E-2</c:v>
                </c:pt>
                <c:pt idx="13">
                  <c:v>3.7884431911434716E-2</c:v>
                </c:pt>
                <c:pt idx="14">
                  <c:v>3.3214205494410183E-2</c:v>
                </c:pt>
                <c:pt idx="15">
                  <c:v>2.8819744827724245E-2</c:v>
                </c:pt>
                <c:pt idx="16">
                  <c:v>2.47566478449129E-2</c:v>
                </c:pt>
                <c:pt idx="17">
                  <c:v>2.1540863369190293E-2</c:v>
                </c:pt>
                <c:pt idx="18">
                  <c:v>1.7375466188672698E-2</c:v>
                </c:pt>
              </c:numCache>
            </c:numRef>
          </c:val>
          <c:smooth val="0"/>
          <c:extLst xmlns:c16r2="http://schemas.microsoft.com/office/drawing/2015/06/chart">
            <c:ext xmlns:c16="http://schemas.microsoft.com/office/drawing/2014/chart" uri="{C3380CC4-5D6E-409C-BE32-E72D297353CC}">
              <c16:uniqueId val="{0000001E-2C51-44D4-A72C-A874F48AD346}"/>
            </c:ext>
          </c:extLst>
        </c:ser>
        <c:ser>
          <c:idx val="31"/>
          <c:order val="31"/>
          <c:tx>
            <c:strRef>
              <c:f>'cropland extent'!$B$70</c:f>
              <c:strCache>
                <c:ptCount val="1"/>
                <c:pt idx="0">
                  <c:v>PT</c:v>
                </c:pt>
              </c:strCache>
            </c:strRef>
          </c:tx>
          <c:spPr>
            <a:ln w="28575" cap="rnd">
              <a:solidFill>
                <a:schemeClr val="accent2">
                  <a:lumMod val="5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extent'!$D$70:$V$70</c:f>
              <c:numCache>
                <c:formatCode>0%</c:formatCode>
                <c:ptCount val="19"/>
                <c:pt idx="0">
                  <c:v>0.59531710713858277</c:v>
                </c:pt>
                <c:pt idx="1">
                  <c:v>0.5384673970993048</c:v>
                </c:pt>
                <c:pt idx="2">
                  <c:v>0.47760284629361649</c:v>
                </c:pt>
                <c:pt idx="3">
                  <c:v>0.42782534898649749</c:v>
                </c:pt>
                <c:pt idx="4">
                  <c:v>0.38236734160963559</c:v>
                </c:pt>
                <c:pt idx="5">
                  <c:v>0.33925948492530655</c:v>
                </c:pt>
                <c:pt idx="6">
                  <c:v>0.29978565755257919</c:v>
                </c:pt>
                <c:pt idx="7">
                  <c:v>0.26360856934576593</c:v>
                </c:pt>
                <c:pt idx="8">
                  <c:v>0.2288568040126647</c:v>
                </c:pt>
                <c:pt idx="9">
                  <c:v>0.19915351053759697</c:v>
                </c:pt>
                <c:pt idx="10">
                  <c:v>0.17283399884668532</c:v>
                </c:pt>
                <c:pt idx="11">
                  <c:v>0.14741755432003395</c:v>
                </c:pt>
                <c:pt idx="12">
                  <c:v>0.12578746368690771</c:v>
                </c:pt>
                <c:pt idx="13">
                  <c:v>0.10603966967326377</c:v>
                </c:pt>
                <c:pt idx="14">
                  <c:v>8.7390788714924547E-2</c:v>
                </c:pt>
                <c:pt idx="15">
                  <c:v>7.1864561686015516E-2</c:v>
                </c:pt>
                <c:pt idx="16">
                  <c:v>5.6708265784634802E-2</c:v>
                </c:pt>
                <c:pt idx="17">
                  <c:v>4.577353686798899E-2</c:v>
                </c:pt>
                <c:pt idx="18">
                  <c:v>3.2640981840733767E-2</c:v>
                </c:pt>
              </c:numCache>
            </c:numRef>
          </c:val>
          <c:smooth val="0"/>
          <c:extLst xmlns:c16r2="http://schemas.microsoft.com/office/drawing/2015/06/chart">
            <c:ext xmlns:c16="http://schemas.microsoft.com/office/drawing/2014/chart" uri="{C3380CC4-5D6E-409C-BE32-E72D297353CC}">
              <c16:uniqueId val="{0000001F-2C51-44D4-A72C-A874F48AD346}"/>
            </c:ext>
          </c:extLst>
        </c:ser>
        <c:ser>
          <c:idx val="32"/>
          <c:order val="32"/>
          <c:tx>
            <c:strRef>
              <c:f>'cropland extent'!$B$71</c:f>
              <c:strCache>
                <c:ptCount val="1"/>
                <c:pt idx="0">
                  <c:v>RO</c:v>
                </c:pt>
              </c:strCache>
            </c:strRef>
          </c:tx>
          <c:spPr>
            <a:ln w="28575" cap="rnd">
              <a:solidFill>
                <a:schemeClr val="accent3">
                  <a:lumMod val="5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extent'!$D$71:$V$71</c:f>
              <c:numCache>
                <c:formatCode>0%</c:formatCode>
                <c:ptCount val="19"/>
                <c:pt idx="0">
                  <c:v>0.65889297221103504</c:v>
                </c:pt>
                <c:pt idx="1">
                  <c:v>0.62786531749228081</c:v>
                </c:pt>
                <c:pt idx="2">
                  <c:v>0.5946351859309974</c:v>
                </c:pt>
                <c:pt idx="3">
                  <c:v>0.56828936770036242</c:v>
                </c:pt>
                <c:pt idx="4">
                  <c:v>0.54227496979460332</c:v>
                </c:pt>
                <c:pt idx="5">
                  <c:v>0.51671365283930726</c:v>
                </c:pt>
                <c:pt idx="6">
                  <c:v>0.49165575916230364</c:v>
                </c:pt>
                <c:pt idx="7">
                  <c:v>0.46684538193046049</c:v>
                </c:pt>
                <c:pt idx="8">
                  <c:v>0.44188397771512955</c:v>
                </c:pt>
                <c:pt idx="9">
                  <c:v>0.41682188884414018</c:v>
                </c:pt>
                <c:pt idx="10">
                  <c:v>0.39163394415357766</c:v>
                </c:pt>
                <c:pt idx="11">
                  <c:v>0.36632853403141363</c:v>
                </c:pt>
                <c:pt idx="12">
                  <c:v>0.34135034904013961</c:v>
                </c:pt>
                <c:pt idx="13">
                  <c:v>0.3157344945630286</c:v>
                </c:pt>
                <c:pt idx="14">
                  <c:v>0.28991307558061485</c:v>
                </c:pt>
                <c:pt idx="15">
                  <c:v>0.26376023627332529</c:v>
                </c:pt>
                <c:pt idx="16">
                  <c:v>0.23753188347429186</c:v>
                </c:pt>
                <c:pt idx="17">
                  <c:v>0.21577141227010338</c:v>
                </c:pt>
                <c:pt idx="18">
                  <c:v>0.18716018928715264</c:v>
                </c:pt>
              </c:numCache>
            </c:numRef>
          </c:val>
          <c:smooth val="0"/>
          <c:extLst xmlns:c16r2="http://schemas.microsoft.com/office/drawing/2015/06/chart">
            <c:ext xmlns:c16="http://schemas.microsoft.com/office/drawing/2014/chart" uri="{C3380CC4-5D6E-409C-BE32-E72D297353CC}">
              <c16:uniqueId val="{00000020-2C51-44D4-A72C-A874F48AD346}"/>
            </c:ext>
          </c:extLst>
        </c:ser>
        <c:ser>
          <c:idx val="33"/>
          <c:order val="33"/>
          <c:tx>
            <c:strRef>
              <c:f>'cropland extent'!$B$72</c:f>
              <c:strCache>
                <c:ptCount val="1"/>
                <c:pt idx="0">
                  <c:v>EU-SUM</c:v>
                </c:pt>
              </c:strCache>
            </c:strRef>
          </c:tx>
          <c:spPr>
            <a:ln w="28575" cap="rnd">
              <a:solidFill>
                <a:schemeClr val="accent4">
                  <a:lumMod val="50000"/>
                </a:schemeClr>
              </a:solidFill>
              <a:round/>
            </a:ln>
            <a:effectLst/>
          </c:spPr>
          <c:marker>
            <c:symbol val="none"/>
          </c:marker>
          <c:cat>
            <c:numRef>
              <c:f>'cropland extent'!$D$38:$V$38</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'cropland extent'!$D$72:$V$72</c:f>
              <c:numCache>
                <c:formatCode>0%</c:formatCode>
                <c:ptCount val="19"/>
                <c:pt idx="0">
                  <c:v>0.54558860123878572</c:v>
                </c:pt>
                <c:pt idx="1">
                  <c:v>0.50994881986398033</c:v>
                </c:pt>
                <c:pt idx="2">
                  <c:v>0.4728234028834345</c:v>
                </c:pt>
                <c:pt idx="3">
                  <c:v>0.44383199451614147</c:v>
                </c:pt>
                <c:pt idx="4">
                  <c:v>0.41612740220855027</c:v>
                </c:pt>
                <c:pt idx="5">
                  <c:v>0.38974650719841214</c:v>
                </c:pt>
                <c:pt idx="6">
                  <c:v>0.36463674312387473</c:v>
                </c:pt>
                <c:pt idx="7">
                  <c:v>0.34053951739840599</c:v>
                </c:pt>
                <c:pt idx="8">
                  <c:v>0.31707287605402973</c:v>
                </c:pt>
                <c:pt idx="9">
                  <c:v>0.29425674343757724</c:v>
                </c:pt>
                <c:pt idx="10">
                  <c:v>0.27198937820352764</c:v>
                </c:pt>
                <c:pt idx="11">
                  <c:v>0.2500450417415066</c:v>
                </c:pt>
                <c:pt idx="12">
                  <c:v>0.22826010005413488</c:v>
                </c:pt>
                <c:pt idx="13">
                  <c:v>0.2064698593383506</c:v>
                </c:pt>
                <c:pt idx="14">
                  <c:v>0.18457490982113448</c:v>
                </c:pt>
                <c:pt idx="15">
                  <c:v>0.16295381409227855</c:v>
                </c:pt>
                <c:pt idx="16">
                  <c:v>0.14153259771514373</c:v>
                </c:pt>
                <c:pt idx="17">
                  <c:v>0.12422321542500539</c:v>
                </c:pt>
                <c:pt idx="18">
                  <c:v>0.10143824109561864</c:v>
                </c:pt>
              </c:numCache>
            </c:numRef>
          </c:val>
          <c:smooth val="0"/>
          <c:extLst xmlns:c16r2="http://schemas.microsoft.com/office/drawing/2015/06/chart">
            <c:ext xmlns:c16="http://schemas.microsoft.com/office/drawing/2014/chart" uri="{C3380CC4-5D6E-409C-BE32-E72D297353CC}">
              <c16:uniqueId val="{00000021-2C51-44D4-A72C-A874F48AD346}"/>
            </c:ext>
          </c:extLst>
        </c:ser>
        <c:dLbls>
          <c:showLegendKey val="0"/>
          <c:showVal val="0"/>
          <c:showCatName val="0"/>
          <c:showSerName val="0"/>
          <c:showPercent val="0"/>
          <c:showBubbleSize val="0"/>
        </c:dLbls>
        <c:smooth val="0"/>
        <c:axId val="130651344"/>
        <c:axId val="130651888"/>
      </c:lineChart>
      <c:catAx>
        <c:axId val="13065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651888"/>
        <c:crosses val="autoZero"/>
        <c:auto val="1"/>
        <c:lblAlgn val="ctr"/>
        <c:lblOffset val="100"/>
        <c:noMultiLvlLbl val="0"/>
      </c:catAx>
      <c:valAx>
        <c:axId val="130651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6513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forest density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'forest extent'!$A$2</c:f>
              <c:strCache>
                <c:ptCount val="1"/>
                <c:pt idx="0">
                  <c:v>Andorra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extent'!$B$2:$L$2</c:f>
              <c:numCache>
                <c:formatCode>General</c:formatCode>
                <c:ptCount val="11"/>
                <c:pt idx="0">
                  <c:v>277</c:v>
                </c:pt>
                <c:pt idx="1">
                  <c:v>264</c:v>
                </c:pt>
                <c:pt idx="2">
                  <c:v>253</c:v>
                </c:pt>
                <c:pt idx="3">
                  <c:v>242</c:v>
                </c:pt>
                <c:pt idx="4">
                  <c:v>235</c:v>
                </c:pt>
                <c:pt idx="5">
                  <c:v>226</c:v>
                </c:pt>
                <c:pt idx="6">
                  <c:v>215</c:v>
                </c:pt>
                <c:pt idx="7">
                  <c:v>203</c:v>
                </c:pt>
                <c:pt idx="8">
                  <c:v>184</c:v>
                </c:pt>
                <c:pt idx="9">
                  <c:v>167</c:v>
                </c:pt>
                <c:pt idx="10">
                  <c:v>155</c:v>
                </c:pt>
              </c:numCache>
            </c:numRef>
          </c:val>
          <c:smooth val="0"/>
          <c:extLst xmlns:c16r2="http://schemas.microsoft.com/office/drawing/2015/06/chart">
            <c:ext xmlns:c16="http://schemas.microsoft.com/office/drawing/2014/chart" uri="{C3380CC4-5D6E-409C-BE32-E72D297353CC}">
              <c16:uniqueId val="{00000000-3B58-4739-BF53-5DF3D01AA662}"/>
            </c:ext>
          </c:extLst>
        </c:ser>
        <c:ser>
          <c:idx val="1"/>
          <c:order val="1"/>
          <c:tx>
            <c:strRef>
              <c:f>'forest extent'!$A$3</c:f>
              <c:strCache>
                <c:ptCount val="1"/>
                <c:pt idx="0">
                  <c:v>BELGIQUE-BELGIË</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extent'!$B$3:$L$3</c:f>
              <c:numCache>
                <c:formatCode>General</c:formatCode>
                <c:ptCount val="11"/>
                <c:pt idx="0">
                  <c:v>10881</c:v>
                </c:pt>
                <c:pt idx="1">
                  <c:v>9740</c:v>
                </c:pt>
                <c:pt idx="2">
                  <c:v>8770</c:v>
                </c:pt>
                <c:pt idx="3">
                  <c:v>7914</c:v>
                </c:pt>
                <c:pt idx="4">
                  <c:v>7129</c:v>
                </c:pt>
                <c:pt idx="5">
                  <c:v>6455</c:v>
                </c:pt>
                <c:pt idx="6">
                  <c:v>5781</c:v>
                </c:pt>
                <c:pt idx="7">
                  <c:v>5173</c:v>
                </c:pt>
                <c:pt idx="8">
                  <c:v>4638</c:v>
                </c:pt>
                <c:pt idx="9">
                  <c:v>4063</c:v>
                </c:pt>
                <c:pt idx="10">
                  <c:v>3530</c:v>
                </c:pt>
              </c:numCache>
            </c:numRef>
          </c:val>
          <c:smooth val="0"/>
          <c:extLst xmlns:c16r2="http://schemas.microsoft.com/office/drawing/2015/06/chart">
            <c:ext xmlns:c16="http://schemas.microsoft.com/office/drawing/2014/chart" uri="{C3380CC4-5D6E-409C-BE32-E72D297353CC}">
              <c16:uniqueId val="{00000001-3B58-4739-BF53-5DF3D01AA662}"/>
            </c:ext>
          </c:extLst>
        </c:ser>
        <c:ser>
          <c:idx val="2"/>
          <c:order val="2"/>
          <c:tx>
            <c:strRef>
              <c:f>'forest extent'!$A$4</c:f>
              <c:strCache>
                <c:ptCount val="1"/>
                <c:pt idx="0">
                  <c:v>Bosnia and Herzegovina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extent'!$B$4:$L$4</c:f>
              <c:numCache>
                <c:formatCode>General</c:formatCode>
                <c:ptCount val="11"/>
                <c:pt idx="0">
                  <c:v>40723</c:v>
                </c:pt>
                <c:pt idx="1">
                  <c:v>39241</c:v>
                </c:pt>
                <c:pt idx="2">
                  <c:v>37769</c:v>
                </c:pt>
                <c:pt idx="3">
                  <c:v>36321</c:v>
                </c:pt>
                <c:pt idx="4">
                  <c:v>34894</c:v>
                </c:pt>
                <c:pt idx="5">
                  <c:v>33303</c:v>
                </c:pt>
                <c:pt idx="6">
                  <c:v>31700</c:v>
                </c:pt>
                <c:pt idx="7">
                  <c:v>30007</c:v>
                </c:pt>
                <c:pt idx="8">
                  <c:v>28222</c:v>
                </c:pt>
                <c:pt idx="9">
                  <c:v>26398</c:v>
                </c:pt>
                <c:pt idx="10">
                  <c:v>24332</c:v>
                </c:pt>
              </c:numCache>
            </c:numRef>
          </c:val>
          <c:smooth val="0"/>
          <c:extLst xmlns:c16r2="http://schemas.microsoft.com/office/drawing/2015/06/chart">
            <c:ext xmlns:c16="http://schemas.microsoft.com/office/drawing/2014/chart" uri="{C3380CC4-5D6E-409C-BE32-E72D297353CC}">
              <c16:uniqueId val="{00000002-3B58-4739-BF53-5DF3D01AA662}"/>
            </c:ext>
          </c:extLst>
        </c:ser>
        <c:ser>
          <c:idx val="3"/>
          <c:order val="3"/>
          <c:tx>
            <c:strRef>
              <c:f>'forest extent'!$A$5</c:f>
              <c:strCache>
                <c:ptCount val="1"/>
                <c:pt idx="0">
                  <c:v>ČESKÁ REPUBLIKA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extent'!$B$5:$L$5</c:f>
              <c:numCache>
                <c:formatCode>General</c:formatCode>
                <c:ptCount val="11"/>
                <c:pt idx="0">
                  <c:v>41243</c:v>
                </c:pt>
                <c:pt idx="1">
                  <c:v>38057</c:v>
                </c:pt>
                <c:pt idx="2">
                  <c:v>35067</c:v>
                </c:pt>
                <c:pt idx="3">
                  <c:v>32419</c:v>
                </c:pt>
                <c:pt idx="4">
                  <c:v>29968</c:v>
                </c:pt>
                <c:pt idx="5">
                  <c:v>27699</c:v>
                </c:pt>
                <c:pt idx="6">
                  <c:v>25414</c:v>
                </c:pt>
                <c:pt idx="7">
                  <c:v>23150</c:v>
                </c:pt>
                <c:pt idx="8">
                  <c:v>21075</c:v>
                </c:pt>
                <c:pt idx="9">
                  <c:v>19092</c:v>
                </c:pt>
                <c:pt idx="10">
                  <c:v>17114</c:v>
                </c:pt>
              </c:numCache>
            </c:numRef>
          </c:val>
          <c:smooth val="0"/>
          <c:extLst xmlns:c16r2="http://schemas.microsoft.com/office/drawing/2015/06/chart">
            <c:ext xmlns:c16="http://schemas.microsoft.com/office/drawing/2014/chart" uri="{C3380CC4-5D6E-409C-BE32-E72D297353CC}">
              <c16:uniqueId val="{00000003-3B58-4739-BF53-5DF3D01AA662}"/>
            </c:ext>
          </c:extLst>
        </c:ser>
        <c:ser>
          <c:idx val="4"/>
          <c:order val="4"/>
          <c:tx>
            <c:strRef>
              <c:f>'forest extent'!$A$6</c:f>
              <c:strCache>
                <c:ptCount val="1"/>
                <c:pt idx="0">
                  <c:v>DANMARK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extent'!$B$6:$L$6</c:f>
              <c:numCache>
                <c:formatCode>General</c:formatCode>
                <c:ptCount val="11"/>
                <c:pt idx="0">
                  <c:v>7440</c:v>
                </c:pt>
                <c:pt idx="1">
                  <c:v>6296</c:v>
                </c:pt>
                <c:pt idx="2">
                  <c:v>5364</c:v>
                </c:pt>
                <c:pt idx="3">
                  <c:v>4647</c:v>
                </c:pt>
                <c:pt idx="4">
                  <c:v>4011</c:v>
                </c:pt>
                <c:pt idx="5">
                  <c:v>3395</c:v>
                </c:pt>
                <c:pt idx="6">
                  <c:v>2836</c:v>
                </c:pt>
                <c:pt idx="7">
                  <c:v>2378</c:v>
                </c:pt>
                <c:pt idx="8">
                  <c:v>1951</c:v>
                </c:pt>
                <c:pt idx="9">
                  <c:v>1605</c:v>
                </c:pt>
                <c:pt idx="10">
                  <c:v>1296</c:v>
                </c:pt>
              </c:numCache>
            </c:numRef>
          </c:val>
          <c:smooth val="0"/>
          <c:extLst xmlns:c16r2="http://schemas.microsoft.com/office/drawing/2015/06/chart">
            <c:ext xmlns:c16="http://schemas.microsoft.com/office/drawing/2014/chart" uri="{C3380CC4-5D6E-409C-BE32-E72D297353CC}">
              <c16:uniqueId val="{00000004-3B58-4739-BF53-5DF3D01AA662}"/>
            </c:ext>
          </c:extLst>
        </c:ser>
        <c:ser>
          <c:idx val="5"/>
          <c:order val="5"/>
          <c:tx>
            <c:strRef>
              <c:f>'forest extent'!$A$7</c:f>
              <c:strCache>
                <c:ptCount val="1"/>
                <c:pt idx="0">
                  <c:v>DEUTSCHLAND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extent'!$B$7:$L$7</c:f>
              <c:numCache>
                <c:formatCode>General</c:formatCode>
                <c:ptCount val="11"/>
                <c:pt idx="0">
                  <c:v>165780</c:v>
                </c:pt>
                <c:pt idx="1">
                  <c:v>152543</c:v>
                </c:pt>
                <c:pt idx="2">
                  <c:v>140558</c:v>
                </c:pt>
                <c:pt idx="3">
                  <c:v>129642</c:v>
                </c:pt>
                <c:pt idx="4">
                  <c:v>119390</c:v>
                </c:pt>
                <c:pt idx="5">
                  <c:v>109730</c:v>
                </c:pt>
                <c:pt idx="6">
                  <c:v>100545</c:v>
                </c:pt>
                <c:pt idx="7">
                  <c:v>91737</c:v>
                </c:pt>
                <c:pt idx="8">
                  <c:v>83218</c:v>
                </c:pt>
                <c:pt idx="9">
                  <c:v>75178</c:v>
                </c:pt>
                <c:pt idx="10">
                  <c:v>67199</c:v>
                </c:pt>
              </c:numCache>
            </c:numRef>
          </c:val>
          <c:smooth val="0"/>
          <c:extLst xmlns:c16r2="http://schemas.microsoft.com/office/drawing/2015/06/chart">
            <c:ext xmlns:c16="http://schemas.microsoft.com/office/drawing/2014/chart" uri="{C3380CC4-5D6E-409C-BE32-E72D297353CC}">
              <c16:uniqueId val="{00000005-3B58-4739-BF53-5DF3D01AA662}"/>
            </c:ext>
          </c:extLst>
        </c:ser>
        <c:ser>
          <c:idx val="6"/>
          <c:order val="6"/>
          <c:tx>
            <c:strRef>
              <c:f>'forest extent'!$A$8</c:f>
              <c:strCache>
                <c:ptCount val="1"/>
                <c:pt idx="0">
                  <c:v>EESTI</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extent'!$B$8:$L$8</c:f>
              <c:numCache>
                <c:formatCode>General</c:formatCode>
                <c:ptCount val="11"/>
                <c:pt idx="0">
                  <c:v>32844</c:v>
                </c:pt>
                <c:pt idx="1">
                  <c:v>31145</c:v>
                </c:pt>
                <c:pt idx="2">
                  <c:v>29495</c:v>
                </c:pt>
                <c:pt idx="3">
                  <c:v>27822</c:v>
                </c:pt>
                <c:pt idx="4">
                  <c:v>26047</c:v>
                </c:pt>
                <c:pt idx="5">
                  <c:v>24228</c:v>
                </c:pt>
                <c:pt idx="6">
                  <c:v>22362</c:v>
                </c:pt>
                <c:pt idx="7">
                  <c:v>20474</c:v>
                </c:pt>
                <c:pt idx="8">
                  <c:v>18498</c:v>
                </c:pt>
                <c:pt idx="9">
                  <c:v>16441</c:v>
                </c:pt>
                <c:pt idx="10">
                  <c:v>14290</c:v>
                </c:pt>
              </c:numCache>
            </c:numRef>
          </c:val>
          <c:smooth val="0"/>
          <c:extLst xmlns:c16r2="http://schemas.microsoft.com/office/drawing/2015/06/chart">
            <c:ext xmlns:c16="http://schemas.microsoft.com/office/drawing/2014/chart" uri="{C3380CC4-5D6E-409C-BE32-E72D297353CC}">
              <c16:uniqueId val="{00000006-3B58-4739-BF53-5DF3D01AA662}"/>
            </c:ext>
          </c:extLst>
        </c:ser>
        <c:ser>
          <c:idx val="7"/>
          <c:order val="7"/>
          <c:tx>
            <c:strRef>
              <c:f>'forest extent'!$A$9</c:f>
              <c:strCache>
                <c:ptCount val="1"/>
                <c:pt idx="0">
                  <c:v>ESPAÑA</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extent'!$B$9:$L$9</c:f>
              <c:numCache>
                <c:formatCode>General</c:formatCode>
                <c:ptCount val="11"/>
                <c:pt idx="0">
                  <c:v>230731</c:v>
                </c:pt>
                <c:pt idx="1">
                  <c:v>214916</c:v>
                </c:pt>
                <c:pt idx="2">
                  <c:v>200289</c:v>
                </c:pt>
                <c:pt idx="3">
                  <c:v>185951</c:v>
                </c:pt>
                <c:pt idx="4">
                  <c:v>172164</c:v>
                </c:pt>
                <c:pt idx="5">
                  <c:v>158717</c:v>
                </c:pt>
                <c:pt idx="6">
                  <c:v>145576</c:v>
                </c:pt>
                <c:pt idx="7">
                  <c:v>132325</c:v>
                </c:pt>
                <c:pt idx="8">
                  <c:v>119302</c:v>
                </c:pt>
                <c:pt idx="9">
                  <c:v>106385</c:v>
                </c:pt>
                <c:pt idx="10">
                  <c:v>93293</c:v>
                </c:pt>
              </c:numCache>
            </c:numRef>
          </c:val>
          <c:smooth val="0"/>
          <c:extLst xmlns:c16r2="http://schemas.microsoft.com/office/drawing/2015/06/chart">
            <c:ext xmlns:c16="http://schemas.microsoft.com/office/drawing/2014/chart" uri="{C3380CC4-5D6E-409C-BE32-E72D297353CC}">
              <c16:uniqueId val="{00000007-3B58-4739-BF53-5DF3D01AA662}"/>
            </c:ext>
          </c:extLst>
        </c:ser>
        <c:ser>
          <c:idx val="8"/>
          <c:order val="8"/>
          <c:tx>
            <c:strRef>
              <c:f>'forest extent'!$A$10</c:f>
              <c:strCache>
                <c:ptCount val="1"/>
                <c:pt idx="0">
                  <c:v>FRANCE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extent'!$B$10:$L$10</c:f>
              <c:numCache>
                <c:formatCode>General</c:formatCode>
                <c:ptCount val="11"/>
                <c:pt idx="0">
                  <c:v>247187</c:v>
                </c:pt>
                <c:pt idx="1">
                  <c:v>224652</c:v>
                </c:pt>
                <c:pt idx="2">
                  <c:v>204505</c:v>
                </c:pt>
                <c:pt idx="3">
                  <c:v>186435</c:v>
                </c:pt>
                <c:pt idx="4">
                  <c:v>169722</c:v>
                </c:pt>
                <c:pt idx="5">
                  <c:v>154365</c:v>
                </c:pt>
                <c:pt idx="6">
                  <c:v>139957</c:v>
                </c:pt>
                <c:pt idx="7">
                  <c:v>126114</c:v>
                </c:pt>
                <c:pt idx="8">
                  <c:v>112694</c:v>
                </c:pt>
                <c:pt idx="9">
                  <c:v>99781</c:v>
                </c:pt>
                <c:pt idx="10">
                  <c:v>87143</c:v>
                </c:pt>
              </c:numCache>
            </c:numRef>
          </c:val>
          <c:smooth val="0"/>
          <c:extLst xmlns:c16r2="http://schemas.microsoft.com/office/drawing/2015/06/chart">
            <c:ext xmlns:c16="http://schemas.microsoft.com/office/drawing/2014/chart" uri="{C3380CC4-5D6E-409C-BE32-E72D297353CC}">
              <c16:uniqueId val="{00000008-3B58-4739-BF53-5DF3D01AA662}"/>
            </c:ext>
          </c:extLst>
        </c:ser>
        <c:ser>
          <c:idx val="9"/>
          <c:order val="9"/>
          <c:tx>
            <c:strRef>
              <c:f>'forest extent'!$A$11</c:f>
              <c:strCache>
                <c:ptCount val="1"/>
                <c:pt idx="0">
                  <c:v>HRVATSKA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extent'!$B$11:$L$11</c:f>
              <c:numCache>
                <c:formatCode>General</c:formatCode>
                <c:ptCount val="11"/>
                <c:pt idx="0">
                  <c:v>36707</c:v>
                </c:pt>
                <c:pt idx="1">
                  <c:v>34960</c:v>
                </c:pt>
                <c:pt idx="2">
                  <c:v>33155</c:v>
                </c:pt>
                <c:pt idx="3">
                  <c:v>31476</c:v>
                </c:pt>
                <c:pt idx="4">
                  <c:v>29711</c:v>
                </c:pt>
                <c:pt idx="5">
                  <c:v>27979</c:v>
                </c:pt>
                <c:pt idx="6">
                  <c:v>26280</c:v>
                </c:pt>
                <c:pt idx="7">
                  <c:v>24516</c:v>
                </c:pt>
                <c:pt idx="8">
                  <c:v>22789</c:v>
                </c:pt>
                <c:pt idx="9">
                  <c:v>21030</c:v>
                </c:pt>
                <c:pt idx="10">
                  <c:v>19173</c:v>
                </c:pt>
              </c:numCache>
            </c:numRef>
          </c:val>
          <c:smooth val="0"/>
          <c:extLst xmlns:c16r2="http://schemas.microsoft.com/office/drawing/2015/06/chart">
            <c:ext xmlns:c16="http://schemas.microsoft.com/office/drawing/2014/chart" uri="{C3380CC4-5D6E-409C-BE32-E72D297353CC}">
              <c16:uniqueId val="{00000009-3B58-4739-BF53-5DF3D01AA662}"/>
            </c:ext>
          </c:extLst>
        </c:ser>
        <c:ser>
          <c:idx val="10"/>
          <c:order val="10"/>
          <c:tx>
            <c:strRef>
              <c:f>'forest extent'!$A$12</c:f>
              <c:strCache>
                <c:ptCount val="1"/>
                <c:pt idx="0">
                  <c:v>IRELAND</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extent'!$B$12:$L$12</c:f>
              <c:numCache>
                <c:formatCode>General</c:formatCode>
                <c:ptCount val="11"/>
                <c:pt idx="0">
                  <c:v>8705</c:v>
                </c:pt>
                <c:pt idx="1">
                  <c:v>6981</c:v>
                </c:pt>
                <c:pt idx="2">
                  <c:v>5662</c:v>
                </c:pt>
                <c:pt idx="3">
                  <c:v>4585</c:v>
                </c:pt>
                <c:pt idx="4">
                  <c:v>3727</c:v>
                </c:pt>
                <c:pt idx="5">
                  <c:v>3004</c:v>
                </c:pt>
                <c:pt idx="6">
                  <c:v>2387</c:v>
                </c:pt>
                <c:pt idx="7">
                  <c:v>1850</c:v>
                </c:pt>
                <c:pt idx="8">
                  <c:v>1419</c:v>
                </c:pt>
                <c:pt idx="9">
                  <c:v>1120</c:v>
                </c:pt>
                <c:pt idx="10">
                  <c:v>820</c:v>
                </c:pt>
              </c:numCache>
            </c:numRef>
          </c:val>
          <c:smooth val="0"/>
          <c:extLst xmlns:c16r2="http://schemas.microsoft.com/office/drawing/2015/06/chart">
            <c:ext xmlns:c16="http://schemas.microsoft.com/office/drawing/2014/chart" uri="{C3380CC4-5D6E-409C-BE32-E72D297353CC}">
              <c16:uniqueId val="{0000000A-3B58-4739-BF53-5DF3D01AA662}"/>
            </c:ext>
          </c:extLst>
        </c:ser>
        <c:ser>
          <c:idx val="11"/>
          <c:order val="11"/>
          <c:tx>
            <c:strRef>
              <c:f>'forest extent'!$A$13</c:f>
              <c:strCache>
                <c:ptCount val="1"/>
                <c:pt idx="0">
                  <c:v>ITALIA</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extent'!$B$13:$L$13</c:f>
              <c:numCache>
                <c:formatCode>General</c:formatCode>
                <c:ptCount val="11"/>
                <c:pt idx="0">
                  <c:v>157510</c:v>
                </c:pt>
                <c:pt idx="1">
                  <c:v>148202</c:v>
                </c:pt>
                <c:pt idx="2">
                  <c:v>139453</c:v>
                </c:pt>
                <c:pt idx="3">
                  <c:v>131206</c:v>
                </c:pt>
                <c:pt idx="4">
                  <c:v>123291</c:v>
                </c:pt>
                <c:pt idx="5">
                  <c:v>115700</c:v>
                </c:pt>
                <c:pt idx="6">
                  <c:v>108222</c:v>
                </c:pt>
                <c:pt idx="7">
                  <c:v>100854</c:v>
                </c:pt>
                <c:pt idx="8">
                  <c:v>93367</c:v>
                </c:pt>
                <c:pt idx="9">
                  <c:v>85808</c:v>
                </c:pt>
                <c:pt idx="10">
                  <c:v>77940</c:v>
                </c:pt>
              </c:numCache>
            </c:numRef>
          </c:val>
          <c:smooth val="0"/>
          <c:extLst xmlns:c16r2="http://schemas.microsoft.com/office/drawing/2015/06/chart">
            <c:ext xmlns:c16="http://schemas.microsoft.com/office/drawing/2014/chart" uri="{C3380CC4-5D6E-409C-BE32-E72D297353CC}">
              <c16:uniqueId val="{0000000B-3B58-4739-BF53-5DF3D01AA662}"/>
            </c:ext>
          </c:extLst>
        </c:ser>
        <c:ser>
          <c:idx val="12"/>
          <c:order val="12"/>
          <c:tx>
            <c:strRef>
              <c:f>'forest extent'!$A$14</c:f>
              <c:strCache>
                <c:ptCount val="1"/>
                <c:pt idx="0">
                  <c:v>LATVIJA</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extent'!$B$14:$L$14</c:f>
              <c:numCache>
                <c:formatCode>General</c:formatCode>
                <c:ptCount val="11"/>
                <c:pt idx="0">
                  <c:v>45900</c:v>
                </c:pt>
                <c:pt idx="1">
                  <c:v>43156</c:v>
                </c:pt>
                <c:pt idx="2">
                  <c:v>40422</c:v>
                </c:pt>
                <c:pt idx="3">
                  <c:v>37765</c:v>
                </c:pt>
                <c:pt idx="4">
                  <c:v>35071</c:v>
                </c:pt>
                <c:pt idx="5">
                  <c:v>32412</c:v>
                </c:pt>
                <c:pt idx="6">
                  <c:v>29667</c:v>
                </c:pt>
                <c:pt idx="7">
                  <c:v>26960</c:v>
                </c:pt>
                <c:pt idx="8">
                  <c:v>24277</c:v>
                </c:pt>
                <c:pt idx="9">
                  <c:v>21410</c:v>
                </c:pt>
                <c:pt idx="10">
                  <c:v>18456</c:v>
                </c:pt>
              </c:numCache>
            </c:numRef>
          </c:val>
          <c:smooth val="0"/>
          <c:extLst xmlns:c16r2="http://schemas.microsoft.com/office/drawing/2015/06/chart">
            <c:ext xmlns:c16="http://schemas.microsoft.com/office/drawing/2014/chart" uri="{C3380CC4-5D6E-409C-BE32-E72D297353CC}">
              <c16:uniqueId val="{0000000C-3B58-4739-BF53-5DF3D01AA662}"/>
            </c:ext>
          </c:extLst>
        </c:ser>
        <c:ser>
          <c:idx val="13"/>
          <c:order val="13"/>
          <c:tx>
            <c:strRef>
              <c:f>'forest extent'!$A$15</c:f>
              <c:strCache>
                <c:ptCount val="1"/>
                <c:pt idx="0">
                  <c:v>LIECHTENSTEIN</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extent'!$B$15:$L$15</c:f>
              <c:numCache>
                <c:formatCode>General</c:formatCode>
                <c:ptCount val="11"/>
                <c:pt idx="0">
                  <c:v>110</c:v>
                </c:pt>
                <c:pt idx="1">
                  <c:v>103</c:v>
                </c:pt>
                <c:pt idx="2">
                  <c:v>99</c:v>
                </c:pt>
                <c:pt idx="3">
                  <c:v>94</c:v>
                </c:pt>
                <c:pt idx="4">
                  <c:v>92</c:v>
                </c:pt>
                <c:pt idx="5">
                  <c:v>85</c:v>
                </c:pt>
                <c:pt idx="6">
                  <c:v>76</c:v>
                </c:pt>
                <c:pt idx="7">
                  <c:v>74</c:v>
                </c:pt>
                <c:pt idx="8">
                  <c:v>69</c:v>
                </c:pt>
                <c:pt idx="9">
                  <c:v>56</c:v>
                </c:pt>
                <c:pt idx="10">
                  <c:v>48</c:v>
                </c:pt>
              </c:numCache>
            </c:numRef>
          </c:val>
          <c:smooth val="0"/>
          <c:extLst xmlns:c16r2="http://schemas.microsoft.com/office/drawing/2015/06/chart">
            <c:ext xmlns:c16="http://schemas.microsoft.com/office/drawing/2014/chart" uri="{C3380CC4-5D6E-409C-BE32-E72D297353CC}">
              <c16:uniqueId val="{0000000D-3B58-4739-BF53-5DF3D01AA662}"/>
            </c:ext>
          </c:extLst>
        </c:ser>
        <c:ser>
          <c:idx val="14"/>
          <c:order val="14"/>
          <c:tx>
            <c:strRef>
              <c:f>'forest extent'!$A$16</c:f>
              <c:strCache>
                <c:ptCount val="1"/>
                <c:pt idx="0">
                  <c:v>LIETUVA</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extent'!$B$16:$L$16</c:f>
              <c:numCache>
                <c:formatCode>General</c:formatCode>
                <c:ptCount val="11"/>
                <c:pt idx="0">
                  <c:v>30726</c:v>
                </c:pt>
                <c:pt idx="1">
                  <c:v>28181</c:v>
                </c:pt>
                <c:pt idx="2">
                  <c:v>25906</c:v>
                </c:pt>
                <c:pt idx="3">
                  <c:v>23821</c:v>
                </c:pt>
                <c:pt idx="4">
                  <c:v>21844</c:v>
                </c:pt>
                <c:pt idx="5">
                  <c:v>19913</c:v>
                </c:pt>
                <c:pt idx="6">
                  <c:v>18126</c:v>
                </c:pt>
                <c:pt idx="7">
                  <c:v>16429</c:v>
                </c:pt>
                <c:pt idx="8">
                  <c:v>14824</c:v>
                </c:pt>
                <c:pt idx="9">
                  <c:v>13283</c:v>
                </c:pt>
                <c:pt idx="10">
                  <c:v>11632</c:v>
                </c:pt>
              </c:numCache>
            </c:numRef>
          </c:val>
          <c:smooth val="0"/>
          <c:extLst xmlns:c16r2="http://schemas.microsoft.com/office/drawing/2015/06/chart">
            <c:ext xmlns:c16="http://schemas.microsoft.com/office/drawing/2014/chart" uri="{C3380CC4-5D6E-409C-BE32-E72D297353CC}">
              <c16:uniqueId val="{0000000E-3B58-4739-BF53-5DF3D01AA662}"/>
            </c:ext>
          </c:extLst>
        </c:ser>
        <c:ser>
          <c:idx val="15"/>
          <c:order val="15"/>
          <c:tx>
            <c:strRef>
              <c:f>'forest extent'!$A$17</c:f>
              <c:strCache>
                <c:ptCount val="1"/>
                <c:pt idx="0">
                  <c:v>LUXEMBOURG</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extent'!$B$17:$L$17</c:f>
              <c:numCache>
                <c:formatCode>General</c:formatCode>
                <c:ptCount val="11"/>
                <c:pt idx="0">
                  <c:v>1517</c:v>
                </c:pt>
                <c:pt idx="1">
                  <c:v>1374</c:v>
                </c:pt>
                <c:pt idx="2">
                  <c:v>1241</c:v>
                </c:pt>
                <c:pt idx="3">
                  <c:v>1109</c:v>
                </c:pt>
                <c:pt idx="4">
                  <c:v>999</c:v>
                </c:pt>
                <c:pt idx="5">
                  <c:v>897</c:v>
                </c:pt>
                <c:pt idx="6">
                  <c:v>794</c:v>
                </c:pt>
                <c:pt idx="7">
                  <c:v>670</c:v>
                </c:pt>
                <c:pt idx="8">
                  <c:v>553</c:v>
                </c:pt>
                <c:pt idx="9">
                  <c:v>464</c:v>
                </c:pt>
                <c:pt idx="10">
                  <c:v>376</c:v>
                </c:pt>
              </c:numCache>
            </c:numRef>
          </c:val>
          <c:smooth val="0"/>
          <c:extLst xmlns:c16r2="http://schemas.microsoft.com/office/drawing/2015/06/chart">
            <c:ext xmlns:c16="http://schemas.microsoft.com/office/drawing/2014/chart" uri="{C3380CC4-5D6E-409C-BE32-E72D297353CC}">
              <c16:uniqueId val="{0000000F-3B58-4739-BF53-5DF3D01AA662}"/>
            </c:ext>
          </c:extLst>
        </c:ser>
        <c:ser>
          <c:idx val="16"/>
          <c:order val="16"/>
          <c:tx>
            <c:strRef>
              <c:f>'forest extent'!$A$18</c:f>
              <c:strCache>
                <c:ptCount val="1"/>
                <c:pt idx="0">
                  <c:v>MAGYARORSZÁG</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extent'!$B$18:$L$18</c:f>
              <c:numCache>
                <c:formatCode>General</c:formatCode>
                <c:ptCount val="11"/>
                <c:pt idx="0">
                  <c:v>28061</c:v>
                </c:pt>
                <c:pt idx="1">
                  <c:v>25533</c:v>
                </c:pt>
                <c:pt idx="2">
                  <c:v>23314</c:v>
                </c:pt>
                <c:pt idx="3">
                  <c:v>21294</c:v>
                </c:pt>
                <c:pt idx="4">
                  <c:v>19435</c:v>
                </c:pt>
                <c:pt idx="5">
                  <c:v>17669</c:v>
                </c:pt>
                <c:pt idx="6">
                  <c:v>15973</c:v>
                </c:pt>
                <c:pt idx="7">
                  <c:v>14496</c:v>
                </c:pt>
                <c:pt idx="8">
                  <c:v>13033</c:v>
                </c:pt>
                <c:pt idx="9">
                  <c:v>11585</c:v>
                </c:pt>
                <c:pt idx="10">
                  <c:v>10215</c:v>
                </c:pt>
              </c:numCache>
            </c:numRef>
          </c:val>
          <c:smooth val="0"/>
          <c:extLst xmlns:c16r2="http://schemas.microsoft.com/office/drawing/2015/06/chart">
            <c:ext xmlns:c16="http://schemas.microsoft.com/office/drawing/2014/chart" uri="{C3380CC4-5D6E-409C-BE32-E72D297353CC}">
              <c16:uniqueId val="{00000010-3B58-4739-BF53-5DF3D01AA662}"/>
            </c:ext>
          </c:extLst>
        </c:ser>
        <c:ser>
          <c:idx val="17"/>
          <c:order val="17"/>
          <c:tx>
            <c:strRef>
              <c:f>'forest extent'!$A$19</c:f>
              <c:strCache>
                <c:ptCount val="1"/>
                <c:pt idx="0">
                  <c:v>NEDERLAND</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extent'!$F$19:$L$19</c:f>
              <c:numCache>
                <c:formatCode>General</c:formatCode>
                <c:ptCount val="7"/>
                <c:pt idx="0">
                  <c:v>3311</c:v>
                </c:pt>
                <c:pt idx="1">
                  <c:v>2921</c:v>
                </c:pt>
                <c:pt idx="2">
                  <c:v>2585</c:v>
                </c:pt>
                <c:pt idx="3">
                  <c:v>2248</c:v>
                </c:pt>
                <c:pt idx="4">
                  <c:v>1962</c:v>
                </c:pt>
                <c:pt idx="5">
                  <c:v>1667</c:v>
                </c:pt>
                <c:pt idx="6">
                  <c:v>1417</c:v>
                </c:pt>
              </c:numCache>
            </c:numRef>
          </c:val>
          <c:smooth val="0"/>
          <c:extLst xmlns:c16r2="http://schemas.microsoft.com/office/drawing/2015/06/chart">
            <c:ext xmlns:c16="http://schemas.microsoft.com/office/drawing/2014/chart" uri="{C3380CC4-5D6E-409C-BE32-E72D297353CC}">
              <c16:uniqueId val="{00000011-3B58-4739-BF53-5DF3D01AA662}"/>
            </c:ext>
          </c:extLst>
        </c:ser>
        <c:ser>
          <c:idx val="18"/>
          <c:order val="18"/>
          <c:tx>
            <c:strRef>
              <c:f>'forest extent'!$A$20</c:f>
              <c:strCache>
                <c:ptCount val="1"/>
                <c:pt idx="0">
                  <c:v>NORGE</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extent'!$B$20:$L$20</c:f>
              <c:numCache>
                <c:formatCode>General</c:formatCode>
                <c:ptCount val="11"/>
                <c:pt idx="0">
                  <c:v>162444</c:v>
                </c:pt>
                <c:pt idx="1">
                  <c:v>153931</c:v>
                </c:pt>
                <c:pt idx="2">
                  <c:v>145480</c:v>
                </c:pt>
                <c:pt idx="3">
                  <c:v>137215</c:v>
                </c:pt>
                <c:pt idx="4">
                  <c:v>128870</c:v>
                </c:pt>
                <c:pt idx="5">
                  <c:v>120396</c:v>
                </c:pt>
                <c:pt idx="6">
                  <c:v>111704</c:v>
                </c:pt>
                <c:pt idx="7">
                  <c:v>102594</c:v>
                </c:pt>
                <c:pt idx="8">
                  <c:v>93284</c:v>
                </c:pt>
                <c:pt idx="9">
                  <c:v>83433</c:v>
                </c:pt>
                <c:pt idx="10">
                  <c:v>73185</c:v>
                </c:pt>
              </c:numCache>
            </c:numRef>
          </c:val>
          <c:smooth val="0"/>
          <c:extLst xmlns:c16r2="http://schemas.microsoft.com/office/drawing/2015/06/chart">
            <c:ext xmlns:c16="http://schemas.microsoft.com/office/drawing/2014/chart" uri="{C3380CC4-5D6E-409C-BE32-E72D297353CC}">
              <c16:uniqueId val="{00000012-3B58-4739-BF53-5DF3D01AA662}"/>
            </c:ext>
          </c:extLst>
        </c:ser>
        <c:ser>
          <c:idx val="19"/>
          <c:order val="19"/>
          <c:tx>
            <c:strRef>
              <c:f>'forest extent'!$A$21</c:f>
              <c:strCache>
                <c:ptCount val="1"/>
                <c:pt idx="0">
                  <c:v>North Macedonia</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extent'!$B$21:$L$21</c:f>
              <c:numCache>
                <c:formatCode>General</c:formatCode>
                <c:ptCount val="11"/>
                <c:pt idx="0">
                  <c:v>14837</c:v>
                </c:pt>
                <c:pt idx="1">
                  <c:v>14200</c:v>
                </c:pt>
                <c:pt idx="2">
                  <c:v>13560</c:v>
                </c:pt>
                <c:pt idx="3">
                  <c:v>12989</c:v>
                </c:pt>
                <c:pt idx="4">
                  <c:v>12370</c:v>
                </c:pt>
                <c:pt idx="5">
                  <c:v>11771</c:v>
                </c:pt>
                <c:pt idx="6">
                  <c:v>11096</c:v>
                </c:pt>
                <c:pt idx="7">
                  <c:v>10479</c:v>
                </c:pt>
                <c:pt idx="8">
                  <c:v>9806</c:v>
                </c:pt>
                <c:pt idx="9">
                  <c:v>9078</c:v>
                </c:pt>
                <c:pt idx="10">
                  <c:v>8343</c:v>
                </c:pt>
              </c:numCache>
            </c:numRef>
          </c:val>
          <c:smooth val="0"/>
          <c:extLst xmlns:c16r2="http://schemas.microsoft.com/office/drawing/2015/06/chart">
            <c:ext xmlns:c16="http://schemas.microsoft.com/office/drawing/2014/chart" uri="{C3380CC4-5D6E-409C-BE32-E72D297353CC}">
              <c16:uniqueId val="{00000013-3B58-4739-BF53-5DF3D01AA662}"/>
            </c:ext>
          </c:extLst>
        </c:ser>
        <c:ser>
          <c:idx val="20"/>
          <c:order val="20"/>
          <c:tx>
            <c:strRef>
              <c:f>'forest extent'!$A$22</c:f>
              <c:strCache>
                <c:ptCount val="1"/>
                <c:pt idx="0">
                  <c:v>ÖSTERREICH</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extent'!$B$22:$L$22</c:f>
              <c:numCache>
                <c:formatCode>General</c:formatCode>
                <c:ptCount val="11"/>
                <c:pt idx="0">
                  <c:v>52859</c:v>
                </c:pt>
                <c:pt idx="1">
                  <c:v>50240</c:v>
                </c:pt>
                <c:pt idx="2">
                  <c:v>47519</c:v>
                </c:pt>
                <c:pt idx="3">
                  <c:v>44859</c:v>
                </c:pt>
                <c:pt idx="4">
                  <c:v>42187</c:v>
                </c:pt>
                <c:pt idx="5">
                  <c:v>39469</c:v>
                </c:pt>
                <c:pt idx="6">
                  <c:v>36741</c:v>
                </c:pt>
                <c:pt idx="7">
                  <c:v>33958</c:v>
                </c:pt>
                <c:pt idx="8">
                  <c:v>31088</c:v>
                </c:pt>
                <c:pt idx="9">
                  <c:v>28109</c:v>
                </c:pt>
                <c:pt idx="10">
                  <c:v>25004</c:v>
                </c:pt>
              </c:numCache>
            </c:numRef>
          </c:val>
          <c:smooth val="0"/>
          <c:extLst xmlns:c16r2="http://schemas.microsoft.com/office/drawing/2015/06/chart">
            <c:ext xmlns:c16="http://schemas.microsoft.com/office/drawing/2014/chart" uri="{C3380CC4-5D6E-409C-BE32-E72D297353CC}">
              <c16:uniqueId val="{00000014-3B58-4739-BF53-5DF3D01AA662}"/>
            </c:ext>
          </c:extLst>
        </c:ser>
        <c:ser>
          <c:idx val="21"/>
          <c:order val="21"/>
          <c:tx>
            <c:strRef>
              <c:f>'forest extent'!$A$23</c:f>
              <c:strCache>
                <c:ptCount val="1"/>
                <c:pt idx="0">
                  <c:v>POLSKA</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extent'!$B$23:$L$23</c:f>
              <c:numCache>
                <c:formatCode>General</c:formatCode>
                <c:ptCount val="11"/>
                <c:pt idx="0">
                  <c:v>142919</c:v>
                </c:pt>
                <c:pt idx="1">
                  <c:v>132291</c:v>
                </c:pt>
                <c:pt idx="2">
                  <c:v>122845</c:v>
                </c:pt>
                <c:pt idx="3">
                  <c:v>114176</c:v>
                </c:pt>
                <c:pt idx="4">
                  <c:v>106278</c:v>
                </c:pt>
                <c:pt idx="5">
                  <c:v>98900</c:v>
                </c:pt>
                <c:pt idx="6">
                  <c:v>91618</c:v>
                </c:pt>
                <c:pt idx="7">
                  <c:v>84781</c:v>
                </c:pt>
                <c:pt idx="8">
                  <c:v>77974</c:v>
                </c:pt>
                <c:pt idx="9">
                  <c:v>71302</c:v>
                </c:pt>
                <c:pt idx="10">
                  <c:v>64538</c:v>
                </c:pt>
              </c:numCache>
            </c:numRef>
          </c:val>
          <c:smooth val="0"/>
          <c:extLst xmlns:c16r2="http://schemas.microsoft.com/office/drawing/2015/06/chart">
            <c:ext xmlns:c16="http://schemas.microsoft.com/office/drawing/2014/chart" uri="{C3380CC4-5D6E-409C-BE32-E72D297353CC}">
              <c16:uniqueId val="{00000015-3B58-4739-BF53-5DF3D01AA662}"/>
            </c:ext>
          </c:extLst>
        </c:ser>
        <c:ser>
          <c:idx val="22"/>
          <c:order val="22"/>
          <c:tx>
            <c:strRef>
              <c:f>'forest extent'!$A$24</c:f>
              <c:strCache>
                <c:ptCount val="1"/>
                <c:pt idx="0">
                  <c:v>PORTUGAL</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extent'!$B$24:$L$24</c:f>
              <c:numCache>
                <c:formatCode>General</c:formatCode>
                <c:ptCount val="11"/>
                <c:pt idx="0">
                  <c:v>45933</c:v>
                </c:pt>
                <c:pt idx="1">
                  <c:v>41690</c:v>
                </c:pt>
                <c:pt idx="2">
                  <c:v>37804</c:v>
                </c:pt>
                <c:pt idx="3">
                  <c:v>34149</c:v>
                </c:pt>
                <c:pt idx="4">
                  <c:v>30672</c:v>
                </c:pt>
                <c:pt idx="5">
                  <c:v>27327</c:v>
                </c:pt>
                <c:pt idx="6">
                  <c:v>24119</c:v>
                </c:pt>
                <c:pt idx="7">
                  <c:v>21005</c:v>
                </c:pt>
                <c:pt idx="8">
                  <c:v>18071</c:v>
                </c:pt>
                <c:pt idx="9">
                  <c:v>15249</c:v>
                </c:pt>
                <c:pt idx="10">
                  <c:v>12557</c:v>
                </c:pt>
              </c:numCache>
            </c:numRef>
          </c:val>
          <c:smooth val="0"/>
          <c:extLst xmlns:c16r2="http://schemas.microsoft.com/office/drawing/2015/06/chart">
            <c:ext xmlns:c16="http://schemas.microsoft.com/office/drawing/2014/chart" uri="{C3380CC4-5D6E-409C-BE32-E72D297353CC}">
              <c16:uniqueId val="{00000016-3B58-4739-BF53-5DF3D01AA662}"/>
            </c:ext>
          </c:extLst>
        </c:ser>
        <c:ser>
          <c:idx val="23"/>
          <c:order val="23"/>
          <c:tx>
            <c:strRef>
              <c:f>'forest extent'!$A$25</c:f>
              <c:strCache>
                <c:ptCount val="1"/>
                <c:pt idx="0">
                  <c:v>REPUBLIKA SRBIJA /РЕПУБЛИК</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extent'!$B$25:$L$25</c:f>
              <c:numCache>
                <c:formatCode>General</c:formatCode>
                <c:ptCount val="11"/>
                <c:pt idx="0">
                  <c:v>41859</c:v>
                </c:pt>
                <c:pt idx="1">
                  <c:v>39479</c:v>
                </c:pt>
                <c:pt idx="2">
                  <c:v>37241</c:v>
                </c:pt>
                <c:pt idx="3">
                  <c:v>35106</c:v>
                </c:pt>
                <c:pt idx="4">
                  <c:v>32967</c:v>
                </c:pt>
                <c:pt idx="5">
                  <c:v>30888</c:v>
                </c:pt>
                <c:pt idx="6">
                  <c:v>28732</c:v>
                </c:pt>
                <c:pt idx="7">
                  <c:v>26582</c:v>
                </c:pt>
                <c:pt idx="8">
                  <c:v>24401</c:v>
                </c:pt>
                <c:pt idx="9">
                  <c:v>22179</c:v>
                </c:pt>
                <c:pt idx="10">
                  <c:v>19898</c:v>
                </c:pt>
              </c:numCache>
            </c:numRef>
          </c:val>
          <c:smooth val="0"/>
          <c:extLst xmlns:c16r2="http://schemas.microsoft.com/office/drawing/2015/06/chart">
            <c:ext xmlns:c16="http://schemas.microsoft.com/office/drawing/2014/chart" uri="{C3380CC4-5D6E-409C-BE32-E72D297353CC}">
              <c16:uniqueId val="{00000017-3B58-4739-BF53-5DF3D01AA662}"/>
            </c:ext>
          </c:extLst>
        </c:ser>
        <c:ser>
          <c:idx val="24"/>
          <c:order val="24"/>
          <c:tx>
            <c:strRef>
              <c:f>'forest extent'!$A$26</c:f>
              <c:strCache>
                <c:ptCount val="1"/>
                <c:pt idx="0">
                  <c:v>ROMÂNIA</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extent'!$B$26:$L$26</c:f>
              <c:numCache>
                <c:formatCode>General</c:formatCode>
                <c:ptCount val="11"/>
                <c:pt idx="0">
                  <c:v>104169</c:v>
                </c:pt>
                <c:pt idx="1">
                  <c:v>99105</c:v>
                </c:pt>
                <c:pt idx="2">
                  <c:v>94619</c:v>
                </c:pt>
                <c:pt idx="3">
                  <c:v>90224</c:v>
                </c:pt>
                <c:pt idx="4">
                  <c:v>85987</c:v>
                </c:pt>
                <c:pt idx="5">
                  <c:v>81657</c:v>
                </c:pt>
                <c:pt idx="6">
                  <c:v>77304</c:v>
                </c:pt>
                <c:pt idx="7">
                  <c:v>72957</c:v>
                </c:pt>
                <c:pt idx="8">
                  <c:v>68541</c:v>
                </c:pt>
                <c:pt idx="9">
                  <c:v>63997</c:v>
                </c:pt>
                <c:pt idx="10">
                  <c:v>59300</c:v>
                </c:pt>
              </c:numCache>
            </c:numRef>
          </c:val>
          <c:smooth val="0"/>
          <c:extLst xmlns:c16r2="http://schemas.microsoft.com/office/drawing/2015/06/chart">
            <c:ext xmlns:c16="http://schemas.microsoft.com/office/drawing/2014/chart" uri="{C3380CC4-5D6E-409C-BE32-E72D297353CC}">
              <c16:uniqueId val="{00000018-3B58-4739-BF53-5DF3D01AA662}"/>
            </c:ext>
          </c:extLst>
        </c:ser>
        <c:ser>
          <c:idx val="25"/>
          <c:order val="25"/>
          <c:tx>
            <c:strRef>
              <c:f>'forest extent'!$A$27</c:f>
              <c:strCache>
                <c:ptCount val="1"/>
                <c:pt idx="0">
                  <c:v>SCHWEIZ/SUISSE/SVIZZERA</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extent'!$B$27:$L$27</c:f>
              <c:numCache>
                <c:formatCode>General</c:formatCode>
                <c:ptCount val="11"/>
                <c:pt idx="0">
                  <c:v>21274</c:v>
                </c:pt>
                <c:pt idx="1">
                  <c:v>19762</c:v>
                </c:pt>
                <c:pt idx="2">
                  <c:v>18309</c:v>
                </c:pt>
                <c:pt idx="3">
                  <c:v>16886</c:v>
                </c:pt>
                <c:pt idx="4">
                  <c:v>15504</c:v>
                </c:pt>
                <c:pt idx="5">
                  <c:v>14100</c:v>
                </c:pt>
                <c:pt idx="6">
                  <c:v>12684</c:v>
                </c:pt>
                <c:pt idx="7">
                  <c:v>11276</c:v>
                </c:pt>
                <c:pt idx="8">
                  <c:v>9870</c:v>
                </c:pt>
                <c:pt idx="9">
                  <c:v>8573</c:v>
                </c:pt>
                <c:pt idx="10">
                  <c:v>7179</c:v>
                </c:pt>
              </c:numCache>
            </c:numRef>
          </c:val>
          <c:smooth val="0"/>
          <c:extLst xmlns:c16r2="http://schemas.microsoft.com/office/drawing/2015/06/chart">
            <c:ext xmlns:c16="http://schemas.microsoft.com/office/drawing/2014/chart" uri="{C3380CC4-5D6E-409C-BE32-E72D297353CC}">
              <c16:uniqueId val="{00000019-3B58-4739-BF53-5DF3D01AA662}"/>
            </c:ext>
          </c:extLst>
        </c:ser>
        <c:ser>
          <c:idx val="26"/>
          <c:order val="26"/>
          <c:tx>
            <c:strRef>
              <c:f>'forest extent'!$A$28</c:f>
              <c:strCache>
                <c:ptCount val="1"/>
                <c:pt idx="0">
                  <c:v>Serbia</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extent'!$B$28:$L$28</c:f>
              <c:numCache>
                <c:formatCode>General</c:formatCode>
                <c:ptCount val="11"/>
                <c:pt idx="0">
                  <c:v>6662</c:v>
                </c:pt>
                <c:pt idx="1">
                  <c:v>6338</c:v>
                </c:pt>
                <c:pt idx="2">
                  <c:v>5975</c:v>
                </c:pt>
                <c:pt idx="3">
                  <c:v>5653</c:v>
                </c:pt>
                <c:pt idx="4">
                  <c:v>5325</c:v>
                </c:pt>
                <c:pt idx="5">
                  <c:v>4993</c:v>
                </c:pt>
                <c:pt idx="6">
                  <c:v>4670</c:v>
                </c:pt>
                <c:pt idx="7">
                  <c:v>4335</c:v>
                </c:pt>
                <c:pt idx="8">
                  <c:v>3988</c:v>
                </c:pt>
                <c:pt idx="9">
                  <c:v>3612</c:v>
                </c:pt>
                <c:pt idx="10">
                  <c:v>3212</c:v>
                </c:pt>
              </c:numCache>
            </c:numRef>
          </c:val>
          <c:smooth val="0"/>
          <c:extLst xmlns:c16r2="http://schemas.microsoft.com/office/drawing/2015/06/chart">
            <c:ext xmlns:c16="http://schemas.microsoft.com/office/drawing/2014/chart" uri="{C3380CC4-5D6E-409C-BE32-E72D297353CC}">
              <c16:uniqueId val="{0000001A-3B58-4739-BF53-5DF3D01AA662}"/>
            </c:ext>
          </c:extLst>
        </c:ser>
        <c:ser>
          <c:idx val="27"/>
          <c:order val="27"/>
          <c:tx>
            <c:strRef>
              <c:f>'forest extent'!$A$29</c:f>
              <c:strCache>
                <c:ptCount val="1"/>
                <c:pt idx="0">
                  <c:v>SHQIPËRIA</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extent'!$B$29:$L$29</c:f>
              <c:numCache>
                <c:formatCode>General</c:formatCode>
                <c:ptCount val="11"/>
                <c:pt idx="0">
                  <c:v>16118</c:v>
                </c:pt>
                <c:pt idx="1">
                  <c:v>14946</c:v>
                </c:pt>
                <c:pt idx="2">
                  <c:v>13836</c:v>
                </c:pt>
                <c:pt idx="3">
                  <c:v>12767</c:v>
                </c:pt>
                <c:pt idx="4">
                  <c:v>11759</c:v>
                </c:pt>
                <c:pt idx="5">
                  <c:v>10689</c:v>
                </c:pt>
                <c:pt idx="6">
                  <c:v>9675</c:v>
                </c:pt>
                <c:pt idx="7">
                  <c:v>8622</c:v>
                </c:pt>
                <c:pt idx="8">
                  <c:v>7617</c:v>
                </c:pt>
                <c:pt idx="9">
                  <c:v>6606</c:v>
                </c:pt>
                <c:pt idx="10">
                  <c:v>5625</c:v>
                </c:pt>
              </c:numCache>
            </c:numRef>
          </c:val>
          <c:smooth val="0"/>
          <c:extLst xmlns:c16r2="http://schemas.microsoft.com/office/drawing/2015/06/chart">
            <c:ext xmlns:c16="http://schemas.microsoft.com/office/drawing/2014/chart" uri="{C3380CC4-5D6E-409C-BE32-E72D297353CC}">
              <c16:uniqueId val="{0000001B-3B58-4739-BF53-5DF3D01AA662}"/>
            </c:ext>
          </c:extLst>
        </c:ser>
        <c:ser>
          <c:idx val="28"/>
          <c:order val="28"/>
          <c:tx>
            <c:strRef>
              <c:f>'forest extent'!$A$30</c:f>
              <c:strCache>
                <c:ptCount val="1"/>
                <c:pt idx="0">
                  <c:v>SLOVENIJA</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extent'!$B$30:$L$30</c:f>
              <c:numCache>
                <c:formatCode>General</c:formatCode>
                <c:ptCount val="11"/>
                <c:pt idx="0">
                  <c:v>16799</c:v>
                </c:pt>
                <c:pt idx="1">
                  <c:v>16243</c:v>
                </c:pt>
                <c:pt idx="2">
                  <c:v>15625</c:v>
                </c:pt>
                <c:pt idx="3">
                  <c:v>15045</c:v>
                </c:pt>
                <c:pt idx="4">
                  <c:v>14474</c:v>
                </c:pt>
                <c:pt idx="5">
                  <c:v>13837</c:v>
                </c:pt>
                <c:pt idx="6">
                  <c:v>13189</c:v>
                </c:pt>
                <c:pt idx="7">
                  <c:v>12437</c:v>
                </c:pt>
                <c:pt idx="8">
                  <c:v>11703</c:v>
                </c:pt>
                <c:pt idx="9">
                  <c:v>10875</c:v>
                </c:pt>
                <c:pt idx="10">
                  <c:v>9953</c:v>
                </c:pt>
              </c:numCache>
            </c:numRef>
          </c:val>
          <c:smooth val="0"/>
          <c:extLst xmlns:c16r2="http://schemas.microsoft.com/office/drawing/2015/06/chart">
            <c:ext xmlns:c16="http://schemas.microsoft.com/office/drawing/2014/chart" uri="{C3380CC4-5D6E-409C-BE32-E72D297353CC}">
              <c16:uniqueId val="{0000001C-3B58-4739-BF53-5DF3D01AA662}"/>
            </c:ext>
          </c:extLst>
        </c:ser>
        <c:ser>
          <c:idx val="29"/>
          <c:order val="29"/>
          <c:tx>
            <c:strRef>
              <c:f>'forest extent'!$A$31</c:f>
              <c:strCache>
                <c:ptCount val="1"/>
                <c:pt idx="0">
                  <c:v>SLOVENSKO</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extent'!$B$31:$L$31</c:f>
              <c:numCache>
                <c:formatCode>General</c:formatCode>
                <c:ptCount val="11"/>
                <c:pt idx="0">
                  <c:v>28867</c:v>
                </c:pt>
                <c:pt idx="1">
                  <c:v>27725</c:v>
                </c:pt>
                <c:pt idx="2">
                  <c:v>26545</c:v>
                </c:pt>
                <c:pt idx="3">
                  <c:v>25439</c:v>
                </c:pt>
                <c:pt idx="4">
                  <c:v>24334</c:v>
                </c:pt>
                <c:pt idx="5">
                  <c:v>23265</c:v>
                </c:pt>
                <c:pt idx="6">
                  <c:v>22164</c:v>
                </c:pt>
                <c:pt idx="7">
                  <c:v>20998</c:v>
                </c:pt>
                <c:pt idx="8">
                  <c:v>19798</c:v>
                </c:pt>
                <c:pt idx="9">
                  <c:v>18531</c:v>
                </c:pt>
                <c:pt idx="10">
                  <c:v>17112</c:v>
                </c:pt>
              </c:numCache>
            </c:numRef>
          </c:val>
          <c:smooth val="0"/>
          <c:extLst xmlns:c16r2="http://schemas.microsoft.com/office/drawing/2015/06/chart">
            <c:ext xmlns:c16="http://schemas.microsoft.com/office/drawing/2014/chart" uri="{C3380CC4-5D6E-409C-BE32-E72D297353CC}">
              <c16:uniqueId val="{0000001D-3B58-4739-BF53-5DF3D01AA662}"/>
            </c:ext>
          </c:extLst>
        </c:ser>
        <c:ser>
          <c:idx val="30"/>
          <c:order val="30"/>
          <c:tx>
            <c:strRef>
              <c:f>'forest extent'!$A$32</c:f>
              <c:strCache>
                <c:ptCount val="1"/>
                <c:pt idx="0">
                  <c:v>SUOMI / FINLAND</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extent'!$B$32:$L$32</c:f>
              <c:numCache>
                <c:formatCode>General</c:formatCode>
                <c:ptCount val="11"/>
                <c:pt idx="0">
                  <c:v>294586</c:v>
                </c:pt>
                <c:pt idx="1">
                  <c:v>287273</c:v>
                </c:pt>
                <c:pt idx="2">
                  <c:v>279295</c:v>
                </c:pt>
                <c:pt idx="3">
                  <c:v>270537</c:v>
                </c:pt>
                <c:pt idx="4">
                  <c:v>260873</c:v>
                </c:pt>
                <c:pt idx="5">
                  <c:v>250121</c:v>
                </c:pt>
                <c:pt idx="6">
                  <c:v>237888</c:v>
                </c:pt>
                <c:pt idx="7">
                  <c:v>224422</c:v>
                </c:pt>
                <c:pt idx="8">
                  <c:v>208675</c:v>
                </c:pt>
                <c:pt idx="9">
                  <c:v>190722</c:v>
                </c:pt>
                <c:pt idx="10">
                  <c:v>170006</c:v>
                </c:pt>
              </c:numCache>
            </c:numRef>
          </c:val>
          <c:smooth val="0"/>
          <c:extLst xmlns:c16r2="http://schemas.microsoft.com/office/drawing/2015/06/chart">
            <c:ext xmlns:c16="http://schemas.microsoft.com/office/drawing/2014/chart" uri="{C3380CC4-5D6E-409C-BE32-E72D297353CC}">
              <c16:uniqueId val="{0000001E-3B58-4739-BF53-5DF3D01AA662}"/>
            </c:ext>
          </c:extLst>
        </c:ser>
        <c:ser>
          <c:idx val="31"/>
          <c:order val="31"/>
          <c:tx>
            <c:strRef>
              <c:f>'forest extent'!$A$33</c:f>
              <c:strCache>
                <c:ptCount val="1"/>
                <c:pt idx="0">
                  <c:v>SVERIGE</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extent'!$B$33:$L$33</c:f>
              <c:numCache>
                <c:formatCode>General</c:formatCode>
                <c:ptCount val="11"/>
                <c:pt idx="0">
                  <c:v>361596</c:v>
                </c:pt>
                <c:pt idx="1">
                  <c:v>352515</c:v>
                </c:pt>
                <c:pt idx="2">
                  <c:v>342342</c:v>
                </c:pt>
                <c:pt idx="3">
                  <c:v>331324</c:v>
                </c:pt>
                <c:pt idx="4">
                  <c:v>318691</c:v>
                </c:pt>
                <c:pt idx="5">
                  <c:v>304510</c:v>
                </c:pt>
                <c:pt idx="6">
                  <c:v>288687</c:v>
                </c:pt>
                <c:pt idx="7">
                  <c:v>270398</c:v>
                </c:pt>
                <c:pt idx="8">
                  <c:v>249760</c:v>
                </c:pt>
                <c:pt idx="9">
                  <c:v>225833</c:v>
                </c:pt>
                <c:pt idx="10">
                  <c:v>198627</c:v>
                </c:pt>
              </c:numCache>
            </c:numRef>
          </c:val>
          <c:smooth val="0"/>
          <c:extLst xmlns:c16r2="http://schemas.microsoft.com/office/drawing/2015/06/chart">
            <c:ext xmlns:c16="http://schemas.microsoft.com/office/drawing/2014/chart" uri="{C3380CC4-5D6E-409C-BE32-E72D297353CC}">
              <c16:uniqueId val="{0000001F-3B58-4739-BF53-5DF3D01AA662}"/>
            </c:ext>
          </c:extLst>
        </c:ser>
        <c:ser>
          <c:idx val="32"/>
          <c:order val="32"/>
          <c:tx>
            <c:strRef>
              <c:f>'forest extent'!$A$34</c:f>
              <c:strCache>
                <c:ptCount val="1"/>
                <c:pt idx="0">
                  <c:v>UNITED KINGDOM</c:v>
                </c:pt>
              </c:strCache>
            </c:strRef>
          </c:tx>
          <c:spPr>
            <a:ln w="28575" cap="rnd">
              <a:solidFill>
                <a:schemeClr val="accent3">
                  <a:lumMod val="50000"/>
                </a:schemeClr>
              </a:solidFill>
              <a:round/>
            </a:ln>
            <a:effectLst/>
          </c:spPr>
          <c:marker>
            <c:symbol val="circle"/>
            <c:size val="5"/>
            <c:spPr>
              <a:solidFill>
                <a:schemeClr val="accent2"/>
              </a:solidFill>
              <a:ln w="9525">
                <a:solidFill>
                  <a:schemeClr val="accent3">
                    <a:lumMod val="5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extent'!$B$34:$L$34</c:f>
              <c:numCache>
                <c:formatCode>General</c:formatCode>
                <c:ptCount val="11"/>
                <c:pt idx="0">
                  <c:v>35667</c:v>
                </c:pt>
                <c:pt idx="1">
                  <c:v>29131</c:v>
                </c:pt>
                <c:pt idx="2">
                  <c:v>24107</c:v>
                </c:pt>
                <c:pt idx="3">
                  <c:v>20080</c:v>
                </c:pt>
                <c:pt idx="4">
                  <c:v>16799</c:v>
                </c:pt>
                <c:pt idx="5">
                  <c:v>13954</c:v>
                </c:pt>
                <c:pt idx="6">
                  <c:v>11440</c:v>
                </c:pt>
                <c:pt idx="7">
                  <c:v>9492</c:v>
                </c:pt>
                <c:pt idx="8">
                  <c:v>7742</c:v>
                </c:pt>
                <c:pt idx="9">
                  <c:v>6123</c:v>
                </c:pt>
                <c:pt idx="10">
                  <c:v>4706</c:v>
                </c:pt>
              </c:numCache>
            </c:numRef>
          </c:val>
          <c:smooth val="0"/>
          <c:extLst xmlns:c16r2="http://schemas.microsoft.com/office/drawing/2015/06/chart">
            <c:ext xmlns:c16="http://schemas.microsoft.com/office/drawing/2014/chart" uri="{C3380CC4-5D6E-409C-BE32-E72D297353CC}">
              <c16:uniqueId val="{00000020-3B58-4739-BF53-5DF3D01AA662}"/>
            </c:ext>
          </c:extLst>
        </c:ser>
        <c:ser>
          <c:idx val="33"/>
          <c:order val="33"/>
          <c:tx>
            <c:strRef>
              <c:f>'forest extent'!$A$35</c:f>
              <c:strCache>
                <c:ptCount val="1"/>
                <c:pt idx="0">
                  <c:v>ΕΛΛΑΔΑ</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extent'!$B$35:$L$35</c:f>
              <c:numCache>
                <c:formatCode>General</c:formatCode>
                <c:ptCount val="11"/>
                <c:pt idx="0">
                  <c:v>69242</c:v>
                </c:pt>
                <c:pt idx="1">
                  <c:v>65212</c:v>
                </c:pt>
                <c:pt idx="2">
                  <c:v>61359</c:v>
                </c:pt>
                <c:pt idx="3">
                  <c:v>57744</c:v>
                </c:pt>
                <c:pt idx="4">
                  <c:v>54177</c:v>
                </c:pt>
                <c:pt idx="5">
                  <c:v>50649</c:v>
                </c:pt>
                <c:pt idx="6">
                  <c:v>47256</c:v>
                </c:pt>
                <c:pt idx="7">
                  <c:v>43861</c:v>
                </c:pt>
                <c:pt idx="8">
                  <c:v>40476</c:v>
                </c:pt>
                <c:pt idx="9">
                  <c:v>36900</c:v>
                </c:pt>
                <c:pt idx="10">
                  <c:v>33218</c:v>
                </c:pt>
              </c:numCache>
            </c:numRef>
          </c:val>
          <c:smooth val="0"/>
          <c:extLst xmlns:c16r2="http://schemas.microsoft.com/office/drawing/2015/06/chart">
            <c:ext xmlns:c16="http://schemas.microsoft.com/office/drawing/2014/chart" uri="{C3380CC4-5D6E-409C-BE32-E72D297353CC}">
              <c16:uniqueId val="{00000021-3B58-4739-BF53-5DF3D01AA662}"/>
            </c:ext>
          </c:extLst>
        </c:ser>
        <c:ser>
          <c:idx val="34"/>
          <c:order val="34"/>
          <c:tx>
            <c:strRef>
              <c:f>'forest extent'!$A$36</c:f>
              <c:strCache>
                <c:ptCount val="1"/>
                <c:pt idx="0">
                  <c:v>ΚΥΠΡΟΣ</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extent'!$B$36:$L$36</c:f>
              <c:numCache>
                <c:formatCode>General</c:formatCode>
                <c:ptCount val="11"/>
                <c:pt idx="0">
                  <c:v>3152</c:v>
                </c:pt>
                <c:pt idx="1">
                  <c:v>2988</c:v>
                </c:pt>
                <c:pt idx="2">
                  <c:v>2858</c:v>
                </c:pt>
                <c:pt idx="3">
                  <c:v>2695</c:v>
                </c:pt>
                <c:pt idx="4">
                  <c:v>2571</c:v>
                </c:pt>
                <c:pt idx="5">
                  <c:v>2456</c:v>
                </c:pt>
                <c:pt idx="6">
                  <c:v>2338</c:v>
                </c:pt>
                <c:pt idx="7">
                  <c:v>2212</c:v>
                </c:pt>
                <c:pt idx="8">
                  <c:v>2095</c:v>
                </c:pt>
                <c:pt idx="9">
                  <c:v>1971</c:v>
                </c:pt>
                <c:pt idx="10">
                  <c:v>1838</c:v>
                </c:pt>
              </c:numCache>
            </c:numRef>
          </c:val>
          <c:smooth val="0"/>
          <c:extLst xmlns:c16r2="http://schemas.microsoft.com/office/drawing/2015/06/chart">
            <c:ext xmlns:c16="http://schemas.microsoft.com/office/drawing/2014/chart" uri="{C3380CC4-5D6E-409C-BE32-E72D297353CC}">
              <c16:uniqueId val="{00000022-3B58-4739-BF53-5DF3D01AA662}"/>
            </c:ext>
          </c:extLst>
        </c:ser>
        <c:ser>
          <c:idx val="35"/>
          <c:order val="35"/>
          <c:tx>
            <c:strRef>
              <c:f>'forest extent'!$A$37</c:f>
              <c:strCache>
                <c:ptCount val="1"/>
                <c:pt idx="0">
                  <c:v>БЪЛГАРИЯ</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extent'!$B$37:$L$37</c:f>
              <c:numCache>
                <c:formatCode>General</c:formatCode>
                <c:ptCount val="11"/>
                <c:pt idx="0">
                  <c:v>57954</c:v>
                </c:pt>
                <c:pt idx="1">
                  <c:v>55009</c:v>
                </c:pt>
                <c:pt idx="2">
                  <c:v>52319</c:v>
                </c:pt>
                <c:pt idx="3">
                  <c:v>49842</c:v>
                </c:pt>
                <c:pt idx="4">
                  <c:v>47420</c:v>
                </c:pt>
                <c:pt idx="5">
                  <c:v>45127</c:v>
                </c:pt>
                <c:pt idx="6">
                  <c:v>42862</c:v>
                </c:pt>
                <c:pt idx="7">
                  <c:v>40658</c:v>
                </c:pt>
                <c:pt idx="8">
                  <c:v>38421</c:v>
                </c:pt>
                <c:pt idx="9">
                  <c:v>36105</c:v>
                </c:pt>
                <c:pt idx="10">
                  <c:v>33557</c:v>
                </c:pt>
              </c:numCache>
            </c:numRef>
          </c:val>
          <c:smooth val="0"/>
          <c:extLst xmlns:c16r2="http://schemas.microsoft.com/office/drawing/2015/06/chart">
            <c:ext xmlns:c16="http://schemas.microsoft.com/office/drawing/2014/chart" uri="{C3380CC4-5D6E-409C-BE32-E72D297353CC}">
              <c16:uniqueId val="{00000023-3B58-4739-BF53-5DF3D01AA662}"/>
            </c:ext>
          </c:extLst>
        </c:ser>
        <c:ser>
          <c:idx val="36"/>
          <c:order val="36"/>
          <c:tx>
            <c:strRef>
              <c:f>'forest extent'!$A$38</c:f>
              <c:strCache>
                <c:ptCount val="1"/>
                <c:pt idx="0">
                  <c:v>ЦРНА ГОРА</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f>'forest extent'!$B$1:$L$1</c:f>
              <c:strCache>
                <c:ptCount val="11"/>
                <c:pt idx="0">
                  <c:v>area 25</c:v>
                </c:pt>
                <c:pt idx="1">
                  <c:v>area 30</c:v>
                </c:pt>
                <c:pt idx="2">
                  <c:v>area 35</c:v>
                </c:pt>
                <c:pt idx="3">
                  <c:v>area 40</c:v>
                </c:pt>
                <c:pt idx="4">
                  <c:v>area 45</c:v>
                </c:pt>
                <c:pt idx="5">
                  <c:v>area 50</c:v>
                </c:pt>
                <c:pt idx="6">
                  <c:v>area 55</c:v>
                </c:pt>
                <c:pt idx="7">
                  <c:v>area 60</c:v>
                </c:pt>
                <c:pt idx="8">
                  <c:v>area 65</c:v>
                </c:pt>
                <c:pt idx="9">
                  <c:v>area 70</c:v>
                </c:pt>
                <c:pt idx="10">
                  <c:v>area 75</c:v>
                </c:pt>
              </c:strCache>
            </c:strRef>
          </c:cat>
          <c:val>
            <c:numRef>
              <c:f>'forest extent'!$B$38:$L$38</c:f>
              <c:numCache>
                <c:formatCode>General</c:formatCode>
                <c:ptCount val="11"/>
                <c:pt idx="0">
                  <c:v>10146</c:v>
                </c:pt>
                <c:pt idx="1">
                  <c:v>9710</c:v>
                </c:pt>
                <c:pt idx="2">
                  <c:v>9249</c:v>
                </c:pt>
                <c:pt idx="3">
                  <c:v>8763</c:v>
                </c:pt>
                <c:pt idx="4">
                  <c:v>8237</c:v>
                </c:pt>
                <c:pt idx="5">
                  <c:v>7747</c:v>
                </c:pt>
                <c:pt idx="6">
                  <c:v>7163</c:v>
                </c:pt>
                <c:pt idx="7">
                  <c:v>6636</c:v>
                </c:pt>
                <c:pt idx="8">
                  <c:v>6076</c:v>
                </c:pt>
                <c:pt idx="9">
                  <c:v>5530</c:v>
                </c:pt>
                <c:pt idx="10">
                  <c:v>4922</c:v>
                </c:pt>
              </c:numCache>
            </c:numRef>
          </c:val>
          <c:smooth val="0"/>
          <c:extLst xmlns:c16r2="http://schemas.microsoft.com/office/drawing/2015/06/chart">
            <c:ext xmlns:c16="http://schemas.microsoft.com/office/drawing/2014/chart" uri="{C3380CC4-5D6E-409C-BE32-E72D297353CC}">
              <c16:uniqueId val="{00000024-3B58-4739-BF53-5DF3D01AA662}"/>
            </c:ext>
          </c:extLst>
        </c:ser>
        <c:dLbls>
          <c:showLegendKey val="0"/>
          <c:showVal val="0"/>
          <c:showCatName val="0"/>
          <c:showSerName val="0"/>
          <c:showPercent val="0"/>
          <c:showBubbleSize val="0"/>
        </c:dLbls>
        <c:marker val="1"/>
        <c:smooth val="0"/>
        <c:axId val="1281082496"/>
        <c:axId val="1281086304"/>
      </c:lineChart>
      <c:catAx>
        <c:axId val="128108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1086304"/>
        <c:crosses val="autoZero"/>
        <c:auto val="1"/>
        <c:lblAlgn val="ctr"/>
        <c:lblOffset val="100"/>
        <c:noMultiLvlLbl val="0"/>
      </c:catAx>
      <c:valAx>
        <c:axId val="128108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10824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D4771-47B9-4FB7-AACA-0F18BE30D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27155</Words>
  <Characters>154789</Characters>
  <Application>Microsoft Office Word</Application>
  <DocSecurity>0</DocSecurity>
  <Lines>1289</Lines>
  <Paragraphs>363</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181581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 Y.</dc:creator>
  <cp:keywords/>
  <dc:description/>
  <cp:lastModifiedBy>Renugadevi G.</cp:lastModifiedBy>
  <cp:revision>2</cp:revision>
  <cp:lastPrinted>2020-08-08T10:04:00Z</cp:lastPrinted>
  <dcterms:created xsi:type="dcterms:W3CDTF">2021-03-07T01:35:00Z</dcterms:created>
  <dcterms:modified xsi:type="dcterms:W3CDTF">2021-03-07T01:35:00Z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http://www.zotero.org/styles/ecology-and-society</vt:lpwstr>
  </property>
  <property fmtid="{D5CDD505-2E9C-101B-9397-08002B2CF9AE}" pid="7" name="Mendeley Recent Style Name 2_1">
    <vt:lpwstr>Ecology and Society</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http://www.zotero.org/styles/journal-of-land-use-science</vt:lpwstr>
  </property>
  <property fmtid="{D5CDD505-2E9C-101B-9397-08002B2CF9AE}" pid="11" name="Mendeley Recent Style Name 4_1">
    <vt:lpwstr>Journal of Land Use Science</vt:lpwstr>
  </property>
  <property fmtid="{D5CDD505-2E9C-101B-9397-08002B2CF9AE}" pid="12" name="Mendeley Recent Style Id 5_1">
    <vt:lpwstr>http://www.zotero.org/styles/landscape-ecology</vt:lpwstr>
  </property>
  <property fmtid="{D5CDD505-2E9C-101B-9397-08002B2CF9AE}" pid="13" name="Mendeley Recent Style Name 5_1">
    <vt:lpwstr>Landscape Ecology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http://www.zotero.org/styles/world-development</vt:lpwstr>
  </property>
  <property fmtid="{D5CDD505-2E9C-101B-9397-08002B2CF9AE}" pid="21" name="Mendeley Recent Style Name 9_1">
    <vt:lpwstr>World Development</vt:lpwstr>
  </property>
</Properties>
</file>