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Riparian l</w:t>
      </w:r>
      <w:bookmarkStart w:id="3" w:name="_GoBack"/>
      <w:bookmarkEnd w:id="3"/>
      <w:r>
        <w:rPr>
          <w:rFonts w:ascii="Times New Roman" w:hAnsi="Times New Roman" w:cs="Times New Roman"/>
          <w:b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and use</w:t>
      </w:r>
      <w:r>
        <w:rPr>
          <w:rFonts w:hint="eastAsia" w:ascii="Times New Roman" w:hAnsi="Times New Roman" w:cs="Times New Roman"/>
          <w:b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 xml:space="preserve">and in-channel </w:t>
      </w:r>
      <w:r>
        <w:rPr>
          <w:rFonts w:hint="eastAsia" w:ascii="Times New Roman" w:hAnsi="Times New Roman" w:cs="Times New Roman"/>
          <w:b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stressors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 xml:space="preserve"> drive fish community structure</w:t>
      </w:r>
      <w:r>
        <w:rPr>
          <w:rFonts w:hint="eastAsia" w:ascii="Times New Roman" w:hAnsi="Times New Roman" w:cs="Times New Roman"/>
          <w:b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in the Yangtze</w:t>
      </w:r>
      <w:r>
        <w:rPr>
          <w:rFonts w:hint="eastAsia" w:ascii="Times New Roman" w:hAnsi="Times New Roman" w:cs="Times New Roman"/>
          <w:b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 xml:space="preserve"> River</w:t>
      </w:r>
    </w:p>
    <w:p>
      <w:pPr>
        <w:spacing w:line="276" w:lineRule="auto"/>
        <w:jc w:val="left"/>
        <w:rPr>
          <w:rFonts w:ascii="Times New Roman" w:hAnsi="Times New Roman" w:cs="Times New Roman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bookmarkStart w:id="0" w:name="OLE_LINK15"/>
      <w:r>
        <w:rPr>
          <w:rFonts w:ascii="Times New Roman" w:hAnsi="Times New Roman" w:cs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Fangyuan Xiong</w:t>
      </w:r>
      <w:r>
        <w:rPr>
          <w:rFonts w:ascii="Times New Roman" w:hAnsi="Times New Roman" w:cs="Times New Roman"/>
          <w:color w:val="000000" w:themeColor="text1"/>
          <w:sz w:val="24"/>
          <w:highlight w:val="none"/>
          <w:vertAlign w:val="superscript"/>
          <w14:textFill>
            <w14:solidFill>
              <w14:schemeClr w14:val="tx1"/>
            </w14:solidFill>
          </w14:textFill>
        </w:rPr>
        <w:t>1,2</w:t>
      </w:r>
      <w:r>
        <w:rPr>
          <w:rFonts w:hint="eastAsia" w:ascii="Times New Roman" w:hAnsi="Times New Roman" w:cs="Times New Roman"/>
          <w:color w:val="000000" w:themeColor="text1"/>
          <w:sz w:val="24"/>
          <w:highlight w:val="none"/>
          <w:vertAlign w:val="superscript"/>
          <w14:textFill>
            <w14:solidFill>
              <w14:schemeClr w14:val="tx1"/>
            </w14:solidFill>
          </w14:textFill>
        </w:rPr>
        <w:t xml:space="preserve">,5 </w:t>
      </w:r>
      <w:r>
        <w:rPr>
          <w:rFonts w:hint="eastAsia" w:ascii="Times New Roman" w:hAnsi="Times New Roman" w:cs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Julian D. Olden</w:t>
      </w:r>
      <w:r>
        <w:rPr>
          <w:rFonts w:ascii="Times New Roman" w:hAnsi="Times New Roman" w:cs="Times New Roman"/>
          <w:color w:val="000000" w:themeColor="text1"/>
          <w:sz w:val="24"/>
          <w:highlight w:val="none"/>
          <w:vertAlign w:val="superscript"/>
          <w14:textFill>
            <w14:solidFill>
              <w14:schemeClr w14:val="tx1"/>
            </w14:solidFill>
          </w14:textFill>
        </w:rPr>
        <w:t>3,4</w:t>
      </w:r>
      <w:r>
        <w:rPr>
          <w:rFonts w:hint="eastAsia" w:ascii="Times New Roman" w:hAnsi="Times New Roman" w:cs="Times New Roman"/>
          <w:color w:val="000000" w:themeColor="text1"/>
          <w:sz w:val="24"/>
          <w:highlight w:val="none"/>
          <w:vertAlign w:val="superscript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Ying Lu</w:t>
      </w:r>
      <w:r>
        <w:rPr>
          <w:rFonts w:ascii="Times New Roman" w:hAnsi="Times New Roman" w:cs="Times New Roman"/>
          <w:color w:val="000000" w:themeColor="text1"/>
          <w:sz w:val="24"/>
          <w:highlight w:val="none"/>
          <w:vertAlign w:val="superscript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cs="Times New Roman"/>
          <w:color w:val="000000" w:themeColor="text1"/>
          <w:sz w:val="24"/>
          <w:highlight w:val="none"/>
          <w:vertAlign w:val="superscript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Han Liu</w:t>
      </w:r>
      <w:r>
        <w:rPr>
          <w:rFonts w:ascii="Times New Roman" w:hAnsi="Times New Roman" w:cs="Times New Roman"/>
          <w:color w:val="000000" w:themeColor="text1"/>
          <w:sz w:val="24"/>
          <w:highlight w:val="none"/>
          <w:vertAlign w:val="superscript"/>
          <w14:textFill>
            <w14:solidFill>
              <w14:schemeClr w14:val="tx1"/>
            </w14:solidFill>
          </w14:textFill>
        </w:rPr>
        <w:t>1,2</w:t>
      </w:r>
      <w:r>
        <w:rPr>
          <w:rFonts w:hint="eastAsia" w:ascii="Times New Roman" w:hAnsi="Times New Roman" w:cs="Times New Roman"/>
          <w:color w:val="000000" w:themeColor="text1"/>
          <w:sz w:val="24"/>
          <w:highlight w:val="none"/>
          <w:vertAlign w:val="superscript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Xiao Qu</w:t>
      </w:r>
      <w:r>
        <w:rPr>
          <w:rFonts w:ascii="Times New Roman" w:hAnsi="Times New Roman" w:cs="Times New Roman"/>
          <w:color w:val="000000" w:themeColor="text1"/>
          <w:sz w:val="24"/>
          <w:highlight w:val="none"/>
          <w:vertAlign w:val="superscript"/>
          <w14:textFill>
            <w14:solidFill>
              <w14:schemeClr w14:val="tx1"/>
            </w14:solidFill>
          </w14:textFill>
        </w:rPr>
        <w:t>1,2</w:t>
      </w:r>
      <w:r>
        <w:rPr>
          <w:rFonts w:hint="eastAsia" w:ascii="Times New Roman" w:hAnsi="Times New Roman" w:cs="Times New Roman"/>
          <w:color w:val="000000" w:themeColor="text1"/>
          <w:sz w:val="24"/>
          <w:highlight w:val="none"/>
          <w:vertAlign w:val="superscript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Wentong Xia</w:t>
      </w:r>
      <w:r>
        <w:rPr>
          <w:rFonts w:ascii="Times New Roman" w:hAnsi="Times New Roman" w:cs="Times New Roman"/>
          <w:color w:val="000000" w:themeColor="text1"/>
          <w:sz w:val="24"/>
          <w:highlight w:val="none"/>
          <w:vertAlign w:val="superscript"/>
          <w14:textFill>
            <w14:solidFill>
              <w14:schemeClr w14:val="tx1"/>
            </w14:solidFill>
          </w14:textFill>
        </w:rPr>
        <w:t>1,2</w:t>
      </w:r>
      <w:r>
        <w:rPr>
          <w:rFonts w:hint="eastAsia" w:ascii="Times New Roman" w:hAnsi="Times New Roman" w:cs="Times New Roman"/>
          <w:color w:val="000000" w:themeColor="text1"/>
          <w:sz w:val="24"/>
          <w:highlight w:val="none"/>
          <w:vertAlign w:val="superscript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Chuanbo Guo</w:t>
      </w:r>
      <w:r>
        <w:rPr>
          <w:rFonts w:ascii="Times New Roman" w:hAnsi="Times New Roman" w:cs="Times New Roman"/>
          <w:color w:val="000000" w:themeColor="text1"/>
          <w:sz w:val="24"/>
          <w:highlight w:val="none"/>
          <w:vertAlign w:val="superscript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cs="Times New Roman"/>
          <w:color w:val="000000" w:themeColor="text1"/>
          <w:sz w:val="24"/>
          <w:highlight w:val="none"/>
          <w:vertAlign w:val="superscript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Xinghua Wu</w:t>
      </w:r>
      <w:r>
        <w:rPr>
          <w:rFonts w:ascii="Times New Roman" w:hAnsi="Times New Roman" w:cs="Times New Roman"/>
          <w:color w:val="000000" w:themeColor="text1"/>
          <w:sz w:val="24"/>
          <w:highlight w:val="none"/>
          <w:vertAlign w:val="superscript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Times New Roman" w:hAnsi="Times New Roman" w:cs="Times New Roman"/>
          <w:color w:val="000000" w:themeColor="text1"/>
          <w:sz w:val="24"/>
          <w:highlight w:val="none"/>
          <w:vertAlign w:val="superscript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Dana M. Infante</w:t>
      </w:r>
      <w:r>
        <w:rPr>
          <w:rFonts w:ascii="Times New Roman" w:hAnsi="Times New Roman" w:cs="Times New Roman"/>
          <w:color w:val="000000" w:themeColor="text1"/>
          <w:sz w:val="24"/>
          <w:highlight w:val="none"/>
          <w:vertAlign w:val="superscript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Times New Roman" w:hAnsi="Times New Roman" w:cs="Times New Roman"/>
          <w:color w:val="000000" w:themeColor="text1"/>
          <w:sz w:val="24"/>
          <w:highlight w:val="none"/>
          <w:vertAlign w:val="superscript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Lizhu Wang</w:t>
      </w:r>
      <w:r>
        <w:rPr>
          <w:rFonts w:ascii="Times New Roman" w:hAnsi="Times New Roman" w:cs="Times New Roman"/>
          <w:color w:val="000000" w:themeColor="text1"/>
          <w:sz w:val="24"/>
          <w:highlight w:val="none"/>
          <w:vertAlign w:val="superscript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Times New Roman" w:hAnsi="Times New Roman" w:cs="Times New Roman"/>
          <w:color w:val="000000" w:themeColor="text1"/>
          <w:sz w:val="24"/>
          <w:highlight w:val="none"/>
          <w:vertAlign w:val="superscript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Yushun Chen</w:t>
      </w:r>
      <w:r>
        <w:rPr>
          <w:rFonts w:ascii="Times New Roman" w:hAnsi="Times New Roman" w:cs="Times New Roman"/>
          <w:color w:val="000000" w:themeColor="text1"/>
          <w:sz w:val="24"/>
          <w:highlight w:val="none"/>
          <w:vertAlign w:val="superscript"/>
          <w14:textFill>
            <w14:solidFill>
              <w14:schemeClr w14:val="tx1"/>
            </w14:solidFill>
          </w14:textFill>
        </w:rPr>
        <w:t>1,2</w:t>
      </w:r>
      <w:bookmarkEnd w:id="0"/>
      <w:r>
        <w:rPr>
          <w:rFonts w:ascii="Times New Roman" w:hAnsi="Times New Roman" w:cs="Times New Roman"/>
          <w:color w:val="000000" w:themeColor="text1"/>
          <w:sz w:val="24"/>
          <w:highlight w:val="none"/>
          <w:vertAlign w:val="superscript"/>
          <w14:textFill>
            <w14:solidFill>
              <w14:schemeClr w14:val="tx1"/>
            </w14:solidFill>
          </w14:textFill>
        </w:rPr>
        <w:t>,*</w:t>
      </w:r>
    </w:p>
    <w:p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highlight w:val="none"/>
          <w:vertAlign w:val="superscript"/>
          <w14:textFill>
            <w14:solidFill>
              <w14:schemeClr w14:val="tx1"/>
            </w14:solidFill>
          </w14:textFill>
        </w:rPr>
        <w:t>1</w:t>
      </w:r>
      <w:r>
        <w:rPr>
          <w:rFonts w:ascii="Times New Roman" w:hAnsi="Times New Roman" w:cs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State Key Laboratory of Freshwater Ecology and Biotechnology, Institute of Hydrobiology, Chinese Academy of Sciences, Wuhan, Hubei 430072, China</w:t>
      </w:r>
    </w:p>
    <w:p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highlight w:val="none"/>
          <w:vertAlign w:val="superscript"/>
          <w14:textFill>
            <w14:solidFill>
              <w14:schemeClr w14:val="tx1"/>
            </w14:solidFill>
          </w14:textFill>
        </w:rPr>
        <w:t>2</w:t>
      </w:r>
      <w:bookmarkStart w:id="1" w:name="OLE_LINK3"/>
      <w:r>
        <w:rPr>
          <w:rFonts w:hint="eastAsia" w:ascii="Times New Roman" w:hAnsi="Times New Roman" w:cs="Times New Roman"/>
          <w:color w:val="000000" w:themeColor="text1"/>
          <w:sz w:val="24"/>
          <w:highlight w:val="none"/>
          <w:vertAlign w:val="superscript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University of Chinese Academy of Sciences, Beijing 100049, China</w:t>
      </w:r>
      <w:bookmarkEnd w:id="1"/>
    </w:p>
    <w:p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highlight w:val="none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cs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School of Aquatic and Fishery Sciences, University of Washington, Seattle, WA 98195, USA</w:t>
      </w:r>
    </w:p>
    <w:p>
      <w:pPr>
        <w:pStyle w:val="10"/>
        <w:spacing w:line="360" w:lineRule="auto"/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vertAlign w:val="superscript"/>
          <w:lang w:val="en-US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highlight w:val="none"/>
          <w:vertAlign w:val="superscript"/>
          <w14:textFill>
            <w14:solidFill>
              <w14:schemeClr w14:val="tx1"/>
            </w14:solidFill>
          </w14:textFill>
        </w:rPr>
        <w:t>4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lang w:val="en-US"/>
          <w14:textFill>
            <w14:solidFill>
              <w14:schemeClr w14:val="tx1"/>
            </w14:solidFill>
          </w14:textFill>
        </w:rPr>
        <w:t>Australian Rivers Institute, Griffith University, QLD, Australia</w:t>
      </w:r>
    </w:p>
    <w:p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highlight w:val="none"/>
          <w:vertAlign w:val="superscript"/>
          <w14:textFill>
            <w14:solidFill>
              <w14:schemeClr w14:val="tx1"/>
            </w14:solidFill>
          </w14:textFill>
        </w:rPr>
        <w:t>5</w:t>
      </w:r>
      <w:r>
        <w:rPr>
          <w:rFonts w:ascii="Times New Roman" w:hAnsi="Times New Roman" w:cs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 xml:space="preserve">Research Center for Yangtze River Ecological </w:t>
      </w:r>
      <w:r>
        <w:rPr>
          <w:rFonts w:hint="eastAsia" w:ascii="Times New Roman" w:hAnsi="Times New Roman" w:cs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and</w:t>
      </w:r>
      <w:r>
        <w:rPr>
          <w:rFonts w:ascii="Times New Roman" w:hAnsi="Times New Roman" w:cs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 xml:space="preserve"> Environmental Engineering, China Three Gorges Corporation, Beijing 100038, China</w:t>
      </w:r>
    </w:p>
    <w:p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highlight w:val="none"/>
          <w:vertAlign w:val="superscript"/>
          <w14:textFill>
            <w14:solidFill>
              <w14:schemeClr w14:val="tx1"/>
            </w14:solidFill>
          </w14:textFill>
        </w:rPr>
        <w:t>6</w:t>
      </w:r>
      <w:r>
        <w:rPr>
          <w:rFonts w:ascii="Times New Roman" w:hAnsi="Times New Roman" w:cs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Department of Fisheries and Wildlife, Michigan State University, East Lansing, Michigan 48823, USA</w:t>
      </w:r>
    </w:p>
    <w:p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highlight w:val="none"/>
          <w:vertAlign w:val="superscript"/>
          <w14:textFill>
            <w14:solidFill>
              <w14:schemeClr w14:val="tx1"/>
            </w14:solidFill>
          </w14:textFill>
        </w:rPr>
        <w:t>7</w:t>
      </w:r>
      <w:r>
        <w:rPr>
          <w:rFonts w:ascii="Times New Roman" w:hAnsi="Times New Roman" w:cs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International Joint Commission, Detroit, Michigan 48232, USA</w:t>
      </w:r>
    </w:p>
    <w:p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Correspond</w:t>
      </w:r>
      <w:r>
        <w:rPr>
          <w:rFonts w:hint="eastAsia" w:ascii="Times New Roman" w:hAnsi="Times New Roman" w:cs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ence</w:t>
      </w:r>
      <w:r>
        <w:rPr>
          <w:rFonts w:ascii="Times New Roman" w:hAnsi="Times New Roman" w:cs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: Yushun Chen, Email: yushunchen@ihb.ac.cn</w:t>
      </w:r>
    </w:p>
    <w:p>
      <w:pPr>
        <w:rPr>
          <w:rFonts w:ascii="Times New Roman" w:hAnsi="Times New Roman" w:cs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rPr>
          <w:rFonts w:ascii="Times New Roman" w:hAnsi="Times New Roman" w:cs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rPr>
          <w:rFonts w:ascii="Times New Roman" w:hAnsi="Times New Roman" w:cs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rPr>
          <w:rFonts w:ascii="Times New Roman" w:hAnsi="Times New Roman" w:cs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rPr>
          <w:rFonts w:ascii="Times New Roman" w:hAnsi="Times New Roman" w:cs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rPr>
          <w:rFonts w:ascii="Times New Roman" w:hAnsi="Times New Roman" w:cs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rPr>
          <w:rFonts w:ascii="Times New Roman" w:hAnsi="Times New Roman" w:cs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rPr>
          <w:rFonts w:ascii="Times New Roman" w:hAnsi="Times New Roman" w:cs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rPr>
          <w:rFonts w:ascii="Times New Roman" w:hAnsi="Times New Roman" w:cs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rPr>
          <w:rFonts w:ascii="Times New Roman" w:hAnsi="Times New Roman" w:cs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widowControl/>
        <w:jc w:val="left"/>
        <w:rPr>
          <w:rFonts w:ascii="Times New Roman" w:hAnsi="Times New Roman" w:cs="Times New Roman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br w:type="page"/>
      </w:r>
    </w:p>
    <w:p>
      <w:pPr>
        <w:spacing w:line="276" w:lineRule="auto"/>
        <w:jc w:val="left"/>
        <w:rPr>
          <w:rFonts w:ascii="Times New Roman" w:hAnsi="Times New Roman" w:cs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bookmarkStart w:id="2" w:name="_Hlk69850754"/>
      <w:r>
        <w:rPr>
          <w:rFonts w:ascii="Times New Roman" w:hAnsi="Times New Roman" w:cs="Times New Roman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 xml:space="preserve">Table </w:t>
      </w:r>
      <w:r>
        <w:rPr>
          <w:rFonts w:hint="eastAsia" w:ascii="Times New Roman" w:hAnsi="Times New Roman" w:cs="Times New Roman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S</w:t>
      </w:r>
      <w:r>
        <w:rPr>
          <w:rFonts w:ascii="Times New Roman" w:hAnsi="Times New Roman" w:cs="Times New Roman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cs="Times New Roman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.</w:t>
      </w:r>
      <w:r>
        <w:rPr>
          <w:rFonts w:ascii="Times New Roman" w:hAnsi="Times New Roman" w:cs="Times New Roman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 xml:space="preserve">Locations of sampling segments and sites in the middle and lower Yangtze River. All sampling was conducted in 2017. Sampling sites where </w:t>
      </w:r>
      <w:r>
        <w:rPr>
          <w:rFonts w:ascii="Times New Roman" w:hAnsi="Times New Roman" w:cs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land-use in riparian zones were derived are</w:t>
      </w:r>
      <w:r>
        <w:rPr>
          <w:rFonts w:ascii="Times New Roman" w:hAnsi="Times New Roman" w:cs="Times New Roman"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 xml:space="preserve"> in bold. </w:t>
      </w:r>
      <w:r>
        <w:rPr>
          <w:rFonts w:ascii="Times New Roman" w:hAnsi="Times New Roman" w:cs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 xml:space="preserve"> </w:t>
      </w:r>
    </w:p>
    <w:tbl>
      <w:tblPr>
        <w:tblStyle w:val="6"/>
        <w:tblW w:w="858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4"/>
        <w:gridCol w:w="2235"/>
        <w:gridCol w:w="1980"/>
        <w:gridCol w:w="1370"/>
        <w:gridCol w:w="120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794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Segment ID</w:t>
            </w:r>
          </w:p>
        </w:tc>
        <w:tc>
          <w:tcPr>
            <w:tcW w:w="2235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Segment name</w:t>
            </w:r>
          </w:p>
        </w:tc>
        <w:tc>
          <w:tcPr>
            <w:tcW w:w="198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Style w:val="16"/>
                <w:rFonts w:eastAsia="宋体"/>
                <w:color w:val="auto"/>
                <w:highlight w:val="none"/>
                <w:lang w:bidi="ar"/>
              </w:rPr>
              <w:t>Sample</w:t>
            </w:r>
            <w:r>
              <w:rPr>
                <w:rFonts w:hint="eastAsia" w:ascii="宋体" w:hAnsi="宋体" w:eastAsia="宋体" w:cs="宋体"/>
                <w:kern w:val="0"/>
                <w:sz w:val="24"/>
                <w:highlight w:val="none"/>
                <w:lang w:bidi="ar"/>
              </w:rPr>
              <w:t xml:space="preserve"> </w:t>
            </w:r>
            <w:r>
              <w:rPr>
                <w:rStyle w:val="16"/>
                <w:rFonts w:eastAsia="宋体"/>
                <w:color w:val="auto"/>
                <w:highlight w:val="none"/>
                <w:lang w:bidi="ar"/>
              </w:rPr>
              <w:t>site ID</w:t>
            </w:r>
          </w:p>
        </w:tc>
        <w:tc>
          <w:tcPr>
            <w:tcW w:w="137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highlight w:val="none"/>
                <w:lang w:bidi="ar"/>
              </w:rPr>
              <w:t>Longitude (E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highlight w:val="none"/>
                <w:lang w:bidi="ar"/>
              </w:rPr>
              <w:t>)</w:t>
            </w:r>
          </w:p>
        </w:tc>
        <w:tc>
          <w:tcPr>
            <w:tcW w:w="1203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highlight w:val="none"/>
                <w:lang w:bidi="ar"/>
              </w:rPr>
              <w:t>Latitude (N)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9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S1</w:t>
            </w:r>
          </w:p>
        </w:tc>
        <w:tc>
          <w:tcPr>
            <w:tcW w:w="223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Jingzhou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S1-1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112.0532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widowControl/>
              <w:jc w:val="right"/>
              <w:textAlignment w:val="bottom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30.2782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79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</w:p>
        </w:tc>
        <w:tc>
          <w:tcPr>
            <w:tcW w:w="223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b/>
                <w:bCs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highlight w:val="none"/>
                <w:lang w:bidi="ar"/>
              </w:rPr>
              <w:t>S1-2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b/>
                <w:bCs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highlight w:val="none"/>
                <w:lang w:bidi="ar"/>
              </w:rPr>
              <w:t>112.0598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widowControl/>
              <w:jc w:val="right"/>
              <w:textAlignment w:val="bottom"/>
              <w:rPr>
                <w:rFonts w:ascii="Times New Roman" w:hAnsi="Times New Roman" w:eastAsia="宋体" w:cs="Times New Roman"/>
                <w:b/>
                <w:bCs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highlight w:val="none"/>
                <w:lang w:bidi="ar"/>
              </w:rPr>
              <w:t>30.2882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9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</w:p>
        </w:tc>
        <w:tc>
          <w:tcPr>
            <w:tcW w:w="223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S1-3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112.0674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widowControl/>
              <w:jc w:val="right"/>
              <w:textAlignment w:val="bottom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30.28208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9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S2</w:t>
            </w:r>
          </w:p>
        </w:tc>
        <w:tc>
          <w:tcPr>
            <w:tcW w:w="223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Jianli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S2-1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112.9002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widowControl/>
              <w:jc w:val="right"/>
              <w:textAlignment w:val="bottom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29.8072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9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</w:p>
        </w:tc>
        <w:tc>
          <w:tcPr>
            <w:tcW w:w="223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b/>
                <w:bCs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highlight w:val="none"/>
                <w:lang w:bidi="ar"/>
              </w:rPr>
              <w:t>S2-2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b/>
                <w:bCs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highlight w:val="none"/>
                <w:lang w:bidi="ar"/>
              </w:rPr>
              <w:t>112.8585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right"/>
              <w:textAlignment w:val="bottom"/>
              <w:rPr>
                <w:rFonts w:ascii="Times New Roman" w:hAnsi="Times New Roman" w:eastAsia="宋体" w:cs="Times New Roman"/>
                <w:b/>
                <w:bCs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highlight w:val="none"/>
                <w:lang w:bidi="ar"/>
              </w:rPr>
              <w:t>29.7964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9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</w:p>
        </w:tc>
        <w:tc>
          <w:tcPr>
            <w:tcW w:w="223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S2-3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112.9090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widowControl/>
              <w:jc w:val="right"/>
              <w:textAlignment w:val="bottom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29.8056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9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S3</w:t>
            </w:r>
          </w:p>
        </w:tc>
        <w:tc>
          <w:tcPr>
            <w:tcW w:w="223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Yueyang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S3-1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112.9744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widowControl/>
              <w:jc w:val="right"/>
              <w:textAlignment w:val="bottom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29.4981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9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</w:p>
        </w:tc>
        <w:tc>
          <w:tcPr>
            <w:tcW w:w="223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b/>
                <w:bCs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highlight w:val="none"/>
                <w:lang w:bidi="ar"/>
              </w:rPr>
              <w:t>S3-2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b/>
                <w:bCs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highlight w:val="none"/>
                <w:lang w:bidi="ar"/>
              </w:rPr>
              <w:t>112.9878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right"/>
              <w:textAlignment w:val="bottom"/>
              <w:rPr>
                <w:rFonts w:ascii="Times New Roman" w:hAnsi="Times New Roman" w:eastAsia="宋体" w:cs="Times New Roman"/>
                <w:b/>
                <w:bCs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highlight w:val="none"/>
                <w:lang w:bidi="ar"/>
              </w:rPr>
              <w:t>29.4971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9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</w:p>
        </w:tc>
        <w:tc>
          <w:tcPr>
            <w:tcW w:w="223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S3-3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112.9949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widowControl/>
              <w:jc w:val="right"/>
              <w:textAlignment w:val="bottom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29.5011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9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S4</w:t>
            </w:r>
          </w:p>
        </w:tc>
        <w:tc>
          <w:tcPr>
            <w:tcW w:w="223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Honghu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S4-1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113.3135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widowControl/>
              <w:jc w:val="right"/>
              <w:textAlignment w:val="bottom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29.6579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9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</w:p>
        </w:tc>
        <w:tc>
          <w:tcPr>
            <w:tcW w:w="223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b/>
                <w:bCs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highlight w:val="none"/>
                <w:lang w:bidi="ar"/>
              </w:rPr>
              <w:t>S4-2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b/>
                <w:bCs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highlight w:val="none"/>
                <w:lang w:bidi="ar"/>
              </w:rPr>
              <w:t>113.3226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right"/>
              <w:textAlignment w:val="bottom"/>
              <w:rPr>
                <w:rFonts w:ascii="Times New Roman" w:hAnsi="Times New Roman" w:eastAsia="宋体" w:cs="Times New Roman"/>
                <w:b/>
                <w:bCs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highlight w:val="none"/>
                <w:lang w:bidi="ar"/>
              </w:rPr>
              <w:t>29.6406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9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</w:p>
        </w:tc>
        <w:tc>
          <w:tcPr>
            <w:tcW w:w="223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S4-3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113.3292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widowControl/>
              <w:jc w:val="right"/>
              <w:textAlignment w:val="bottom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29.6486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9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S5</w:t>
            </w:r>
          </w:p>
        </w:tc>
        <w:tc>
          <w:tcPr>
            <w:tcW w:w="223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Tuanfeng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S5-1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114.8415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widowControl/>
              <w:jc w:val="right"/>
              <w:textAlignment w:val="bottom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30.6337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9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</w:p>
        </w:tc>
        <w:tc>
          <w:tcPr>
            <w:tcW w:w="223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b/>
                <w:bCs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highlight w:val="none"/>
                <w:lang w:bidi="ar"/>
              </w:rPr>
              <w:t>S5-2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b/>
                <w:bCs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highlight w:val="none"/>
                <w:lang w:bidi="ar"/>
              </w:rPr>
              <w:t>114.8043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right"/>
              <w:textAlignment w:val="bottom"/>
              <w:rPr>
                <w:rFonts w:ascii="Times New Roman" w:hAnsi="Times New Roman" w:eastAsia="宋体" w:cs="Times New Roman"/>
                <w:b/>
                <w:bCs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highlight w:val="none"/>
                <w:lang w:bidi="ar"/>
              </w:rPr>
              <w:t>30.6305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9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</w:p>
        </w:tc>
        <w:tc>
          <w:tcPr>
            <w:tcW w:w="223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S5-3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114.8564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widowControl/>
              <w:jc w:val="right"/>
              <w:textAlignment w:val="bottom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30.6311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9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S6</w:t>
            </w:r>
          </w:p>
        </w:tc>
        <w:tc>
          <w:tcPr>
            <w:tcW w:w="223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Huangshi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S6-1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115.2520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widowControl/>
              <w:jc w:val="right"/>
              <w:textAlignment w:val="bottom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30.1575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9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</w:p>
        </w:tc>
        <w:tc>
          <w:tcPr>
            <w:tcW w:w="223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b/>
                <w:bCs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highlight w:val="none"/>
                <w:lang w:bidi="ar"/>
              </w:rPr>
              <w:t>S6-2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b/>
                <w:bCs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highlight w:val="none"/>
                <w:lang w:bidi="ar"/>
              </w:rPr>
              <w:t>115.2619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right"/>
              <w:textAlignment w:val="bottom"/>
              <w:rPr>
                <w:rFonts w:ascii="Times New Roman" w:hAnsi="Times New Roman" w:eastAsia="宋体" w:cs="Times New Roman"/>
                <w:b/>
                <w:bCs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highlight w:val="none"/>
                <w:lang w:bidi="ar"/>
              </w:rPr>
              <w:t>30.1520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9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</w:p>
        </w:tc>
        <w:tc>
          <w:tcPr>
            <w:tcW w:w="223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S6-3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115.2457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widowControl/>
              <w:jc w:val="right"/>
              <w:textAlignment w:val="bottom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30.1601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  <w:jc w:val="center"/>
        </w:trPr>
        <w:tc>
          <w:tcPr>
            <w:tcW w:w="179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S7</w:t>
            </w:r>
          </w:p>
        </w:tc>
        <w:tc>
          <w:tcPr>
            <w:tcW w:w="223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Hukou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S7-1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116.2584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widowControl/>
              <w:jc w:val="right"/>
              <w:textAlignment w:val="bottom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29.7922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79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</w:p>
        </w:tc>
        <w:tc>
          <w:tcPr>
            <w:tcW w:w="223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b/>
                <w:bCs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highlight w:val="none"/>
                <w:lang w:bidi="ar"/>
              </w:rPr>
              <w:t>S7-2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b/>
                <w:bCs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highlight w:val="none"/>
                <w:lang w:bidi="ar"/>
              </w:rPr>
              <w:t>116.238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right"/>
              <w:textAlignment w:val="bottom"/>
              <w:rPr>
                <w:rFonts w:ascii="Times New Roman" w:hAnsi="Times New Roman" w:eastAsia="宋体" w:cs="Times New Roman"/>
                <w:b/>
                <w:bCs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highlight w:val="none"/>
                <w:lang w:bidi="ar"/>
              </w:rPr>
              <w:t>29.7629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79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</w:p>
        </w:tc>
        <w:tc>
          <w:tcPr>
            <w:tcW w:w="223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S7-3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116.2499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widowControl/>
              <w:jc w:val="right"/>
              <w:textAlignment w:val="bottom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29.7820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  <w:jc w:val="center"/>
        </w:trPr>
        <w:tc>
          <w:tcPr>
            <w:tcW w:w="179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S8</w:t>
            </w:r>
          </w:p>
        </w:tc>
        <w:tc>
          <w:tcPr>
            <w:tcW w:w="223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Wangjiang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S8-1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116.5409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widowControl/>
              <w:jc w:val="right"/>
              <w:textAlignment w:val="bottom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29.9163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79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</w:p>
        </w:tc>
        <w:tc>
          <w:tcPr>
            <w:tcW w:w="223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b/>
                <w:bCs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highlight w:val="none"/>
                <w:lang w:bidi="ar"/>
              </w:rPr>
              <w:t>S8-2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b/>
                <w:bCs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highlight w:val="none"/>
                <w:lang w:bidi="ar"/>
              </w:rPr>
              <w:t>116.5336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right"/>
              <w:textAlignment w:val="bottom"/>
              <w:rPr>
                <w:rFonts w:ascii="Times New Roman" w:hAnsi="Times New Roman" w:eastAsia="宋体" w:cs="Times New Roman"/>
                <w:b/>
                <w:bCs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highlight w:val="none"/>
                <w:lang w:bidi="ar"/>
              </w:rPr>
              <w:t>29.909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79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</w:p>
        </w:tc>
        <w:tc>
          <w:tcPr>
            <w:tcW w:w="223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S8-3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116.5238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widowControl/>
              <w:jc w:val="right"/>
              <w:textAlignment w:val="bottom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29.9065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  <w:jc w:val="center"/>
        </w:trPr>
        <w:tc>
          <w:tcPr>
            <w:tcW w:w="179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S9</w:t>
            </w:r>
          </w:p>
        </w:tc>
        <w:tc>
          <w:tcPr>
            <w:tcW w:w="223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Anqing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S9-1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117.0239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widowControl/>
              <w:jc w:val="right"/>
              <w:textAlignment w:val="bottom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30.4921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79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</w:p>
        </w:tc>
        <w:tc>
          <w:tcPr>
            <w:tcW w:w="223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b/>
                <w:bCs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highlight w:val="none"/>
                <w:lang w:bidi="ar"/>
              </w:rPr>
              <w:t>S9-2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b/>
                <w:bCs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highlight w:val="none"/>
                <w:lang w:bidi="ar"/>
              </w:rPr>
              <w:t>117.0047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right"/>
              <w:textAlignment w:val="bottom"/>
              <w:rPr>
                <w:rFonts w:ascii="Times New Roman" w:hAnsi="Times New Roman" w:eastAsia="宋体" w:cs="Times New Roman"/>
                <w:b/>
                <w:bCs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highlight w:val="none"/>
                <w:lang w:bidi="ar"/>
              </w:rPr>
              <w:t>30.4948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79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</w:p>
        </w:tc>
        <w:tc>
          <w:tcPr>
            <w:tcW w:w="223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S9-3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117.0278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widowControl/>
              <w:jc w:val="right"/>
              <w:textAlignment w:val="bottom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30.5014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  <w:jc w:val="center"/>
        </w:trPr>
        <w:tc>
          <w:tcPr>
            <w:tcW w:w="179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S10</w:t>
            </w:r>
          </w:p>
        </w:tc>
        <w:tc>
          <w:tcPr>
            <w:tcW w:w="223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Tongling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S10-1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117.7715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widowControl/>
              <w:jc w:val="right"/>
              <w:textAlignment w:val="bottom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30.9779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79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</w:p>
        </w:tc>
        <w:tc>
          <w:tcPr>
            <w:tcW w:w="223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b/>
                <w:bCs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highlight w:val="none"/>
                <w:lang w:bidi="ar"/>
              </w:rPr>
              <w:t>S10-2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b/>
                <w:bCs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highlight w:val="none"/>
                <w:lang w:bidi="ar"/>
              </w:rPr>
              <w:t>117.7728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right"/>
              <w:textAlignment w:val="bottom"/>
              <w:rPr>
                <w:rFonts w:ascii="Times New Roman" w:hAnsi="Times New Roman" w:eastAsia="宋体" w:cs="Times New Roman"/>
                <w:b/>
                <w:bCs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highlight w:val="none"/>
                <w:lang w:bidi="ar"/>
              </w:rPr>
              <w:t>30.9689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79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</w:p>
        </w:tc>
        <w:tc>
          <w:tcPr>
            <w:tcW w:w="223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S10-3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117.7704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widowControl/>
              <w:jc w:val="right"/>
              <w:textAlignment w:val="bottom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30.9874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  <w:jc w:val="center"/>
        </w:trPr>
        <w:tc>
          <w:tcPr>
            <w:tcW w:w="179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S11</w:t>
            </w:r>
          </w:p>
        </w:tc>
        <w:tc>
          <w:tcPr>
            <w:tcW w:w="223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Nanjing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S11-1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118.5295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widowControl/>
              <w:jc w:val="right"/>
              <w:textAlignment w:val="bottom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31.8399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79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</w:p>
        </w:tc>
        <w:tc>
          <w:tcPr>
            <w:tcW w:w="223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b/>
                <w:bCs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highlight w:val="none"/>
                <w:lang w:bidi="ar"/>
              </w:rPr>
              <w:t>S11-2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b/>
                <w:bCs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highlight w:val="none"/>
                <w:lang w:bidi="ar"/>
              </w:rPr>
              <w:t>118.5260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right"/>
              <w:textAlignment w:val="bottom"/>
              <w:rPr>
                <w:rFonts w:ascii="Times New Roman" w:hAnsi="Times New Roman" w:eastAsia="宋体" w:cs="Times New Roman"/>
                <w:b/>
                <w:bCs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highlight w:val="none"/>
                <w:lang w:bidi="ar"/>
              </w:rPr>
              <w:t>31.8291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79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</w:p>
        </w:tc>
        <w:tc>
          <w:tcPr>
            <w:tcW w:w="223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S11-3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118.5316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widowControl/>
              <w:jc w:val="right"/>
              <w:textAlignment w:val="bottom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31.8474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  <w:jc w:val="center"/>
        </w:trPr>
        <w:tc>
          <w:tcPr>
            <w:tcW w:w="1794" w:type="dxa"/>
            <w:vMerge w:val="restar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S12</w:t>
            </w:r>
          </w:p>
        </w:tc>
        <w:tc>
          <w:tcPr>
            <w:tcW w:w="2235" w:type="dxa"/>
            <w:vMerge w:val="restar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Yangzhong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S12-1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119.8478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widowControl/>
              <w:jc w:val="right"/>
              <w:textAlignment w:val="bottom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32.2721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794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</w:p>
        </w:tc>
        <w:tc>
          <w:tcPr>
            <w:tcW w:w="2235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b/>
                <w:bCs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highlight w:val="none"/>
                <w:lang w:bidi="ar"/>
              </w:rPr>
              <w:t>S12-2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b/>
                <w:bCs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highlight w:val="none"/>
                <w:lang w:bidi="ar"/>
              </w:rPr>
              <w:t>119.8372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right"/>
              <w:textAlignment w:val="bottom"/>
              <w:rPr>
                <w:rFonts w:ascii="Times New Roman" w:hAnsi="Times New Roman" w:eastAsia="宋体" w:cs="Times New Roman"/>
                <w:b/>
                <w:bCs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highlight w:val="none"/>
                <w:lang w:bidi="ar"/>
              </w:rPr>
              <w:t>32.2804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794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</w:p>
        </w:tc>
        <w:tc>
          <w:tcPr>
            <w:tcW w:w="2235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textAlignment w:val="center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S12-3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119.8569</w:t>
            </w:r>
          </w:p>
        </w:tc>
        <w:tc>
          <w:tcPr>
            <w:tcW w:w="1203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bottom"/>
          </w:tcPr>
          <w:p>
            <w:pPr>
              <w:widowControl/>
              <w:jc w:val="right"/>
              <w:textAlignment w:val="bottom"/>
              <w:rPr>
                <w:rFonts w:ascii="Times New Roman" w:hAnsi="Times New Roman" w:eastAsia="宋体" w:cs="Times New Roman"/>
                <w:sz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highlight w:val="none"/>
                <w:lang w:bidi="ar"/>
              </w:rPr>
              <w:t>32.2660</w:t>
            </w:r>
          </w:p>
        </w:tc>
      </w:tr>
      <w:bookmarkEnd w:id="2"/>
    </w:tbl>
    <w:p>
      <w:pPr>
        <w:spacing w:line="276" w:lineRule="auto"/>
        <w:jc w:val="left"/>
        <w:rPr>
          <w:rFonts w:ascii="Times New Roman" w:hAnsi="Times New Roman" w:cs="Times New Roman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spacing w:line="276" w:lineRule="auto"/>
        <w:jc w:val="left"/>
        <w:rPr>
          <w:rFonts w:ascii="Times New Roman" w:hAnsi="Times New Roman" w:cs="Times New Roman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spacing w:line="276" w:lineRule="auto"/>
        <w:jc w:val="left"/>
        <w:rPr>
          <w:rFonts w:ascii="Times New Roman" w:hAnsi="Times New Roman" w:cs="Times New Roman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spacing w:line="276" w:lineRule="auto"/>
        <w:jc w:val="left"/>
        <w:rPr>
          <w:rFonts w:ascii="Times New Roman" w:hAnsi="Times New Roman" w:cs="Times New Roman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spacing w:line="276" w:lineRule="auto"/>
        <w:jc w:val="left"/>
        <w:rPr>
          <w:rFonts w:ascii="Times New Roman" w:hAnsi="Times New Roman" w:cs="Times New Roman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spacing w:line="276" w:lineRule="auto"/>
        <w:jc w:val="left"/>
        <w:rPr>
          <w:rFonts w:ascii="Times New Roman" w:hAnsi="Times New Roman" w:cs="Times New Roman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spacing w:line="276" w:lineRule="auto"/>
        <w:jc w:val="left"/>
        <w:rPr>
          <w:rFonts w:ascii="Times New Roman" w:hAnsi="Times New Roman" w:cs="Times New Roman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spacing w:line="276" w:lineRule="auto"/>
        <w:jc w:val="left"/>
        <w:rPr>
          <w:rFonts w:ascii="Times New Roman" w:hAnsi="Times New Roman" w:cs="Times New Roman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spacing w:line="276" w:lineRule="auto"/>
        <w:jc w:val="left"/>
        <w:rPr>
          <w:rFonts w:ascii="Times New Roman" w:hAnsi="Times New Roman" w:cs="Times New Roman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spacing w:line="276" w:lineRule="auto"/>
        <w:jc w:val="left"/>
        <w:rPr>
          <w:rFonts w:ascii="Times New Roman" w:hAnsi="Times New Roman" w:cs="Times New Roman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rPr>
          <w:rFonts w:ascii="Times New Roman" w:hAnsi="Times New Roman" w:cs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sectPr>
          <w:footerReference r:id="rId3" w:type="default"/>
          <w:pgSz w:w="12240" w:h="20160"/>
          <w:pgMar w:top="1440" w:right="1440" w:bottom="1440" w:left="1440" w:header="851" w:footer="992" w:gutter="0"/>
          <w:cols w:space="425" w:num="1"/>
          <w:docGrid w:type="lines" w:linePitch="312" w:charSpace="0"/>
        </w:sectPr>
      </w:pPr>
    </w:p>
    <w:p>
      <w:pPr>
        <w:spacing w:line="276" w:lineRule="auto"/>
        <w:jc w:val="left"/>
        <w:rPr>
          <w:rFonts w:ascii="Times New Roman" w:hAnsi="Times New Roman" w:cs="Times New Roman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 xml:space="preserve">Table </w:t>
      </w:r>
      <w:r>
        <w:rPr>
          <w:rFonts w:hint="eastAsia" w:ascii="Times New Roman" w:hAnsi="Times New Roman" w:cs="Times New Roman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S2.</w:t>
      </w:r>
      <w:r>
        <w:rPr>
          <w:rFonts w:ascii="Times New Roman" w:hAnsi="Times New Roman" w:cs="Times New Roman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Fish species captured from the middle and lower Yangtze River, with their fluvial guild, relative abundance, relative biomass, occurrence,</w:t>
      </w:r>
      <w:r>
        <w:rPr>
          <w:rFonts w:hint="eastAsia" w:ascii="Times New Roman" w:hAnsi="Times New Roman" w:cs="Times New Roman"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 xml:space="preserve">and occurrence frequency. </w:t>
      </w:r>
    </w:p>
    <w:tbl>
      <w:tblPr>
        <w:tblStyle w:val="6"/>
        <w:tblW w:w="12678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44"/>
        <w:gridCol w:w="2858"/>
        <w:gridCol w:w="2232"/>
        <w:gridCol w:w="1536"/>
        <w:gridCol w:w="1536"/>
        <w:gridCol w:w="1536"/>
        <w:gridCol w:w="153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44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Migratory status</w:t>
            </w:r>
          </w:p>
        </w:tc>
        <w:tc>
          <w:tcPr>
            <w:tcW w:w="285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Species</w:t>
            </w:r>
          </w:p>
        </w:tc>
        <w:tc>
          <w:tcPr>
            <w:tcW w:w="223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Fluvial guild</w:t>
            </w:r>
          </w:p>
        </w:tc>
        <w:tc>
          <w:tcPr>
            <w:tcW w:w="153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Relative abundance (%)</w:t>
            </w:r>
          </w:p>
        </w:tc>
        <w:tc>
          <w:tcPr>
            <w:tcW w:w="153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Relative biomass (%)</w:t>
            </w:r>
          </w:p>
        </w:tc>
        <w:tc>
          <w:tcPr>
            <w:tcW w:w="153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Occurrence</w:t>
            </w:r>
          </w:p>
        </w:tc>
        <w:tc>
          <w:tcPr>
            <w:tcW w:w="153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Occurrence frequency (%)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44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Migratory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Coilia nasus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anadromous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27.6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21.0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12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100.0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444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Protosalanx hyalocranius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anadromous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0.0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0.0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8.3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444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Salanx ariakensis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anadromous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0.0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0.0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8.3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444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Hyporhamphus intermedius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anadromous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0.5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0.2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7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58.3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444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Parabramis pekinensis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potamodromous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1.6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5.8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83.3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444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Ctenopharyngodon idella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potamodromous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0.1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0.4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3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25.0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444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Elopichthys bambusa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potamodromous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0.1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0.2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4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33.3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444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Hypophthalmichthys molitrix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potamodromous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0.7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5.5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7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58.3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444" w:type="dxa"/>
            <w:vMerge w:val="continue"/>
            <w:tcBorders>
              <w:left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Aristichthys nobilis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potamodromous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0.1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1.9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3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25.0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1444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Lateolabrax maculatus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catadromous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0.3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0.2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8.3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Non migratory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Misgurnus anguillicaudatus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limnophilic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0.0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0.0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8.3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Paramisgurnus dabryanus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limnophilic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0.0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0.0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2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16.7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Megalobrama amblycephala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limnophilic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0.5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1.3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6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50.0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Squalidus argentatus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limnophilic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0.7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0.4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6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50.0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Squalidus nitens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limnophilic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0.2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0.1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8.3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Pseudolaubuca engraulis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limnophilic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0.2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0.4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8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66.7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Pseudolaubuca sinensis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limnophilic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0.1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0.1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2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16.7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Carassius auratus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limnophilic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2.1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1.5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12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100.0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Cyprinus carpio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limnophilic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0.3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0.6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7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58.3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Pseudobagrus fulvidraco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limnophilic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1.9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0.7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9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75.0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Chanodichthys dabryi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limnophilic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1.0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1.3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9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75.0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Chanodichthys erythropterus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limnophilic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0.1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0.1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4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33.3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Chanodichthys mongolicus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limnophilic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0.7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1.5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7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58.3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Chanodichthys oxycephalus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limnophilic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0.1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0.2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3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25.0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Culter alburnus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limnophilic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1.3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3.0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12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100.0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Silurus asotus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limnophilic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0.0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0.0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8.3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Silurus meridionalis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limnophilic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0.0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0.1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2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16.7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Siniperca chuatsi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limnophilic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1.1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1.8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8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66.7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Siniperca kneri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limnophilic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0.0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0.0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8.3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Siniperca scherzeri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limnophilic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0.0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0.0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8.3 </w:t>
            </w:r>
          </w:p>
        </w:tc>
      </w:tr>
      <w:tr>
        <w:trPr>
          <w:trHeight w:val="28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Micropercops swinhonis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limnophilic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0.1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0.0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8.3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Macropodus chinensis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limnophilic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0.2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0.0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8.3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Channa argus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limnophilic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0.0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0.0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2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16.7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Acanthorhodeus chankaensis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limnophilic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1.6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0.4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7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58.3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Acheilognathus macropterus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limnophilic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5.0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2.5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11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91.7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Rhodeus ocellatus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limnophilic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0.1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0.0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8.3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Pseudobrama simoni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limnophilic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15.6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10.3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12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100.0 </w:t>
            </w:r>
          </w:p>
        </w:tc>
      </w:tr>
      <w:tr>
        <w:trPr>
          <w:trHeight w:val="28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Toxabramis swinhonis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limnophilic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0.2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0.1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2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16.7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Mastacembelus armatus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limnophilic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0.0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0.0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8.3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Mastacembelus sinensis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limnophilic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0.0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0.0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8.3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Opsariichthys bidens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rheophilic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0.0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0.0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8.3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Leptobotia taeniops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rheophilic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0.1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0.0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8.3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Parabotia banarescui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rheophilic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0.0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0.0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8.3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Parabotia fasciata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rheophilic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0.1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0.1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8.3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Squaliobarbus curriculus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rheophilic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0.2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0.6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5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41.7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Hemibarbus maculatus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rheophilic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0.1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0.3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4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33.3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Sarcocheilichthys nigripinnis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rheophilic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0.1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0.2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2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16.7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Pseudorasbora parva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rheophilic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0.1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0.0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2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16.7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Sarcocheilichthys sinensis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rheophilic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0.1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0.0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2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16.7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Hemibagrus macropterus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rheophilic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0.0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0.1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8.3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Coreius heterodon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rheophilic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0.1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0.6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8.3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Paracanthobrama guichenoti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rheophilic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0.1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0.1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3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25.0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Saurogobio dabryi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rheophilic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2.6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2.1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11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91.7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Saurogobio dumerili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rheophilic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1.2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1.6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2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16.7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Hemiculter bleekeri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rheophilic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15.6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11.6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12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100.0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Hemiculter leucisculus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rheophilic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2.9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1.8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9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75.0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Pseudobagrus longibarbus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rheophilic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0.3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0.2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3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25.0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Pseudobagrus longirostris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rheophilic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0.0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0.2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8.3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Pseudobagrus crassilabris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rheophilic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0.1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0.4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3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25.0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Pseudobagrus vachellii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rheophilic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5.3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3.2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12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100.0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Pseudobagrus nitidus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rheophilic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4.5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8.5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12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100.0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Xenocypris davidi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rheophilic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0.2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0.7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4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33.3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Xenocypris macrolepis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rheophilic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2.4 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5.8 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12 </w:t>
            </w:r>
          </w:p>
        </w:tc>
        <w:tc>
          <w:tcPr>
            <w:tcW w:w="153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100.0 </w:t>
            </w:r>
          </w:p>
        </w:tc>
      </w:tr>
    </w:tbl>
    <w:p>
      <w:pPr>
        <w:rPr>
          <w:rFonts w:ascii="Times New Roman" w:hAnsi="Times New Roman" w:cs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rPr>
          <w:rFonts w:ascii="Times New Roman" w:hAnsi="Times New Roman" w:cs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rPr>
          <w:rFonts w:ascii="Times New Roman" w:hAnsi="Times New Roman" w:cs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rPr>
          <w:rFonts w:ascii="Times New Roman" w:hAnsi="Times New Roman" w:cs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rPr>
          <w:rFonts w:ascii="Times New Roman" w:hAnsi="Times New Roman" w:cs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rPr>
          <w:rFonts w:ascii="Times New Roman" w:hAnsi="Times New Roman" w:cs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rPr>
          <w:rFonts w:ascii="Times New Roman" w:hAnsi="Times New Roman" w:cs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rPr>
          <w:rFonts w:ascii="Times New Roman" w:hAnsi="Times New Roman" w:cs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rPr>
          <w:rFonts w:ascii="Times New Roman" w:hAnsi="Times New Roman" w:cs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spacing w:line="276" w:lineRule="auto"/>
        <w:jc w:val="left"/>
        <w:rPr>
          <w:rFonts w:ascii="Times New Roman" w:hAnsi="Times New Roman" w:cs="Times New Roman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sectPr>
          <w:pgSz w:w="20160" w:h="12240" w:orient="landscape"/>
          <w:pgMar w:top="1440" w:right="1440" w:bottom="1440" w:left="1440" w:header="851" w:footer="992" w:gutter="0"/>
          <w:cols w:space="425" w:num="1"/>
          <w:docGrid w:type="lines" w:linePitch="312" w:charSpace="0"/>
        </w:sectPr>
      </w:pPr>
    </w:p>
    <w:p>
      <w:pPr>
        <w:spacing w:line="276" w:lineRule="auto"/>
        <w:jc w:val="left"/>
        <w:rPr>
          <w:rFonts w:ascii="Times New Roman" w:hAnsi="Times New Roman" w:cs="Times New Roman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spacing w:line="276" w:lineRule="auto"/>
        <w:jc w:val="left"/>
        <w:rPr>
          <w:rFonts w:ascii="Times New Roman" w:hAnsi="Times New Roman" w:cs="Times New Roman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spacing w:line="276" w:lineRule="auto"/>
        <w:jc w:val="left"/>
        <w:rPr>
          <w:rFonts w:ascii="Times New Roman" w:hAnsi="Times New Roman" w:cs="Times New Roman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spacing w:line="276" w:lineRule="auto"/>
        <w:jc w:val="left"/>
        <w:rPr>
          <w:rFonts w:ascii="Times New Roman" w:hAnsi="Times New Roman" w:cs="Times New Roman"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Table</w:t>
      </w:r>
      <w:r>
        <w:rPr>
          <w:rFonts w:hint="eastAsia" w:ascii="Times New Roman" w:hAnsi="Times New Roman" w:cs="Times New Roman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Style w:val="9"/>
          <w:rFonts w:hint="eastAsia" w:ascii="Times New Roman" w:hAnsi="Times New Roman" w:cs="Times New Roman"/>
          <w:b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S3.</w:t>
      </w:r>
      <w:r>
        <w:rPr>
          <w:rStyle w:val="9"/>
          <w:rFonts w:hint="eastAsia" w:ascii="Times New Roman" w:hAnsi="Times New Roman" w:cs="Times New Roman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 xml:space="preserve">Mean, standard deviation (SD), maximum, and minimum of local </w:t>
      </w:r>
      <w:r>
        <w:rPr>
          <w:rFonts w:hint="eastAsia" w:ascii="Times New Roman" w:hAnsi="Times New Roman" w:cs="Times New Roman"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riparian land use and in-channel</w:t>
      </w:r>
      <w:r>
        <w:rPr>
          <w:rFonts w:ascii="Times New Roman" w:hAnsi="Times New Roman" w:cs="Times New Roman"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 xml:space="preserve"> stressors in the middle and lower Yangtze River. </w:t>
      </w:r>
    </w:p>
    <w:p>
      <w:pPr>
        <w:spacing w:line="276" w:lineRule="auto"/>
        <w:jc w:val="left"/>
        <w:rPr>
          <w:rFonts w:ascii="Times New Roman" w:hAnsi="Times New Roman" w:cs="Times New Roman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tbl>
      <w:tblPr>
        <w:tblStyle w:val="6"/>
        <w:tblW w:w="12259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5"/>
        <w:gridCol w:w="1378"/>
        <w:gridCol w:w="1132"/>
        <w:gridCol w:w="1315"/>
        <w:gridCol w:w="1080"/>
        <w:gridCol w:w="1080"/>
        <w:gridCol w:w="2028"/>
        <w:gridCol w:w="1405"/>
        <w:gridCol w:w="169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4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Parameter</w:t>
            </w:r>
          </w:p>
        </w:tc>
        <w:tc>
          <w:tcPr>
            <w:tcW w:w="137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Cropland (%)</w:t>
            </w:r>
          </w:p>
        </w:tc>
        <w:tc>
          <w:tcPr>
            <w:tcW w:w="113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Forest (%)</w:t>
            </w:r>
          </w:p>
        </w:tc>
        <w:tc>
          <w:tcPr>
            <w:tcW w:w="131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Wetland (%)</w:t>
            </w:r>
          </w:p>
        </w:tc>
        <w:tc>
          <w:tcPr>
            <w:tcW w:w="108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Water (%)</w:t>
            </w:r>
          </w:p>
        </w:tc>
        <w:tc>
          <w:tcPr>
            <w:tcW w:w="108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Urban (%)</w:t>
            </w:r>
          </w:p>
        </w:tc>
        <w:tc>
          <w:tcPr>
            <w:tcW w:w="202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Shoreline modification (%)</w:t>
            </w:r>
          </w:p>
        </w:tc>
        <w:tc>
          <w:tcPr>
            <w:tcW w:w="140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Navigation</w:t>
            </w:r>
          </w:p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(inds.)</w:t>
            </w:r>
          </w:p>
        </w:tc>
        <w:tc>
          <w:tcPr>
            <w:tcW w:w="169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Fishing pressure</w:t>
            </w:r>
          </w:p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(inds.)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Mean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65.3 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5.8 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0.7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8.4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19.7 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22.3 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140 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39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SD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13.1 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4.7 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0.7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4.2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13.6 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13.9 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169 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49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Maximum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85.7 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13.9 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2.2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15.2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51.2 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52.7 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636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162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14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Minimum</w:t>
            </w:r>
          </w:p>
        </w:tc>
        <w:tc>
          <w:tcPr>
            <w:tcW w:w="137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42.0 </w:t>
            </w:r>
          </w:p>
        </w:tc>
        <w:tc>
          <w:tcPr>
            <w:tcW w:w="1132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1.0 </w:t>
            </w:r>
          </w:p>
        </w:tc>
        <w:tc>
          <w:tcPr>
            <w:tcW w:w="131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0.1 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2.7 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5.5 </w:t>
            </w:r>
          </w:p>
        </w:tc>
        <w:tc>
          <w:tcPr>
            <w:tcW w:w="202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0.0 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169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4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</w:tbl>
    <w:p>
      <w:pPr>
        <w:spacing w:line="276" w:lineRule="auto"/>
        <w:jc w:val="left"/>
        <w:rPr>
          <w:rFonts w:ascii="Times New Roman" w:hAnsi="Times New Roman" w:cs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 xml:space="preserve">                   </w:t>
      </w:r>
      <w:r>
        <w:rPr>
          <w:rFonts w:hint="eastAsia" w:ascii="Times New Roman" w:hAnsi="Times New Roman" w:cs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 xml:space="preserve">Note: inds. </w:t>
      </w:r>
      <w:r>
        <w:rPr>
          <w:rFonts w:ascii="Times New Roman" w:hAnsi="Times New Roman" w:cs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r</w:t>
      </w:r>
      <w:r>
        <w:rPr>
          <w:rFonts w:hint="eastAsia" w:ascii="Times New Roman" w:hAnsi="Times New Roman" w:cs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efers to individuals.</w:t>
      </w:r>
    </w:p>
    <w:p>
      <w:pPr>
        <w:spacing w:line="276" w:lineRule="auto"/>
        <w:jc w:val="left"/>
        <w:rPr>
          <w:rFonts w:ascii="Times New Roman" w:hAnsi="Times New Roman" w:cs="Times New Roman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spacing w:line="276" w:lineRule="auto"/>
        <w:jc w:val="left"/>
        <w:rPr>
          <w:rFonts w:ascii="Times New Roman" w:hAnsi="Times New Roman" w:cs="Times New Roman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spacing w:line="276" w:lineRule="auto"/>
        <w:jc w:val="left"/>
        <w:rPr>
          <w:rFonts w:ascii="Times New Roman" w:hAnsi="Times New Roman" w:cs="Times New Roman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spacing w:line="276" w:lineRule="auto"/>
        <w:jc w:val="left"/>
        <w:rPr>
          <w:rFonts w:ascii="Times New Roman" w:hAnsi="Times New Roman" w:cs="Times New Roman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spacing w:line="276" w:lineRule="auto"/>
        <w:jc w:val="left"/>
        <w:rPr>
          <w:rFonts w:ascii="Times New Roman" w:hAnsi="Times New Roman" w:cs="Times New Roman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spacing w:line="276" w:lineRule="auto"/>
        <w:jc w:val="left"/>
        <w:rPr>
          <w:rFonts w:ascii="Times New Roman" w:hAnsi="Times New Roman" w:cs="Times New Roman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spacing w:line="276" w:lineRule="auto"/>
        <w:jc w:val="left"/>
        <w:rPr>
          <w:rFonts w:ascii="Times New Roman" w:hAnsi="Times New Roman" w:cs="Times New Roman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spacing w:line="276" w:lineRule="auto"/>
        <w:jc w:val="left"/>
        <w:rPr>
          <w:rFonts w:ascii="Times New Roman" w:hAnsi="Times New Roman" w:cs="Times New Roman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spacing w:line="276" w:lineRule="auto"/>
        <w:jc w:val="left"/>
        <w:rPr>
          <w:rFonts w:ascii="Times New Roman" w:hAnsi="Times New Roman" w:cs="Times New Roman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spacing w:line="276" w:lineRule="auto"/>
        <w:jc w:val="left"/>
        <w:rPr>
          <w:rFonts w:ascii="Times New Roman" w:hAnsi="Times New Roman" w:cs="Times New Roman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spacing w:line="276" w:lineRule="auto"/>
        <w:jc w:val="left"/>
        <w:rPr>
          <w:rFonts w:ascii="Times New Roman" w:hAnsi="Times New Roman" w:cs="Times New Roman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spacing w:line="276" w:lineRule="auto"/>
        <w:jc w:val="left"/>
        <w:rPr>
          <w:rFonts w:ascii="Times New Roman" w:hAnsi="Times New Roman" w:cs="Times New Roman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spacing w:line="276" w:lineRule="auto"/>
        <w:jc w:val="left"/>
        <w:rPr>
          <w:rFonts w:ascii="Times New Roman" w:hAnsi="Times New Roman" w:cs="Times New Roman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spacing w:line="276" w:lineRule="auto"/>
        <w:jc w:val="left"/>
        <w:rPr>
          <w:rFonts w:ascii="Times New Roman" w:hAnsi="Times New Roman" w:cs="Times New Roman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spacing w:line="276" w:lineRule="auto"/>
        <w:jc w:val="left"/>
        <w:rPr>
          <w:rFonts w:ascii="Times New Roman" w:hAnsi="Times New Roman" w:cs="Times New Roman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 xml:space="preserve">Table </w:t>
      </w:r>
      <w:r>
        <w:rPr>
          <w:rFonts w:hint="eastAsia" w:ascii="Times New Roman" w:hAnsi="Times New Roman" w:cs="Times New Roman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S4.</w:t>
      </w:r>
      <w:r>
        <w:rPr>
          <w:rFonts w:ascii="Times New Roman" w:hAnsi="Times New Roman" w:cs="Times New Roman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Summaries of curve estimation</w:t>
      </w:r>
      <w:r>
        <w:rPr>
          <w:rFonts w:ascii="Times New Roman" w:hAnsi="Times New Roman" w:cs="Times New Roman"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s</w:t>
      </w:r>
      <w:r>
        <w:rPr>
          <w:rFonts w:hint="eastAsia" w:ascii="Times New Roman" w:hAnsi="Times New Roman" w:cs="Times New Roman"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detecting</w:t>
      </w:r>
      <w:r>
        <w:rPr>
          <w:rFonts w:hint="eastAsia" w:ascii="Times New Roman" w:hAnsi="Times New Roman" w:cs="Times New Roman"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 xml:space="preserve"> relationships between fish </w:t>
      </w:r>
      <w:r>
        <w:rPr>
          <w:rFonts w:ascii="Times New Roman" w:hAnsi="Times New Roman" w:cs="Times New Roman"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metrics</w:t>
      </w:r>
      <w:r>
        <w:rPr>
          <w:rFonts w:hint="eastAsia" w:ascii="Times New Roman" w:hAnsi="Times New Roman" w:cs="Times New Roman"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 xml:space="preserve"> and the distance from </w:t>
      </w:r>
      <w:r>
        <w:rPr>
          <w:rFonts w:ascii="Times New Roman" w:hAnsi="Times New Roman" w:cs="Times New Roman"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 xml:space="preserve">a site to </w:t>
      </w:r>
      <w:r>
        <w:rPr>
          <w:rFonts w:hint="eastAsia" w:ascii="Times New Roman" w:hAnsi="Times New Roman" w:cs="Times New Roman"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 xml:space="preserve">the Yangtze River estuary. </w:t>
      </w:r>
      <w:r>
        <w:rPr>
          <w:rFonts w:ascii="Times New Roman" w:hAnsi="Times New Roman" w:cs="Times New Roman"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 xml:space="preserve">Significant results (i.e., </w:t>
      </w:r>
      <w:r>
        <w:rPr>
          <w:rFonts w:ascii="Times New Roman" w:hAnsi="Times New Roman" w:cs="Times New Roman"/>
          <w:bCs/>
          <w:i/>
          <w:i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P</w:t>
      </w:r>
      <w:r>
        <w:rPr>
          <w:rFonts w:ascii="Times New Roman" w:hAnsi="Times New Roman" w:cs="Times New Roman"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 xml:space="preserve"> &lt; 0.05) </w:t>
      </w:r>
      <w:r>
        <w:rPr>
          <w:rFonts w:hint="eastAsia" w:ascii="Times New Roman" w:hAnsi="Times New Roman" w:cs="Times New Roman"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are indicated</w:t>
      </w:r>
      <w:r>
        <w:rPr>
          <w:rFonts w:ascii="Times New Roman" w:hAnsi="Times New Roman" w:cs="Times New Roman"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 xml:space="preserve"> in bold</w:t>
      </w:r>
      <w:r>
        <w:rPr>
          <w:rFonts w:hint="eastAsia" w:ascii="Times New Roman" w:hAnsi="Times New Roman" w:cs="Times New Roman"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.</w:t>
      </w:r>
    </w:p>
    <w:tbl>
      <w:tblPr>
        <w:tblStyle w:val="6"/>
        <w:tblW w:w="4435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833"/>
        <w:gridCol w:w="1828"/>
        <w:gridCol w:w="1573"/>
        <w:gridCol w:w="2368"/>
        <w:gridCol w:w="2015"/>
        <w:gridCol w:w="1877"/>
        <w:gridCol w:w="185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 w:hRule="atLeast"/>
        </w:trPr>
        <w:tc>
          <w:tcPr>
            <w:tcW w:w="1248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5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12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widowControl/>
              <w:jc w:val="right"/>
              <w:textAlignment w:val="top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R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vertAlign w:val="superscript"/>
                <w:lang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771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widowControl/>
              <w:jc w:val="right"/>
              <w:textAlignment w:val="top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Constant</w:t>
            </w:r>
          </w:p>
        </w:tc>
        <w:tc>
          <w:tcPr>
            <w:tcW w:w="656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</w:tcPr>
          <w:p>
            <w:pPr>
              <w:widowControl/>
              <w:jc w:val="right"/>
              <w:textAlignment w:val="top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b1</w:t>
            </w:r>
          </w:p>
        </w:tc>
        <w:tc>
          <w:tcPr>
            <w:tcW w:w="611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b2</w:t>
            </w:r>
          </w:p>
        </w:tc>
        <w:tc>
          <w:tcPr>
            <w:tcW w:w="604" w:type="pc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i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P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24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All species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Abundance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0.322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-273.54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1.747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-0.001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0.175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248" w:type="pct"/>
            <w:vMerge w:val="continue"/>
            <w:tcBorders>
              <w:left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Biomass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0.337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-2090.68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29.163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-0.012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0.157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248" w:type="pct"/>
            <w:vMerge w:val="continue"/>
            <w:tcBorders>
              <w:left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Richness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0.150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15.97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0.023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-0.00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0.480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248" w:type="pct"/>
            <w:vMerge w:val="continue"/>
            <w:tcBorders>
              <w:left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D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0.095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0.82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-0.00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0.637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248" w:type="pct"/>
            <w:vMerge w:val="continue"/>
            <w:tcBorders>
              <w:left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H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0.166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2.23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-0.00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0.442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248" w:type="pct"/>
            <w:vMerge w:val="continue"/>
            <w:tcBorders>
              <w:left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E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0.195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0.77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0.377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248" w:type="pct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TD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right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0.203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right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24.735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right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0.020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right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right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0.588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right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right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right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right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right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24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Migratory species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Abundance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0.133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-106.52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0.678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0.526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248" w:type="pct"/>
            <w:vMerge w:val="continue"/>
            <w:tcBorders>
              <w:left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Biomass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0.190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0.68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0.388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248" w:type="pct"/>
            <w:vMerge w:val="continue"/>
            <w:tcBorders>
              <w:left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Richness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0.020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4.30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-0.002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0.00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0.915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248" w:type="pct"/>
            <w:vMerge w:val="continue"/>
            <w:tcBorders>
              <w:left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D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0.580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0.85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-0.002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0.00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b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&lt;0.050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248" w:type="pct"/>
            <w:vMerge w:val="continue"/>
            <w:tcBorders>
              <w:left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H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0.586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1.45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-0.003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0.00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b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&lt;0.050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248" w:type="pct"/>
            <w:vMerge w:val="continue"/>
            <w:tcBorders>
              <w:left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E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0.382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1.00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-0.002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0.00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0.114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248" w:type="pct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TD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right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0.092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right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7.214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right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-0.016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right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right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0.845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right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right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right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right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right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24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Non migratory species (limnophilic)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Abundance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0.500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-132.66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0.587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b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&lt;0.050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248" w:type="pct"/>
            <w:vMerge w:val="continue"/>
            <w:tcBorders>
              <w:left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Biomass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0.433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-2429.59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11.517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-0.005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0.078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248" w:type="pct"/>
            <w:vMerge w:val="continue"/>
            <w:tcBorders>
              <w:left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Richness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0.501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2.12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0.024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-0.00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b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&lt;0.050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248" w:type="pct"/>
            <w:vMerge w:val="continue"/>
            <w:tcBorders>
              <w:left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D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0.466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0.61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0.001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-0.00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0.060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248" w:type="pct"/>
            <w:vMerge w:val="continue"/>
            <w:tcBorders>
              <w:left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H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0.412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1.20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0.002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-0.00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0.092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248" w:type="pct"/>
            <w:vMerge w:val="continue"/>
            <w:tcBorders>
              <w:left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E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0.568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0.74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-0.00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0.069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248" w:type="pct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TD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right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0.501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right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2.115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right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0.024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right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right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b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&lt;0.050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right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right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right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right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right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1248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widowControl/>
              <w:jc w:val="left"/>
              <w:textAlignment w:val="top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Non migratory species (rheophilic)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Abundance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0.196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-34.37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0.483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0.374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1248" w:type="pct"/>
            <w:vMerge w:val="continue"/>
            <w:tcBorders>
              <w:left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Biomass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0.171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-1348.92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14.234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-0.007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0.431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1248" w:type="pct"/>
            <w:vMerge w:val="continue"/>
            <w:tcBorders>
              <w:left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Richness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0.225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9.56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0.001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-0.00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0.318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1248" w:type="pct"/>
            <w:vMerge w:val="continue"/>
            <w:tcBorders>
              <w:left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D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0.282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0.63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-0.00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0.225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1248" w:type="pct"/>
            <w:vMerge w:val="continue"/>
            <w:tcBorders>
              <w:left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H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0.401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1.49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-0.00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0.100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1248" w:type="pct"/>
            <w:vMerge w:val="continue"/>
            <w:tcBorders>
              <w:left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E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0.192</w:t>
            </w:r>
          </w:p>
        </w:tc>
        <w:tc>
          <w:tcPr>
            <w:tcW w:w="7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0.68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-0.00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0.382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1248" w:type="pct"/>
            <w:vMerge w:val="continue"/>
            <w:tcBorders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TD</w:t>
            </w:r>
          </w:p>
        </w:tc>
        <w:tc>
          <w:tcPr>
            <w:tcW w:w="512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0.237</w:t>
            </w:r>
          </w:p>
        </w:tc>
        <w:tc>
          <w:tcPr>
            <w:tcW w:w="771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11.518</w:t>
            </w:r>
          </w:p>
        </w:tc>
        <w:tc>
          <w:tcPr>
            <w:tcW w:w="656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-0.008</w:t>
            </w:r>
          </w:p>
        </w:tc>
        <w:tc>
          <w:tcPr>
            <w:tcW w:w="611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04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right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2"/>
                <w:szCs w:val="22"/>
                <w:highlight w:val="none"/>
                <w:lang w:bidi="ar"/>
                <w14:textFill>
                  <w14:solidFill>
                    <w14:schemeClr w14:val="tx1"/>
                  </w14:solidFill>
                </w14:textFill>
              </w:rPr>
              <w:t>0.514</w:t>
            </w:r>
          </w:p>
        </w:tc>
      </w:tr>
    </w:tbl>
    <w:p>
      <w:pPr>
        <w:spacing w:line="276" w:lineRule="auto"/>
        <w:jc w:val="left"/>
        <w:rPr>
          <w:rFonts w:ascii="Times New Roman" w:hAnsi="Times New Roman" w:cs="Times New Roman"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Note:</w:t>
      </w:r>
      <w:r>
        <w:rPr>
          <w:rFonts w:hint="eastAsia" w:ascii="Times New Roman" w:hAnsi="Times New Roman" w:cs="Times New Roman"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 xml:space="preserve">D, H, E </w:t>
      </w:r>
      <w:r>
        <w:rPr>
          <w:rFonts w:hint="eastAsia" w:ascii="Times New Roman" w:hAnsi="Times New Roman" w:cs="Times New Roman"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 xml:space="preserve">and </w:t>
      </w:r>
      <w:r>
        <w:rPr>
          <w:rFonts w:hint="eastAsia" w:ascii="Times New Roman" w:hAnsi="Times New Roman" w:cs="Times New Roman"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TD</w:t>
      </w:r>
      <w:r>
        <w:rPr>
          <w:rFonts w:hint="eastAsia" w:ascii="Times New Roman" w:hAnsi="Times New Roman" w:cs="Times New Roman"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 xml:space="preserve">represent the </w:t>
      </w:r>
      <w:r>
        <w:rPr>
          <w:rFonts w:ascii="Times New Roman" w:hAnsi="Times New Roman" w:cs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Simpson index, Shannon-Wiener index, Pielou index,</w:t>
      </w:r>
      <w:r>
        <w:rPr>
          <w:rFonts w:hint="eastAsia" w:ascii="Times New Roman" w:hAnsi="Times New Roman" w:cs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 xml:space="preserve"> and </w:t>
      </w:r>
      <w:r>
        <w:rPr>
          <w:rFonts w:hint="eastAsia" w:ascii="Times New Roman" w:hAnsi="Times New Roman" w:cs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the average taxonomic distinctness</w:t>
      </w:r>
      <w:r>
        <w:rPr>
          <w:rFonts w:ascii="Times New Roman" w:hAnsi="Times New Roman" w:cs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,</w:t>
      </w:r>
      <w:r>
        <w:rPr>
          <w:rFonts w:hint="eastAsia" w:ascii="Times New Roman" w:hAnsi="Times New Roman" w:cs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respectively</w:t>
      </w:r>
      <w:r>
        <w:rPr>
          <w:rFonts w:hint="eastAsia" w:ascii="Times New Roman" w:hAnsi="Times New Roman" w:cs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.</w:t>
      </w:r>
    </w:p>
    <w:p>
      <w:pPr>
        <w:spacing w:line="276" w:lineRule="auto"/>
        <w:jc w:val="left"/>
        <w:rPr>
          <w:rFonts w:ascii="Times New Roman" w:hAnsi="Times New Roman" w:cs="Times New Roman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spacing w:line="276" w:lineRule="auto"/>
        <w:jc w:val="left"/>
        <w:rPr>
          <w:rFonts w:ascii="Times New Roman" w:hAnsi="Times New Roman" w:cs="Times New Roman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spacing w:line="276" w:lineRule="auto"/>
        <w:jc w:val="left"/>
        <w:rPr>
          <w:rFonts w:ascii="Times New Roman" w:hAnsi="Times New Roman" w:cs="Times New Roman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spacing w:line="276" w:lineRule="auto"/>
        <w:jc w:val="left"/>
        <w:rPr>
          <w:rFonts w:ascii="Times New Roman" w:hAnsi="Times New Roman" w:cs="Times New Roman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spacing w:line="276" w:lineRule="auto"/>
        <w:jc w:val="left"/>
        <w:rPr>
          <w:rFonts w:ascii="Times New Roman" w:hAnsi="Times New Roman" w:cs="Times New Roman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spacing w:line="276" w:lineRule="auto"/>
        <w:jc w:val="left"/>
        <w:rPr>
          <w:rFonts w:ascii="Times New Roman" w:hAnsi="Times New Roman" w:cs="Times New Roman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spacing w:line="276" w:lineRule="auto"/>
        <w:jc w:val="left"/>
        <w:rPr>
          <w:rFonts w:ascii="Times New Roman" w:hAnsi="Times New Roman" w:cs="Times New Roman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>
      <w:pPr>
        <w:rPr>
          <w:rFonts w:ascii="Times New Roman" w:hAnsi="Times New Roman" w:cs="Times New Roman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sectPr>
      <w:pgSz w:w="20160" w:h="12240" w:orient="landscape"/>
      <w:pgMar w:top="1440" w:right="1440" w:bottom="144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374224314"/>
    </w:sdtPr>
    <w:sdtContent>
      <w:p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DF1FA8"/>
    <w:rsid w:val="00053BD5"/>
    <w:rsid w:val="00065A69"/>
    <w:rsid w:val="000D2B0A"/>
    <w:rsid w:val="00100530"/>
    <w:rsid w:val="00197D0E"/>
    <w:rsid w:val="002B674E"/>
    <w:rsid w:val="003E6FB1"/>
    <w:rsid w:val="004365A6"/>
    <w:rsid w:val="004420BF"/>
    <w:rsid w:val="004E6241"/>
    <w:rsid w:val="005610E8"/>
    <w:rsid w:val="005C2810"/>
    <w:rsid w:val="00622C36"/>
    <w:rsid w:val="00645F97"/>
    <w:rsid w:val="0065711F"/>
    <w:rsid w:val="0067199E"/>
    <w:rsid w:val="007337BD"/>
    <w:rsid w:val="00754D98"/>
    <w:rsid w:val="009428AC"/>
    <w:rsid w:val="009562F8"/>
    <w:rsid w:val="009B4A2E"/>
    <w:rsid w:val="00A100F4"/>
    <w:rsid w:val="00A33A6E"/>
    <w:rsid w:val="00AB6291"/>
    <w:rsid w:val="00AE5FFF"/>
    <w:rsid w:val="00B15FFA"/>
    <w:rsid w:val="00BA48EA"/>
    <w:rsid w:val="00C065BE"/>
    <w:rsid w:val="00C2695A"/>
    <w:rsid w:val="00C43DFA"/>
    <w:rsid w:val="00E0008B"/>
    <w:rsid w:val="00E262FE"/>
    <w:rsid w:val="00F2323B"/>
    <w:rsid w:val="029E0F58"/>
    <w:rsid w:val="03F004F9"/>
    <w:rsid w:val="045F59B5"/>
    <w:rsid w:val="05D94F9C"/>
    <w:rsid w:val="0E2203A0"/>
    <w:rsid w:val="101C5D61"/>
    <w:rsid w:val="11CC2C4A"/>
    <w:rsid w:val="16B0726B"/>
    <w:rsid w:val="17381EDC"/>
    <w:rsid w:val="1ABE353B"/>
    <w:rsid w:val="1D246D37"/>
    <w:rsid w:val="228E10A0"/>
    <w:rsid w:val="23BA54E1"/>
    <w:rsid w:val="2DDF7B18"/>
    <w:rsid w:val="2E9B5410"/>
    <w:rsid w:val="346A6382"/>
    <w:rsid w:val="3C0C3CCE"/>
    <w:rsid w:val="41C82452"/>
    <w:rsid w:val="44DF1FA8"/>
    <w:rsid w:val="4519287F"/>
    <w:rsid w:val="484366CB"/>
    <w:rsid w:val="5AC80F18"/>
    <w:rsid w:val="5DBA1557"/>
    <w:rsid w:val="676E60B6"/>
    <w:rsid w:val="76F076B2"/>
    <w:rsid w:val="7B6E70BC"/>
    <w:rsid w:val="7DB25FB1"/>
    <w:rsid w:val="7DE87886"/>
    <w:rsid w:val="7FDD0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alloon Text"/>
    <w:basedOn w:val="1"/>
    <w:link w:val="13"/>
    <w:qFormat/>
    <w:uiPriority w:val="0"/>
    <w:rPr>
      <w:rFonts w:ascii="Times New Roman" w:hAnsi="Times New Roman" w:cs="Times New Roman"/>
      <w:sz w:val="18"/>
      <w:szCs w:val="18"/>
    </w:rPr>
  </w:style>
  <w:style w:type="paragraph" w:styleId="4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unhideWhenUsed/>
    <w:qFormat/>
    <w:uiPriority w:val="99"/>
    <w:rPr>
      <w:rFonts w:cs="Times New Roman"/>
      <w:color w:val="0000FF"/>
      <w:u w:val="single"/>
    </w:rPr>
  </w:style>
  <w:style w:type="character" w:styleId="9">
    <w:name w:val="annotation reference"/>
    <w:basedOn w:val="7"/>
    <w:qFormat/>
    <w:uiPriority w:val="0"/>
    <w:rPr>
      <w:sz w:val="21"/>
      <w:szCs w:val="21"/>
    </w:rPr>
  </w:style>
  <w:style w:type="paragraph" w:customStyle="1" w:styleId="10">
    <w:name w:val="Normal1"/>
    <w:qFormat/>
    <w:uiPriority w:val="0"/>
    <w:pPr>
      <w:suppressAutoHyphens/>
      <w:autoSpaceDN w:val="0"/>
      <w:spacing w:line="276" w:lineRule="auto"/>
      <w:textAlignment w:val="baseline"/>
    </w:pPr>
    <w:rPr>
      <w:rFonts w:ascii="Arial" w:hAnsi="Arial" w:eastAsia="Arial" w:cs="Arial"/>
      <w:sz w:val="22"/>
      <w:szCs w:val="22"/>
      <w:lang w:val="pt-BR" w:eastAsia="en-US" w:bidi="ar-SA"/>
    </w:rPr>
  </w:style>
  <w:style w:type="character" w:customStyle="1" w:styleId="11">
    <w:name w:val="页眉 Char"/>
    <w:basedOn w:val="7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Char"/>
    <w:basedOn w:val="7"/>
    <w:link w:val="4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批注框文本 Char"/>
    <w:basedOn w:val="7"/>
    <w:link w:val="3"/>
    <w:qFormat/>
    <w:uiPriority w:val="0"/>
    <w:rPr>
      <w:rFonts w:eastAsiaTheme="minorEastAsia"/>
      <w:kern w:val="2"/>
      <w:sz w:val="18"/>
      <w:szCs w:val="18"/>
    </w:rPr>
  </w:style>
  <w:style w:type="character" w:customStyle="1" w:styleId="14">
    <w:name w:val="font4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5">
    <w:name w:val="font11"/>
    <w:basedOn w:val="7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6">
    <w:name w:val="font31"/>
    <w:basedOn w:val="7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1212</Words>
  <Characters>6915</Characters>
  <Lines>57</Lines>
  <Paragraphs>16</Paragraphs>
  <TotalTime>21</TotalTime>
  <ScaleCrop>false</ScaleCrop>
  <LinksUpToDate>false</LinksUpToDate>
  <CharactersWithSpaces>8111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2020-11-12T18:18:00Z</dcterms:created>
  <dc:creator>Fangyuan</dc:creator>
  <cp:lastModifiedBy>Fangyuan</cp:lastModifiedBy>
  <dcterms:modified xsi:type="dcterms:W3CDTF">2021-06-01T07:36:11Z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1B3DF08A03234CC4906C8976B3209EBA</vt:lpwstr>
  </property>
</Properties>
</file>