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45B12" w14:textId="77777777" w:rsidR="00177AC8" w:rsidRPr="00177AC8" w:rsidRDefault="00177AC8" w:rsidP="00177AC8">
      <w:pPr>
        <w:rPr>
          <w:sz w:val="32"/>
          <w:szCs w:val="32"/>
        </w:rPr>
      </w:pPr>
      <w:r w:rsidRPr="00177AC8">
        <w:rPr>
          <w:sz w:val="32"/>
          <w:szCs w:val="32"/>
        </w:rPr>
        <w:t xml:space="preserve">Characterising the relationship between suitable habitat and gene flow for </w:t>
      </w:r>
      <w:r w:rsidRPr="00177AC8">
        <w:rPr>
          <w:i/>
          <w:sz w:val="32"/>
          <w:szCs w:val="32"/>
        </w:rPr>
        <w:t>Myotis bechsteinii</w:t>
      </w:r>
      <w:r w:rsidRPr="00177AC8">
        <w:rPr>
          <w:sz w:val="32"/>
          <w:szCs w:val="32"/>
        </w:rPr>
        <w:t xml:space="preserve"> and </w:t>
      </w:r>
      <w:r w:rsidRPr="00177AC8">
        <w:rPr>
          <w:i/>
          <w:sz w:val="32"/>
          <w:szCs w:val="32"/>
        </w:rPr>
        <w:t xml:space="preserve">Eptesicus serotinus </w:t>
      </w:r>
      <w:r w:rsidRPr="00177AC8">
        <w:rPr>
          <w:sz w:val="32"/>
          <w:szCs w:val="32"/>
        </w:rPr>
        <w:t>in Britain</w:t>
      </w:r>
    </w:p>
    <w:p w14:paraId="10168940" w14:textId="77777777" w:rsidR="00177AC8" w:rsidRPr="00B248D3" w:rsidRDefault="00177AC8" w:rsidP="00177AC8">
      <w:pPr>
        <w:rPr>
          <w:rFonts w:ascii="Arial" w:hAnsi="Arial" w:cs="Arial"/>
        </w:rPr>
      </w:pPr>
    </w:p>
    <w:p w14:paraId="4B9C0935" w14:textId="77777777" w:rsidR="00177AC8" w:rsidRDefault="00177AC8" w:rsidP="00177AC8">
      <w:pPr>
        <w:rPr>
          <w:rFonts w:ascii="Arial" w:hAnsi="Arial" w:cs="Arial"/>
          <w:sz w:val="24"/>
          <w:szCs w:val="24"/>
        </w:rPr>
      </w:pPr>
    </w:p>
    <w:p w14:paraId="3C1A0F7E" w14:textId="77777777" w:rsidR="00177AC8" w:rsidRPr="00B248D3" w:rsidRDefault="00177AC8" w:rsidP="00177AC8">
      <w:pPr>
        <w:rPr>
          <w:rFonts w:ascii="Arial" w:hAnsi="Arial" w:cs="Arial"/>
          <w:sz w:val="24"/>
          <w:szCs w:val="24"/>
          <w:vertAlign w:val="superscript"/>
        </w:rPr>
      </w:pPr>
      <w:r w:rsidRPr="00B248D3">
        <w:rPr>
          <w:rFonts w:ascii="Arial" w:hAnsi="Arial" w:cs="Arial"/>
          <w:sz w:val="24"/>
          <w:szCs w:val="24"/>
        </w:rPr>
        <w:t>Wright, P.G.R.</w:t>
      </w:r>
      <w:r w:rsidRPr="00B248D3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  <w:vertAlign w:val="superscript"/>
        </w:rPr>
        <w:t>,2</w:t>
      </w:r>
      <w:r w:rsidRPr="00B248D3">
        <w:rPr>
          <w:rFonts w:ascii="Arial" w:hAnsi="Arial" w:cs="Arial"/>
          <w:sz w:val="24"/>
          <w:szCs w:val="24"/>
        </w:rPr>
        <w:t>, Bellamy, C.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 w:rsidRPr="00B248D3">
        <w:rPr>
          <w:rFonts w:ascii="Arial" w:hAnsi="Arial" w:cs="Arial"/>
          <w:sz w:val="24"/>
          <w:szCs w:val="24"/>
        </w:rPr>
        <w:t>, Hamilton, P.B.</w:t>
      </w:r>
      <w:r>
        <w:rPr>
          <w:rFonts w:ascii="Arial" w:hAnsi="Arial" w:cs="Arial"/>
          <w:sz w:val="24"/>
          <w:szCs w:val="24"/>
          <w:vertAlign w:val="superscript"/>
        </w:rPr>
        <w:t>4</w:t>
      </w:r>
      <w:r w:rsidRPr="00B248D3">
        <w:rPr>
          <w:rFonts w:ascii="Arial" w:hAnsi="Arial" w:cs="Arial"/>
          <w:sz w:val="24"/>
          <w:szCs w:val="24"/>
        </w:rPr>
        <w:t>, Schofield, H.</w:t>
      </w:r>
      <w:r w:rsidRPr="00B248D3">
        <w:rPr>
          <w:rFonts w:ascii="Arial" w:hAnsi="Arial" w:cs="Arial"/>
          <w:sz w:val="24"/>
          <w:szCs w:val="24"/>
          <w:vertAlign w:val="superscript"/>
        </w:rPr>
        <w:t>1</w:t>
      </w:r>
      <w:r w:rsidRPr="00B248D3">
        <w:rPr>
          <w:rFonts w:ascii="Arial" w:hAnsi="Arial" w:cs="Arial"/>
          <w:sz w:val="24"/>
          <w:szCs w:val="24"/>
        </w:rPr>
        <w:t>, Finch, D.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B248D3">
        <w:rPr>
          <w:rFonts w:ascii="Arial" w:hAnsi="Arial" w:cs="Arial"/>
          <w:sz w:val="24"/>
          <w:szCs w:val="24"/>
        </w:rPr>
        <w:t xml:space="preserve"> &amp; Mathews, F.</w:t>
      </w:r>
      <w:r>
        <w:rPr>
          <w:rFonts w:ascii="Arial" w:hAnsi="Arial" w:cs="Arial"/>
          <w:sz w:val="24"/>
          <w:szCs w:val="24"/>
          <w:vertAlign w:val="superscript"/>
        </w:rPr>
        <w:t>2*</w:t>
      </w:r>
    </w:p>
    <w:p w14:paraId="4ED13B6D" w14:textId="77777777" w:rsidR="00177AC8" w:rsidRPr="00B248D3" w:rsidRDefault="00177AC8" w:rsidP="00177AC8">
      <w:pPr>
        <w:rPr>
          <w:rFonts w:ascii="Arial" w:hAnsi="Arial" w:cs="Arial"/>
        </w:rPr>
      </w:pPr>
      <w:r w:rsidRPr="00B248D3">
        <w:rPr>
          <w:rFonts w:ascii="Arial" w:hAnsi="Arial" w:cs="Arial"/>
          <w:vertAlign w:val="superscript"/>
        </w:rPr>
        <w:t xml:space="preserve">1 </w:t>
      </w:r>
      <w:r w:rsidRPr="00B248D3">
        <w:rPr>
          <w:rFonts w:ascii="Arial" w:hAnsi="Arial" w:cs="Arial"/>
        </w:rPr>
        <w:t>Vincent Wildlife Trust, Ledbury, HR8 1EP, United Kingdom</w:t>
      </w:r>
    </w:p>
    <w:p w14:paraId="4BE19898" w14:textId="77777777" w:rsidR="00177AC8" w:rsidRPr="00B248D3" w:rsidRDefault="00177AC8" w:rsidP="00177A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vertAlign w:val="superscript"/>
        </w:rPr>
        <w:t>2</w:t>
      </w:r>
      <w:r w:rsidRPr="00B248D3">
        <w:rPr>
          <w:rFonts w:ascii="Arial" w:hAnsi="Arial" w:cs="Arial"/>
        </w:rPr>
        <w:t xml:space="preserve"> University of Sussex, Brighton, BN1 9RH, UK</w:t>
      </w:r>
    </w:p>
    <w:p w14:paraId="28A7CA73" w14:textId="77777777" w:rsidR="00177AC8" w:rsidRPr="00B248D3" w:rsidRDefault="00177AC8" w:rsidP="00177AC8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Pr="00B248D3">
        <w:rPr>
          <w:rFonts w:ascii="Arial" w:hAnsi="Arial" w:cs="Arial"/>
        </w:rPr>
        <w:t xml:space="preserve"> Centre for Ecosystems, Forest Research, Roslin, UK</w:t>
      </w:r>
    </w:p>
    <w:p w14:paraId="480E5F57" w14:textId="77777777" w:rsidR="00177AC8" w:rsidRDefault="00177AC8" w:rsidP="00177AC8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4</w:t>
      </w:r>
      <w:r w:rsidRPr="00B248D3">
        <w:rPr>
          <w:rFonts w:ascii="Arial" w:hAnsi="Arial" w:cs="Arial"/>
          <w:vertAlign w:val="superscript"/>
        </w:rPr>
        <w:t xml:space="preserve"> </w:t>
      </w:r>
      <w:r w:rsidRPr="00B248D3">
        <w:rPr>
          <w:rFonts w:ascii="Arial" w:hAnsi="Arial" w:cs="Arial"/>
        </w:rPr>
        <w:t>University of Exeter, Exeter,</w:t>
      </w:r>
      <w:r>
        <w:rPr>
          <w:rFonts w:ascii="Arial" w:hAnsi="Arial" w:cs="Arial"/>
        </w:rPr>
        <w:t xml:space="preserve"> EX4 4PS,</w:t>
      </w:r>
      <w:r w:rsidRPr="00B248D3">
        <w:rPr>
          <w:rFonts w:ascii="Arial" w:hAnsi="Arial" w:cs="Arial"/>
        </w:rPr>
        <w:t xml:space="preserve"> UK</w:t>
      </w:r>
    </w:p>
    <w:p w14:paraId="6A6C63F8" w14:textId="77777777" w:rsidR="00177AC8" w:rsidRDefault="00177AC8" w:rsidP="00177AC8">
      <w:pPr>
        <w:rPr>
          <w:rFonts w:ascii="Arial" w:hAnsi="Arial" w:cs="Arial"/>
        </w:rPr>
      </w:pPr>
    </w:p>
    <w:p w14:paraId="5B44195A" w14:textId="77777777" w:rsidR="00177AC8" w:rsidRPr="002D6ABB" w:rsidRDefault="00177AC8" w:rsidP="00177AC8">
      <w:pPr>
        <w:rPr>
          <w:rFonts w:ascii="Arial" w:hAnsi="Arial" w:cs="Arial"/>
        </w:rPr>
      </w:pPr>
      <w:r w:rsidRPr="002D6ABB">
        <w:rPr>
          <w:rFonts w:ascii="Arial" w:hAnsi="Arial" w:cs="Arial"/>
        </w:rPr>
        <w:t>ORCID</w:t>
      </w:r>
    </w:p>
    <w:p w14:paraId="5E8D7FFD" w14:textId="77777777" w:rsidR="00177AC8" w:rsidRPr="002D6ABB" w:rsidRDefault="00177AC8" w:rsidP="00177AC8">
      <w:pPr>
        <w:rPr>
          <w:rFonts w:ascii="Arial" w:hAnsi="Arial" w:cs="Arial"/>
        </w:rPr>
      </w:pPr>
      <w:r w:rsidRPr="002D6ABB">
        <w:rPr>
          <w:rFonts w:ascii="Arial" w:hAnsi="Arial" w:cs="Arial"/>
        </w:rPr>
        <w:t xml:space="preserve">P. Wright </w:t>
      </w:r>
      <w:r>
        <w:rPr>
          <w:rFonts w:ascii="Arial" w:hAnsi="Arial" w:cs="Arial"/>
        </w:rPr>
        <w:t>–</w:t>
      </w:r>
      <w:r w:rsidRPr="002D6ABB">
        <w:rPr>
          <w:rFonts w:ascii="Arial" w:hAnsi="Arial" w:cs="Arial"/>
        </w:rPr>
        <w:t xml:space="preserve"> 0000-0002-1026-6596</w:t>
      </w:r>
    </w:p>
    <w:p w14:paraId="7573F522" w14:textId="77777777" w:rsidR="00177AC8" w:rsidRPr="002D6ABB" w:rsidRDefault="00177AC8" w:rsidP="00177AC8">
      <w:pPr>
        <w:rPr>
          <w:rFonts w:ascii="Arial" w:hAnsi="Arial" w:cs="Arial"/>
        </w:rPr>
      </w:pPr>
      <w:r w:rsidRPr="002D6ABB">
        <w:rPr>
          <w:rFonts w:ascii="Arial" w:hAnsi="Arial" w:cs="Arial"/>
        </w:rPr>
        <w:t>C. Bellamy - 0000-0002-3830-0995</w:t>
      </w:r>
    </w:p>
    <w:p w14:paraId="7C900C97" w14:textId="77777777" w:rsidR="00177AC8" w:rsidRPr="002D6ABB" w:rsidRDefault="00177AC8" w:rsidP="00177AC8">
      <w:pPr>
        <w:rPr>
          <w:rFonts w:ascii="Arial" w:hAnsi="Arial" w:cs="Arial"/>
          <w:color w:val="111111"/>
          <w:shd w:val="clear" w:color="auto" w:fill="FFFFFF"/>
        </w:rPr>
      </w:pPr>
      <w:r w:rsidRPr="002D6ABB">
        <w:rPr>
          <w:rFonts w:ascii="Arial" w:hAnsi="Arial" w:cs="Arial"/>
          <w:color w:val="111111"/>
          <w:shd w:val="clear" w:color="auto" w:fill="FFFFFF"/>
        </w:rPr>
        <w:t>D. Finch - 0000-0003-1545-4286</w:t>
      </w:r>
    </w:p>
    <w:p w14:paraId="3D3FE4C8" w14:textId="77777777" w:rsidR="00177AC8" w:rsidRDefault="00177AC8" w:rsidP="00177AC8">
      <w:pPr>
        <w:rPr>
          <w:rFonts w:ascii="Arial" w:hAnsi="Arial" w:cs="Arial"/>
        </w:rPr>
      </w:pPr>
      <w:r w:rsidRPr="002D6ABB">
        <w:rPr>
          <w:rFonts w:ascii="Arial" w:hAnsi="Arial" w:cs="Arial"/>
        </w:rPr>
        <w:t>F. Mathews - 0000-0002-2580-2769</w:t>
      </w:r>
    </w:p>
    <w:p w14:paraId="5738A419" w14:textId="77777777" w:rsidR="00177AC8" w:rsidRDefault="00177AC8" w:rsidP="00177AC8">
      <w:pPr>
        <w:rPr>
          <w:rFonts w:ascii="Arial" w:hAnsi="Arial" w:cs="Arial"/>
        </w:rPr>
      </w:pPr>
    </w:p>
    <w:p w14:paraId="32FC2BF3" w14:textId="77777777" w:rsidR="00177AC8" w:rsidRDefault="00177AC8" w:rsidP="00177AC8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2D6ABB">
        <w:rPr>
          <w:rFonts w:ascii="Arial" w:hAnsi="Arial" w:cs="Arial"/>
        </w:rPr>
        <w:t>Corresponding author</w:t>
      </w:r>
      <w:r>
        <w:rPr>
          <w:rFonts w:ascii="Arial" w:hAnsi="Arial" w:cs="Arial"/>
        </w:rPr>
        <w:t xml:space="preserve">: </w:t>
      </w:r>
      <w:hyperlink r:id="rId4" w:history="1">
        <w:r w:rsidRPr="00B97ECC">
          <w:rPr>
            <w:rStyle w:val="Hyperlink"/>
            <w:rFonts w:ascii="Arial" w:hAnsi="Arial" w:cs="Arial"/>
          </w:rPr>
          <w:t>f.mathews@sussex.ac.uk</w:t>
        </w:r>
      </w:hyperlink>
      <w:r>
        <w:rPr>
          <w:rFonts w:ascii="Arial" w:hAnsi="Arial" w:cs="Arial"/>
        </w:rPr>
        <w:t xml:space="preserve"> </w:t>
      </w:r>
    </w:p>
    <w:p w14:paraId="52EF704F" w14:textId="77777777" w:rsidR="00177AC8" w:rsidRDefault="00177AC8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5AC9FFED" w14:textId="311D7A74" w:rsidR="00EA4CC3" w:rsidRDefault="0060583B" w:rsidP="0060583B">
      <w:pPr>
        <w:pStyle w:val="Heading1"/>
      </w:pPr>
      <w:r>
        <w:lastRenderedPageBreak/>
        <w:t>Supplementary material</w:t>
      </w:r>
    </w:p>
    <w:p w14:paraId="371AB72C" w14:textId="034065B4" w:rsidR="000051C8" w:rsidRDefault="004D6DEC" w:rsidP="0060583B">
      <w:r>
        <w:rPr>
          <w:rFonts w:cs="Arial"/>
          <w:sz w:val="24"/>
          <w:szCs w:val="24"/>
        </w:rPr>
        <w:t xml:space="preserve">Supplementary 1: Environmental </w:t>
      </w:r>
      <w:r w:rsidRPr="008B467C">
        <w:rPr>
          <w:rFonts w:cs="Arial"/>
          <w:sz w:val="24"/>
          <w:szCs w:val="24"/>
        </w:rPr>
        <w:t>predictors used at each level. A description of each p</w:t>
      </w:r>
      <w:r>
        <w:rPr>
          <w:rFonts w:cs="Arial"/>
          <w:sz w:val="24"/>
          <w:szCs w:val="24"/>
        </w:rPr>
        <w:t xml:space="preserve">redictor (units), the statistic </w:t>
      </w:r>
      <w:r w:rsidRPr="008B467C">
        <w:rPr>
          <w:rFonts w:cs="Arial"/>
          <w:sz w:val="24"/>
          <w:szCs w:val="24"/>
        </w:rPr>
        <w:t>measured within the focal scale window and ori</w:t>
      </w:r>
      <w:r>
        <w:rPr>
          <w:rFonts w:cs="Arial"/>
          <w:sz w:val="24"/>
          <w:szCs w:val="24"/>
        </w:rPr>
        <w:t xml:space="preserve">ginal data sources provided by </w:t>
      </w:r>
      <w:r>
        <w:rPr>
          <w:rFonts w:cs="Arial"/>
          <w:sz w:val="24"/>
          <w:szCs w:val="24"/>
        </w:rPr>
        <w:fldChar w:fldCharType="begin"/>
      </w:r>
      <w:r>
        <w:rPr>
          <w:rFonts w:cs="Arial"/>
          <w:sz w:val="24"/>
          <w:szCs w:val="24"/>
        </w:rPr>
        <w:instrText xml:space="preserve"> ADDIN EN.CITE &lt;EndNote&gt;&lt;Cite AuthorYear="1"&gt;&lt;Author&gt;Bellamy&lt;/Author&gt;&lt;Year&gt;2020&lt;/Year&gt;&lt;RecNum&gt;4&lt;/RecNum&gt;&lt;DisplayText&gt;Bellamy et al. (2020)&lt;/DisplayText&gt;&lt;record&gt;&lt;rec-number&gt;4&lt;/rec-number&gt;&lt;foreign-keys&gt;&lt;key app="EN" db-id="wfvr9vaeqxx9p6etxvfxrzxxez95rtrxrfev" timestamp="1589880927"&gt;4&lt;/key&gt;&lt;/foreign-keys&gt;&lt;ref-type name="Journal Article"&gt;17&lt;/ref-type&gt;&lt;contributors&gt;&lt;authors&gt;&lt;author&gt;Bellamy, Chloe&lt;/author&gt;&lt;author&gt;Boughey, Katherine&lt;/author&gt;&lt;author&gt;Hawkins, Charlotte&lt;/author&gt;&lt;author&gt;Reveley, Sonia&lt;/author&gt;&lt;author&gt;Spake, Rebecca&lt;/author&gt;&lt;author&gt;Williams, Carol&lt;/author&gt;&lt;author&gt;Altringham, John&lt;/author&gt;&lt;/authors&gt;&lt;/contributors&gt;&lt;titles&gt;&lt;title&gt;A sequential multi-level framework to improve habitat suitability modelling&lt;/title&gt;&lt;secondary-title&gt;Landscape Ecology&lt;/secondary-title&gt;&lt;/titles&gt;&lt;periodical&gt;&lt;full-title&gt;Landscape Ecology&lt;/full-title&gt;&lt;/periodical&gt;&lt;pages&gt;1-20&lt;/pages&gt;&lt;dates&gt;&lt;year&gt;2020&lt;/year&gt;&lt;/dates&gt;&lt;isbn&gt;1572-9761&lt;/isbn&gt;&lt;urls&gt;&lt;/urls&gt;&lt;/record&gt;&lt;/Cite&gt;&lt;/EndNote&gt;</w:instrText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sz w:val="24"/>
          <w:szCs w:val="24"/>
        </w:rPr>
        <w:t>Bellamy et al. (2020)</w: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>.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646"/>
        <w:gridCol w:w="3040"/>
        <w:gridCol w:w="879"/>
        <w:gridCol w:w="5216"/>
      </w:tblGrid>
      <w:tr w:rsidR="004D6DEC" w:rsidRPr="004D6DEC" w14:paraId="28086ED2" w14:textId="77777777" w:rsidTr="004D6DEC">
        <w:trPr>
          <w:trHeight w:val="300"/>
        </w:trPr>
        <w:tc>
          <w:tcPr>
            <w:tcW w:w="64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F9084BA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Level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640C22A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Predictor (units)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D65A2FE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F2ACD07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Data Source</w:t>
            </w:r>
          </w:p>
        </w:tc>
      </w:tr>
      <w:tr w:rsidR="004D6DEC" w:rsidRPr="004D6DEC" w14:paraId="12AEE8FB" w14:textId="77777777" w:rsidTr="004D6DEC">
        <w:trPr>
          <w:trHeight w:val="288"/>
        </w:trPr>
        <w:tc>
          <w:tcPr>
            <w:tcW w:w="646" w:type="dxa"/>
            <w:vMerge w:val="restar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textDirection w:val="btLr"/>
            <w:vAlign w:val="center"/>
            <w:hideMark/>
          </w:tcPr>
          <w:p w14:paraId="669029B5" w14:textId="77777777" w:rsidR="004D6DEC" w:rsidRPr="004D6DEC" w:rsidRDefault="004D6DEC" w:rsidP="004D6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  <w:t>Population range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9CE02B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Annual precipitation (mm)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509C2C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8439EC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WorldClim</w:t>
            </w:r>
            <w:proofErr w:type="spellEnd"/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 xml:space="preserve"> Version2, 1970-2000 (Fick &amp; </w:t>
            </w:r>
            <w:proofErr w:type="spellStart"/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Hijmans</w:t>
            </w:r>
            <w:proofErr w:type="spellEnd"/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, 2017)</w:t>
            </w:r>
          </w:p>
        </w:tc>
      </w:tr>
      <w:tr w:rsidR="004D6DEC" w:rsidRPr="004D6DEC" w14:paraId="2AC66196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5B2C9B48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F88A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Maximum temperature of warmest month (⁰C)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A8BE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A3600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</w:tr>
      <w:tr w:rsidR="004D6DEC" w:rsidRPr="004D6DEC" w14:paraId="43992BD6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179A8B31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DA8628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Minimum temperature of coldest month (⁰C)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597E94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9C9A2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</w:tr>
      <w:tr w:rsidR="004D6DEC" w:rsidRPr="004D6DEC" w14:paraId="29E14433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66337E5E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BCE1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 xml:space="preserve">Cover of woodland (%)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F0AF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AB4776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Land Cover Map 2007 (1km percentage aggregate class, GB) v1.2 (Morton</w:t>
            </w:r>
            <w:r w:rsidRPr="004D6DEC">
              <w:rPr>
                <w:rFonts w:ascii="Calibri" w:eastAsia="Times New Roman" w:hAnsi="Calibri" w:cs="Calibri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  <w:t xml:space="preserve"> et al.</w:t>
            </w: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, 2011)</w:t>
            </w:r>
          </w:p>
        </w:tc>
      </w:tr>
      <w:tr w:rsidR="004D6DEC" w:rsidRPr="004D6DEC" w14:paraId="6BC545F0" w14:textId="77777777" w:rsidTr="004D6DEC">
        <w:trPr>
          <w:trHeight w:val="300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42021332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4A7479E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Cover of urban (%)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0736C2B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095315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</w:tr>
      <w:tr w:rsidR="004D6DEC" w:rsidRPr="004D6DEC" w14:paraId="49E93E34" w14:textId="77777777" w:rsidTr="004D6DEC">
        <w:trPr>
          <w:trHeight w:val="288"/>
        </w:trPr>
        <w:tc>
          <w:tcPr>
            <w:tcW w:w="646" w:type="dxa"/>
            <w:vMerge w:val="restar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textDirection w:val="btLr"/>
            <w:vAlign w:val="center"/>
            <w:hideMark/>
          </w:tcPr>
          <w:p w14:paraId="0A18F06B" w14:textId="77777777" w:rsidR="004D6DEC" w:rsidRPr="004D6DEC" w:rsidRDefault="004D6DEC" w:rsidP="004D6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  <w:t>Home range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DF75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Cover of ancient woodland (%)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7A40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AEB6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Ancient Woodland inventories (Natural England, 2018; Natural Resources Wales, 2011; Scottish Natural Heritage, 2010)</w:t>
            </w:r>
          </w:p>
        </w:tc>
      </w:tr>
      <w:tr w:rsidR="004D6DEC" w:rsidRPr="004D6DEC" w14:paraId="19019824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140432AD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18D75D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Cover of coniferous woodland (%)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0ACD52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3A805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</w:tr>
      <w:tr w:rsidR="004D6DEC" w:rsidRPr="004D6DEC" w14:paraId="3097A033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6D366C20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F9AA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Cover of broadleaved woodland (%)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DA48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EC8BC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</w:tr>
      <w:tr w:rsidR="004D6DEC" w:rsidRPr="004D6DEC" w14:paraId="622D028C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43E99E71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702DB0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 xml:space="preserve">Cover of woodland (%)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95B493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D13CA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</w:tr>
      <w:tr w:rsidR="004D6DEC" w:rsidRPr="004D6DEC" w14:paraId="29C7C55C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73C7B0B7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3FFC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Cover of heathland (%)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88C8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1927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Landcover map 2007 (Morton</w:t>
            </w:r>
            <w:r w:rsidRPr="004D6DEC">
              <w:rPr>
                <w:rFonts w:ascii="Calibri" w:eastAsia="Times New Roman" w:hAnsi="Calibri" w:cs="Calibri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  <w:t xml:space="preserve"> et al.</w:t>
            </w: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, 2011)</w:t>
            </w:r>
          </w:p>
        </w:tc>
      </w:tr>
      <w:tr w:rsidR="004D6DEC" w:rsidRPr="004D6DEC" w14:paraId="3C4D53CE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6FEB2C3E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0D2DDA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Cover of arable or improved grassland (%)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A4CA42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FF316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</w:tr>
      <w:tr w:rsidR="004D6DEC" w:rsidRPr="004D6DEC" w14:paraId="13974157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7D94E43E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19A1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Size of largest woodland (ha)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201C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BE38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National Forest Inventory (Forestry Commission, 2007)</w:t>
            </w:r>
          </w:p>
        </w:tc>
      </w:tr>
      <w:tr w:rsidR="004D6DEC" w:rsidRPr="004D6DEC" w14:paraId="1E3CAA13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2CB255A9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8D10EE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Density of hedgerows (m/m2)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CF60D0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C1EA0D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Woody Linear Features (</w:t>
            </w:r>
            <w:proofErr w:type="spellStart"/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Scholefield</w:t>
            </w:r>
            <w:proofErr w:type="spellEnd"/>
            <w:r w:rsidRPr="004D6DEC">
              <w:rPr>
                <w:rFonts w:ascii="Calibri" w:eastAsia="Times New Roman" w:hAnsi="Calibri" w:cs="Calibri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  <w:t xml:space="preserve"> et al.</w:t>
            </w: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, 2016)</w:t>
            </w:r>
          </w:p>
        </w:tc>
      </w:tr>
      <w:tr w:rsidR="004D6DEC" w:rsidRPr="004D6DEC" w14:paraId="3EAFA8E2" w14:textId="77777777" w:rsidTr="004D6DEC">
        <w:trPr>
          <w:trHeight w:val="300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18555AF8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F9B30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Proportion of broadleaf likely to be managed for biodiversity/conservation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131AB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B2D8F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National Forest Inventory woodlands (Forestry Commission, 2007) overlapping with terrestrial protected sites (UNEP-WCMC and IUCN, 2017) or land owned/managed by the Royal Society for the Protection of Birds, Woodland Trust, National Trust or Wildlife Trusts.</w:t>
            </w:r>
          </w:p>
        </w:tc>
      </w:tr>
      <w:tr w:rsidR="004D6DEC" w:rsidRPr="004D6DEC" w14:paraId="6CBECBCC" w14:textId="77777777" w:rsidTr="004D6DEC">
        <w:trPr>
          <w:trHeight w:val="288"/>
        </w:trPr>
        <w:tc>
          <w:tcPr>
            <w:tcW w:w="646" w:type="dxa"/>
            <w:vMerge w:val="restar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textDirection w:val="btLr"/>
            <w:vAlign w:val="center"/>
            <w:hideMark/>
          </w:tcPr>
          <w:p w14:paraId="73EEA916" w14:textId="77777777" w:rsidR="004D6DEC" w:rsidRPr="004D6DEC" w:rsidRDefault="004D6DEC" w:rsidP="004D6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  <w:t>Local foraging habitat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D999AB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Cover of ancient woodland (%)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E90585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859556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Ancient Woodland inventories (Natural England, 2018; Natural Resources Wales, 2011; Scottish Natural Heritage, 2010)</w:t>
            </w:r>
          </w:p>
        </w:tc>
      </w:tr>
      <w:tr w:rsidR="004D6DEC" w:rsidRPr="004D6DEC" w14:paraId="6FD43FB8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6E9D3CDB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7F31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Cover of woodland (%)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4859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7E77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National Forest Inventory (Forestry Commission, 2007)</w:t>
            </w:r>
          </w:p>
        </w:tc>
      </w:tr>
      <w:tr w:rsidR="004D6DEC" w:rsidRPr="004D6DEC" w14:paraId="3975D96E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3C9D614B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AA4000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Cover of deciduous woodland (%)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664453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7F59A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</w:tr>
      <w:tr w:rsidR="004D6DEC" w:rsidRPr="004D6DEC" w14:paraId="66AB24C0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79232B8C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8ADA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Cover of coniferous woodland (%)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A3BD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F5BA2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</w:tr>
      <w:tr w:rsidR="004D6DEC" w:rsidRPr="004D6DEC" w14:paraId="31DEAF45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4EADBDDB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5947CE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Cover of heathland (%)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24B474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2BA17A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Landcover map 2007(Morton</w:t>
            </w:r>
            <w:r w:rsidRPr="004D6DEC">
              <w:rPr>
                <w:rFonts w:ascii="Calibri" w:eastAsia="Times New Roman" w:hAnsi="Calibri" w:cs="Calibri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  <w:t xml:space="preserve"> et al.</w:t>
            </w: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, 2011)</w:t>
            </w:r>
          </w:p>
        </w:tc>
      </w:tr>
      <w:tr w:rsidR="004D6DEC" w:rsidRPr="004D6DEC" w14:paraId="775960A9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46F6BDE9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774E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Cover of arable/improved grassland (%)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8EC6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Max</w:t>
            </w:r>
          </w:p>
        </w:tc>
        <w:tc>
          <w:tcPr>
            <w:tcW w:w="52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B3EE9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</w:tr>
      <w:tr w:rsidR="004D6DEC" w:rsidRPr="004D6DEC" w14:paraId="46DCB654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3ADE2270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DC0404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Size of largest woodland (ha)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930BC8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37DB16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National Forest Inventory (Forestry Commission, 2007)</w:t>
            </w:r>
          </w:p>
        </w:tc>
      </w:tr>
      <w:tr w:rsidR="004D6DEC" w:rsidRPr="004D6DEC" w14:paraId="323F0467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1C4B9E77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0EEE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Woodland patch shape compactness (0-</w:t>
            </w:r>
            <w:proofErr w:type="gramStart"/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1)*</w:t>
            </w:r>
            <w:proofErr w:type="gramEnd"/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6FD0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52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676F9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</w:tr>
      <w:tr w:rsidR="004D6DEC" w:rsidRPr="004D6DEC" w14:paraId="66B0DC3A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3698A402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D8AA3C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 xml:space="preserve">Euclidean distance to woodland edge (negative values for interior; </w:t>
            </w:r>
            <w:proofErr w:type="gramStart"/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m)*</w:t>
            </w:r>
            <w:proofErr w:type="gramEnd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077A8A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52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4E98E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</w:tr>
      <w:tr w:rsidR="004D6DEC" w:rsidRPr="004D6DEC" w14:paraId="2554504D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29FD8FCA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EF60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Euclidean distance to hedgerow (m) *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94284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998B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Woody Linear Features (</w:t>
            </w:r>
            <w:proofErr w:type="spellStart"/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Scholefield</w:t>
            </w:r>
            <w:proofErr w:type="spellEnd"/>
            <w:r w:rsidRPr="004D6DEC">
              <w:rPr>
                <w:rFonts w:ascii="Calibri" w:eastAsia="Times New Roman" w:hAnsi="Calibri" w:cs="Calibri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  <w:t xml:space="preserve"> et al.</w:t>
            </w: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, 2016)</w:t>
            </w:r>
          </w:p>
        </w:tc>
      </w:tr>
      <w:tr w:rsidR="004D6DEC" w:rsidRPr="004D6DEC" w14:paraId="5560AA6F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2E99558B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73787B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Euclidean distance to primary roads, motorways &amp; railways (m) *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E1EF5C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A86CBF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OS Open Roads (Ordnance Survey, 2017)</w:t>
            </w:r>
          </w:p>
        </w:tc>
      </w:tr>
      <w:tr w:rsidR="004D6DEC" w:rsidRPr="004D6DEC" w14:paraId="09271B11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7877565D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1929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Euclidean distance to buildings (m) *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F89C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53C9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OS Open Buildings (Ordnance Survey, 2017)</w:t>
            </w:r>
          </w:p>
        </w:tc>
      </w:tr>
      <w:tr w:rsidR="004D6DEC" w:rsidRPr="004D6DEC" w14:paraId="7BF149A9" w14:textId="77777777" w:rsidTr="004D6DEC">
        <w:trPr>
          <w:trHeight w:val="288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3C4614DF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9B839B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 xml:space="preserve">Topographic </w:t>
            </w:r>
            <w:proofErr w:type="gramStart"/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Wetness  Index</w:t>
            </w:r>
            <w:proofErr w:type="gramEnd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14ADEB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60FDB1" w14:textId="77777777" w:rsidR="004D6DEC" w:rsidRPr="004D6DEC" w:rsidRDefault="004D6DEC" w:rsidP="004D6DE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4D6DE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OS Terrain 50 (Ordnance Survey, 2017)</w:t>
            </w:r>
          </w:p>
        </w:tc>
      </w:tr>
    </w:tbl>
    <w:p w14:paraId="49B1CEAE" w14:textId="77777777" w:rsidR="000051C8" w:rsidRDefault="000051C8" w:rsidP="0060583B">
      <w:pPr>
        <w:rPr>
          <w:i/>
          <w:iCs/>
        </w:rPr>
      </w:pPr>
    </w:p>
    <w:p w14:paraId="12FB9472" w14:textId="166B8D5C" w:rsidR="0060583B" w:rsidRDefault="0060583B" w:rsidP="0060583B">
      <w:pPr>
        <w:rPr>
          <w:i/>
          <w:iCs/>
        </w:rPr>
      </w:pPr>
      <w:r>
        <w:lastRenderedPageBreak/>
        <w:drawing>
          <wp:inline distT="0" distB="0" distL="0" distR="0" wp14:anchorId="29558C3E" wp14:editId="1E945723">
            <wp:extent cx="5731510" cy="447611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7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E7C4E" w14:textId="595902A7" w:rsidR="0060583B" w:rsidRDefault="0060583B" w:rsidP="0060583B">
      <w:pPr>
        <w:rPr>
          <w:i/>
          <w:iCs/>
        </w:rPr>
      </w:pPr>
      <w:r w:rsidRPr="0060583B">
        <w:t>Supplementary 2:</w:t>
      </w:r>
      <w:r>
        <w:rPr>
          <w:i/>
          <w:iCs/>
        </w:rPr>
        <w:t xml:space="preserve"> </w:t>
      </w:r>
      <w:r w:rsidRPr="0060583B">
        <w:t>Permutation importance of the environmental variables f</w:t>
      </w:r>
      <w:r>
        <w:t>or</w:t>
      </w:r>
      <w:r w:rsidRPr="0060583B">
        <w:t xml:space="preserve"> the</w:t>
      </w:r>
      <w:r>
        <w:t xml:space="preserve"> population range model on</w:t>
      </w:r>
      <w:r>
        <w:rPr>
          <w:i/>
          <w:iCs/>
        </w:rPr>
        <w:t xml:space="preserve"> </w:t>
      </w:r>
      <w:r w:rsidRPr="0060583B">
        <w:rPr>
          <w:i/>
          <w:iCs/>
        </w:rPr>
        <w:t>Myotis bechsteinii</w:t>
      </w:r>
    </w:p>
    <w:p w14:paraId="3EBF114E" w14:textId="6947DD8D" w:rsidR="0060583B" w:rsidRDefault="0060583B" w:rsidP="0060583B">
      <w:r>
        <w:lastRenderedPageBreak/>
        <w:drawing>
          <wp:inline distT="0" distB="0" distL="0" distR="0" wp14:anchorId="51F1E6D0" wp14:editId="5EA97801">
            <wp:extent cx="5731510" cy="447611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7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3543F" w14:textId="4E13E1CD" w:rsidR="0060583B" w:rsidRDefault="0060583B" w:rsidP="0060583B">
      <w:pPr>
        <w:rPr>
          <w:i/>
          <w:iCs/>
        </w:rPr>
      </w:pPr>
      <w:r w:rsidRPr="0060583B">
        <w:t xml:space="preserve">Supplementary </w:t>
      </w:r>
      <w:r w:rsidR="004D6DEC">
        <w:t>3</w:t>
      </w:r>
      <w:r w:rsidRPr="0060583B">
        <w:t>:</w:t>
      </w:r>
      <w:r>
        <w:rPr>
          <w:i/>
          <w:iCs/>
        </w:rPr>
        <w:t xml:space="preserve"> </w:t>
      </w:r>
      <w:r>
        <w:t>Response curves</w:t>
      </w:r>
      <w:r w:rsidRPr="0060583B">
        <w:t xml:space="preserve"> of the environmental variables f</w:t>
      </w:r>
      <w:r>
        <w:t>or</w:t>
      </w:r>
      <w:r w:rsidRPr="0060583B">
        <w:t xml:space="preserve"> the</w:t>
      </w:r>
      <w:r>
        <w:t xml:space="preserve"> population range model on</w:t>
      </w:r>
      <w:r>
        <w:rPr>
          <w:i/>
          <w:iCs/>
        </w:rPr>
        <w:t xml:space="preserve"> </w:t>
      </w:r>
      <w:r w:rsidRPr="0060583B">
        <w:rPr>
          <w:i/>
          <w:iCs/>
        </w:rPr>
        <w:t>Myotis bechsteinii</w:t>
      </w:r>
    </w:p>
    <w:p w14:paraId="050B4C15" w14:textId="77777777" w:rsidR="0060583B" w:rsidRDefault="0060583B" w:rsidP="0060583B"/>
    <w:p w14:paraId="667F8D18" w14:textId="6D1E235D" w:rsidR="0060583B" w:rsidRDefault="0060583B" w:rsidP="0060583B"/>
    <w:p w14:paraId="3B8A2A3A" w14:textId="77777777" w:rsidR="0060583B" w:rsidRDefault="0060583B" w:rsidP="0060583B">
      <w:r>
        <w:lastRenderedPageBreak/>
        <w:drawing>
          <wp:inline distT="0" distB="0" distL="0" distR="0" wp14:anchorId="32DAE171" wp14:editId="738F211C">
            <wp:extent cx="5731510" cy="610362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0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2B9A7" w14:textId="493DB9A9" w:rsidR="0060583B" w:rsidRDefault="0060583B" w:rsidP="0060583B">
      <w:pPr>
        <w:rPr>
          <w:i/>
          <w:iCs/>
        </w:rPr>
      </w:pPr>
      <w:r w:rsidRPr="0060583B">
        <w:t xml:space="preserve">Supplementary </w:t>
      </w:r>
      <w:r w:rsidR="004D6DEC">
        <w:t>4</w:t>
      </w:r>
      <w:r w:rsidRPr="0060583B">
        <w:t>:</w:t>
      </w:r>
      <w:r>
        <w:rPr>
          <w:i/>
          <w:iCs/>
        </w:rPr>
        <w:t xml:space="preserve"> </w:t>
      </w:r>
      <w:r w:rsidRPr="0060583B">
        <w:t>Permutation importance of the environmental variables f</w:t>
      </w:r>
      <w:r>
        <w:t>or</w:t>
      </w:r>
      <w:r w:rsidRPr="0060583B">
        <w:t xml:space="preserve"> the</w:t>
      </w:r>
      <w:r>
        <w:t xml:space="preserve"> home range model on</w:t>
      </w:r>
      <w:r>
        <w:rPr>
          <w:i/>
          <w:iCs/>
        </w:rPr>
        <w:t xml:space="preserve"> </w:t>
      </w:r>
      <w:r w:rsidRPr="0060583B">
        <w:rPr>
          <w:i/>
          <w:iCs/>
        </w:rPr>
        <w:t>Myotis bechsteinii</w:t>
      </w:r>
    </w:p>
    <w:p w14:paraId="383F9BE6" w14:textId="3300BF94" w:rsidR="0060583B" w:rsidRDefault="0060583B" w:rsidP="0060583B">
      <w:r>
        <w:lastRenderedPageBreak/>
        <w:drawing>
          <wp:inline distT="0" distB="0" distL="0" distR="0" wp14:anchorId="12078717" wp14:editId="00028797">
            <wp:extent cx="5731510" cy="610362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0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7B3E5" w14:textId="3BE43286" w:rsidR="0060583B" w:rsidRDefault="0060583B" w:rsidP="0060583B">
      <w:pPr>
        <w:rPr>
          <w:i/>
          <w:iCs/>
        </w:rPr>
      </w:pPr>
      <w:r w:rsidRPr="0060583B">
        <w:t xml:space="preserve">Supplementary </w:t>
      </w:r>
      <w:r w:rsidR="004D6DEC">
        <w:t>5</w:t>
      </w:r>
      <w:r w:rsidRPr="0060583B">
        <w:t>:</w:t>
      </w:r>
      <w:r>
        <w:rPr>
          <w:i/>
          <w:iCs/>
        </w:rPr>
        <w:t xml:space="preserve"> </w:t>
      </w:r>
      <w:r>
        <w:t>Response curves</w:t>
      </w:r>
      <w:r w:rsidRPr="0060583B">
        <w:t xml:space="preserve"> of the environmental variables f</w:t>
      </w:r>
      <w:r>
        <w:t>or</w:t>
      </w:r>
      <w:r w:rsidRPr="0060583B">
        <w:t xml:space="preserve"> the</w:t>
      </w:r>
      <w:r>
        <w:t xml:space="preserve"> home range model on</w:t>
      </w:r>
      <w:r>
        <w:rPr>
          <w:i/>
          <w:iCs/>
        </w:rPr>
        <w:t xml:space="preserve"> </w:t>
      </w:r>
      <w:r w:rsidRPr="0060583B">
        <w:rPr>
          <w:i/>
          <w:iCs/>
        </w:rPr>
        <w:t>Myotis bechsteinii</w:t>
      </w:r>
    </w:p>
    <w:p w14:paraId="3EC2612A" w14:textId="77777777" w:rsidR="0060583B" w:rsidRDefault="0060583B" w:rsidP="0060583B"/>
    <w:p w14:paraId="42AA4A48" w14:textId="3BC17444" w:rsidR="0060583B" w:rsidRDefault="0060583B" w:rsidP="0060583B">
      <w:r>
        <w:lastRenderedPageBreak/>
        <w:drawing>
          <wp:inline distT="0" distB="0" distL="0" distR="0" wp14:anchorId="0697916F" wp14:editId="61D2B5FC">
            <wp:extent cx="5731510" cy="610362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0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3942C" w14:textId="23AC1895" w:rsidR="0060583B" w:rsidRDefault="0060583B" w:rsidP="0060583B">
      <w:pPr>
        <w:rPr>
          <w:i/>
          <w:iCs/>
        </w:rPr>
      </w:pPr>
      <w:r w:rsidRPr="0060583B">
        <w:t xml:space="preserve">Supplementary </w:t>
      </w:r>
      <w:r w:rsidR="004D6DEC">
        <w:t>6</w:t>
      </w:r>
      <w:r w:rsidRPr="0060583B">
        <w:t>:</w:t>
      </w:r>
      <w:r>
        <w:rPr>
          <w:i/>
          <w:iCs/>
        </w:rPr>
        <w:t xml:space="preserve"> </w:t>
      </w:r>
      <w:r w:rsidRPr="0060583B">
        <w:t>Permutation importance of the environmental variables f</w:t>
      </w:r>
      <w:r>
        <w:t>or</w:t>
      </w:r>
      <w:r w:rsidRPr="0060583B">
        <w:t xml:space="preserve"> the</w:t>
      </w:r>
      <w:r>
        <w:t xml:space="preserve"> local model on</w:t>
      </w:r>
      <w:r>
        <w:rPr>
          <w:i/>
          <w:iCs/>
        </w:rPr>
        <w:t xml:space="preserve"> </w:t>
      </w:r>
      <w:r w:rsidRPr="0060583B">
        <w:rPr>
          <w:i/>
          <w:iCs/>
        </w:rPr>
        <w:t>Myotis bechsteinii</w:t>
      </w:r>
    </w:p>
    <w:p w14:paraId="079626D4" w14:textId="77777777" w:rsidR="0060583B" w:rsidRDefault="0060583B" w:rsidP="0060583B"/>
    <w:p w14:paraId="28136E1B" w14:textId="1E4E734E" w:rsidR="0060583B" w:rsidRDefault="0060583B" w:rsidP="0060583B">
      <w:r>
        <w:lastRenderedPageBreak/>
        <w:drawing>
          <wp:inline distT="0" distB="0" distL="0" distR="0" wp14:anchorId="7FB2F875" wp14:editId="4B68F685">
            <wp:extent cx="5731510" cy="610362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0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7F9C3" w14:textId="6D833DD0" w:rsidR="0060583B" w:rsidRDefault="0060583B" w:rsidP="0060583B"/>
    <w:p w14:paraId="2AFFC574" w14:textId="2214AB1A" w:rsidR="000051C8" w:rsidRDefault="000051C8" w:rsidP="000051C8">
      <w:pPr>
        <w:rPr>
          <w:i/>
          <w:iCs/>
        </w:rPr>
      </w:pPr>
      <w:r w:rsidRPr="0060583B">
        <w:t xml:space="preserve">Supplementary </w:t>
      </w:r>
      <w:r w:rsidR="004D6DEC">
        <w:t>7</w:t>
      </w:r>
      <w:r w:rsidRPr="0060583B">
        <w:t>:</w:t>
      </w:r>
      <w:r>
        <w:rPr>
          <w:i/>
          <w:iCs/>
        </w:rPr>
        <w:t xml:space="preserve"> </w:t>
      </w:r>
      <w:r>
        <w:t>Response curves</w:t>
      </w:r>
      <w:r w:rsidRPr="0060583B">
        <w:t xml:space="preserve"> of the environmental variables f</w:t>
      </w:r>
      <w:r>
        <w:t>or</w:t>
      </w:r>
      <w:r w:rsidRPr="0060583B">
        <w:t xml:space="preserve"> the</w:t>
      </w:r>
      <w:r>
        <w:t xml:space="preserve"> local model on</w:t>
      </w:r>
      <w:r>
        <w:rPr>
          <w:i/>
          <w:iCs/>
        </w:rPr>
        <w:t xml:space="preserve"> </w:t>
      </w:r>
      <w:r w:rsidRPr="0060583B">
        <w:rPr>
          <w:i/>
          <w:iCs/>
        </w:rPr>
        <w:t>Myotis bechsteinii</w:t>
      </w:r>
    </w:p>
    <w:p w14:paraId="5EE7439B" w14:textId="691972A3" w:rsidR="0060583B" w:rsidRDefault="0060583B" w:rsidP="0060583B"/>
    <w:p w14:paraId="427F7994" w14:textId="692B584A" w:rsidR="0060583B" w:rsidRDefault="00E446A5" w:rsidP="0060583B">
      <w:r>
        <w:lastRenderedPageBreak/>
        <w:drawing>
          <wp:inline distT="0" distB="0" distL="0" distR="0" wp14:anchorId="56B5A691" wp14:editId="3843A208">
            <wp:extent cx="5731510" cy="486664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6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90836" w14:textId="04A777B7" w:rsidR="0060583B" w:rsidRDefault="0060583B" w:rsidP="0060583B">
      <w:pPr>
        <w:rPr>
          <w:i/>
          <w:iCs/>
        </w:rPr>
      </w:pPr>
      <w:r w:rsidRPr="0060583B">
        <w:t xml:space="preserve">Supplementary </w:t>
      </w:r>
      <w:r w:rsidR="004D6DEC">
        <w:t>8</w:t>
      </w:r>
      <w:r w:rsidRPr="0060583B">
        <w:t>:</w:t>
      </w:r>
      <w:r>
        <w:rPr>
          <w:i/>
          <w:iCs/>
        </w:rPr>
        <w:t xml:space="preserve"> </w:t>
      </w:r>
      <w:r w:rsidRPr="0060583B">
        <w:t>Permutation importance of the environmental variables f</w:t>
      </w:r>
      <w:r>
        <w:t>or</w:t>
      </w:r>
      <w:r w:rsidRPr="0060583B">
        <w:t xml:space="preserve"> the</w:t>
      </w:r>
      <w:r>
        <w:t xml:space="preserve"> population range model on</w:t>
      </w:r>
      <w:r>
        <w:rPr>
          <w:i/>
          <w:iCs/>
        </w:rPr>
        <w:t xml:space="preserve"> Eptesicus serotinus</w:t>
      </w:r>
    </w:p>
    <w:p w14:paraId="403EFB6B" w14:textId="77777777" w:rsidR="0060583B" w:rsidRDefault="0060583B" w:rsidP="0060583B"/>
    <w:p w14:paraId="538E6461" w14:textId="43C2775B" w:rsidR="0060583B" w:rsidRDefault="00E446A5" w:rsidP="0060583B">
      <w:r>
        <w:lastRenderedPageBreak/>
        <w:drawing>
          <wp:inline distT="0" distB="0" distL="0" distR="0" wp14:anchorId="169803F8" wp14:editId="0E703D44">
            <wp:extent cx="5731510" cy="4866640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6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A4A40" w14:textId="000402B3" w:rsidR="000051C8" w:rsidRDefault="000051C8" w:rsidP="000051C8">
      <w:pPr>
        <w:rPr>
          <w:i/>
          <w:iCs/>
        </w:rPr>
      </w:pPr>
      <w:r w:rsidRPr="0060583B">
        <w:t xml:space="preserve">Supplementary </w:t>
      </w:r>
      <w:r w:rsidR="004D6DEC">
        <w:t>9</w:t>
      </w:r>
      <w:r w:rsidRPr="0060583B">
        <w:t>:</w:t>
      </w:r>
      <w:r>
        <w:rPr>
          <w:i/>
          <w:iCs/>
        </w:rPr>
        <w:t xml:space="preserve"> </w:t>
      </w:r>
      <w:r>
        <w:t>Response curves</w:t>
      </w:r>
      <w:r w:rsidRPr="0060583B">
        <w:t xml:space="preserve"> of the environmental variables f</w:t>
      </w:r>
      <w:r>
        <w:t>or</w:t>
      </w:r>
      <w:r w:rsidRPr="0060583B">
        <w:t xml:space="preserve"> the</w:t>
      </w:r>
      <w:r>
        <w:t xml:space="preserve"> population range model on</w:t>
      </w:r>
      <w:r>
        <w:rPr>
          <w:i/>
          <w:iCs/>
        </w:rPr>
        <w:t xml:space="preserve"> Eptesicus serotinus</w:t>
      </w:r>
    </w:p>
    <w:p w14:paraId="11DA2641" w14:textId="77777777" w:rsidR="000051C8" w:rsidRDefault="000051C8" w:rsidP="0060583B"/>
    <w:p w14:paraId="6ECF734C" w14:textId="646B1717" w:rsidR="0060583B" w:rsidRDefault="0060583B" w:rsidP="0060583B"/>
    <w:p w14:paraId="15F69B95" w14:textId="18CA8DAB" w:rsidR="0060583B" w:rsidRDefault="00E446A5" w:rsidP="0060583B">
      <w:r>
        <w:lastRenderedPageBreak/>
        <w:drawing>
          <wp:inline distT="0" distB="0" distL="0" distR="0" wp14:anchorId="68534A2D" wp14:editId="6B53F9CC">
            <wp:extent cx="5731510" cy="4866640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6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A46F3" w14:textId="738B08A9" w:rsidR="0060583B" w:rsidRDefault="0060583B" w:rsidP="0060583B">
      <w:pPr>
        <w:rPr>
          <w:i/>
          <w:iCs/>
        </w:rPr>
      </w:pPr>
      <w:r w:rsidRPr="0060583B">
        <w:t xml:space="preserve">Supplementary </w:t>
      </w:r>
      <w:r w:rsidR="004D6DEC">
        <w:t>10</w:t>
      </w:r>
      <w:r w:rsidRPr="0060583B">
        <w:t>:</w:t>
      </w:r>
      <w:r>
        <w:rPr>
          <w:i/>
          <w:iCs/>
        </w:rPr>
        <w:t xml:space="preserve"> </w:t>
      </w:r>
      <w:r w:rsidRPr="0060583B">
        <w:t>Permutation importance of the environmental variables f</w:t>
      </w:r>
      <w:r>
        <w:t>or</w:t>
      </w:r>
      <w:r w:rsidRPr="0060583B">
        <w:t xml:space="preserve"> the</w:t>
      </w:r>
      <w:r>
        <w:t xml:space="preserve"> home range model on</w:t>
      </w:r>
      <w:r>
        <w:rPr>
          <w:i/>
          <w:iCs/>
        </w:rPr>
        <w:t xml:space="preserve"> Eptesicus serotinus</w:t>
      </w:r>
    </w:p>
    <w:p w14:paraId="223A98D7" w14:textId="77777777" w:rsidR="0060583B" w:rsidRDefault="0060583B" w:rsidP="0060583B"/>
    <w:p w14:paraId="7B61C098" w14:textId="2F68C357" w:rsidR="0060583B" w:rsidRDefault="00E446A5" w:rsidP="0060583B">
      <w:r>
        <w:lastRenderedPageBreak/>
        <w:drawing>
          <wp:inline distT="0" distB="0" distL="0" distR="0" wp14:anchorId="261B15F0" wp14:editId="57ABDB8A">
            <wp:extent cx="5731510" cy="4796790"/>
            <wp:effectExtent l="0" t="0" r="254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9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90B94" w14:textId="01E7B57B" w:rsidR="000051C8" w:rsidRDefault="000051C8" w:rsidP="000051C8">
      <w:pPr>
        <w:rPr>
          <w:i/>
          <w:iCs/>
        </w:rPr>
      </w:pPr>
      <w:r w:rsidRPr="0060583B">
        <w:t xml:space="preserve">Supplementary </w:t>
      </w:r>
      <w:r w:rsidR="004D6DEC">
        <w:t>11</w:t>
      </w:r>
      <w:r w:rsidRPr="0060583B">
        <w:t>:</w:t>
      </w:r>
      <w:r>
        <w:rPr>
          <w:i/>
          <w:iCs/>
        </w:rPr>
        <w:t xml:space="preserve"> </w:t>
      </w:r>
      <w:r>
        <w:t>Response curves</w:t>
      </w:r>
      <w:r w:rsidRPr="0060583B">
        <w:t xml:space="preserve"> of the environmental variables f</w:t>
      </w:r>
      <w:r>
        <w:t>or</w:t>
      </w:r>
      <w:r w:rsidRPr="0060583B">
        <w:t xml:space="preserve"> the</w:t>
      </w:r>
      <w:r>
        <w:t xml:space="preserve"> home range model on</w:t>
      </w:r>
      <w:r>
        <w:rPr>
          <w:i/>
          <w:iCs/>
        </w:rPr>
        <w:t xml:space="preserve"> Eptesicus serotinus</w:t>
      </w:r>
    </w:p>
    <w:p w14:paraId="727BB7DA" w14:textId="77777777" w:rsidR="000051C8" w:rsidRDefault="000051C8" w:rsidP="0060583B"/>
    <w:p w14:paraId="5CBDA19B" w14:textId="33BB52AC" w:rsidR="0060583B" w:rsidRDefault="0060583B" w:rsidP="0060583B"/>
    <w:p w14:paraId="06A6387B" w14:textId="2EA3A13D" w:rsidR="0060583B" w:rsidRDefault="00E446A5" w:rsidP="0060583B">
      <w:r>
        <w:lastRenderedPageBreak/>
        <w:drawing>
          <wp:inline distT="0" distB="0" distL="0" distR="0" wp14:anchorId="2803F045" wp14:editId="34D3876D">
            <wp:extent cx="5731510" cy="480885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0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1089E" w14:textId="3129EC74" w:rsidR="0060583B" w:rsidRDefault="0060583B" w:rsidP="0060583B">
      <w:pPr>
        <w:rPr>
          <w:i/>
          <w:iCs/>
        </w:rPr>
      </w:pPr>
      <w:r w:rsidRPr="0060583B">
        <w:t xml:space="preserve">Supplementary </w:t>
      </w:r>
      <w:r w:rsidR="004D6DEC">
        <w:t>1</w:t>
      </w:r>
      <w:r w:rsidRPr="0060583B">
        <w:t>2:</w:t>
      </w:r>
      <w:r>
        <w:rPr>
          <w:i/>
          <w:iCs/>
        </w:rPr>
        <w:t xml:space="preserve"> </w:t>
      </w:r>
      <w:r w:rsidRPr="0060583B">
        <w:t>Permutation importance of the environmental variables f</w:t>
      </w:r>
      <w:r>
        <w:t>or</w:t>
      </w:r>
      <w:r w:rsidRPr="0060583B">
        <w:t xml:space="preserve"> the</w:t>
      </w:r>
      <w:r>
        <w:t xml:space="preserve"> local model on</w:t>
      </w:r>
      <w:r>
        <w:rPr>
          <w:i/>
          <w:iCs/>
        </w:rPr>
        <w:t xml:space="preserve"> Eptesicus serotinus</w:t>
      </w:r>
    </w:p>
    <w:p w14:paraId="4E61D062" w14:textId="77777777" w:rsidR="0060583B" w:rsidRDefault="0060583B" w:rsidP="0060583B"/>
    <w:p w14:paraId="345F527F" w14:textId="4DDB3C83" w:rsidR="0060583B" w:rsidRDefault="00E446A5" w:rsidP="0060583B">
      <w:r>
        <w:lastRenderedPageBreak/>
        <w:drawing>
          <wp:inline distT="0" distB="0" distL="0" distR="0" wp14:anchorId="553C545C" wp14:editId="36877435">
            <wp:extent cx="5731510" cy="4796790"/>
            <wp:effectExtent l="0" t="0" r="254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9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882F0" w14:textId="0581D326" w:rsidR="000051C8" w:rsidRDefault="000051C8" w:rsidP="000051C8">
      <w:pPr>
        <w:rPr>
          <w:i/>
          <w:iCs/>
        </w:rPr>
      </w:pPr>
      <w:r w:rsidRPr="0060583B">
        <w:t xml:space="preserve">Supplementary </w:t>
      </w:r>
      <w:r w:rsidR="004D6DEC">
        <w:t>13</w:t>
      </w:r>
      <w:r w:rsidRPr="0060583B">
        <w:t>:</w:t>
      </w:r>
      <w:r>
        <w:rPr>
          <w:i/>
          <w:iCs/>
        </w:rPr>
        <w:t xml:space="preserve"> </w:t>
      </w:r>
      <w:r>
        <w:t>Response curves</w:t>
      </w:r>
      <w:r w:rsidRPr="0060583B">
        <w:t xml:space="preserve"> of the environmental variables f</w:t>
      </w:r>
      <w:r>
        <w:t>or</w:t>
      </w:r>
      <w:r w:rsidRPr="0060583B">
        <w:t xml:space="preserve"> the</w:t>
      </w:r>
      <w:r>
        <w:t xml:space="preserve"> local model on</w:t>
      </w:r>
      <w:r>
        <w:rPr>
          <w:i/>
          <w:iCs/>
        </w:rPr>
        <w:t xml:space="preserve"> Eptesicus serotinus</w:t>
      </w:r>
    </w:p>
    <w:p w14:paraId="608E0DA1" w14:textId="44ADB580" w:rsidR="00E446A5" w:rsidRDefault="00E446A5">
      <w:pPr>
        <w:rPr>
          <w:i/>
          <w:iCs/>
        </w:rPr>
      </w:pPr>
      <w:r>
        <w:rPr>
          <w:i/>
          <w:iCs/>
        </w:rPr>
        <w:br w:type="page"/>
      </w:r>
    </w:p>
    <w:p w14:paraId="5718CB70" w14:textId="77777777" w:rsidR="00E446A5" w:rsidRDefault="00E446A5" w:rsidP="000051C8">
      <w:pPr>
        <w:rPr>
          <w:i/>
          <w:iCs/>
        </w:rPr>
      </w:pPr>
    </w:p>
    <w:p w14:paraId="5A42EFF9" w14:textId="77777777" w:rsidR="00790BB7" w:rsidRPr="00B248D3" w:rsidRDefault="00790BB7" w:rsidP="00790BB7">
      <w:pPr>
        <w:rPr>
          <w:rFonts w:ascii="Arial" w:hAnsi="Arial" w:cs="Arial"/>
        </w:rPr>
      </w:pPr>
      <w:r w:rsidRPr="00B248D3">
        <w:rPr>
          <w:rFonts w:ascii="Arial" w:hAnsi="Arial" w:cs="Arial"/>
          <w:lang w:eastAsia="en-GB"/>
        </w:rPr>
        <w:drawing>
          <wp:inline distT="0" distB="0" distL="0" distR="0" wp14:anchorId="081B2375" wp14:editId="142BFDEC">
            <wp:extent cx="5735782" cy="2458192"/>
            <wp:effectExtent l="0" t="0" r="0" b="0"/>
            <wp:docPr id="15" name="Picture 15" descr="C:\Users\Patrick\Documents\Bechsteins_resistance\Bechsteins_Pop_H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trick\Documents\Bechsteins_resistance\Bechsteins_Pop_HR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94" b="26469"/>
                    <a:stretch/>
                  </pic:blipFill>
                  <pic:spPr bwMode="auto">
                    <a:xfrm>
                      <a:off x="0" y="0"/>
                      <a:ext cx="5731510" cy="245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CFA4C" w14:textId="0A3E93BC" w:rsidR="00790BB7" w:rsidRPr="00B248D3" w:rsidRDefault="00790BB7" w:rsidP="00790BB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Supplementary 14: </w:t>
      </w:r>
      <w:r w:rsidRPr="00B248D3">
        <w:rPr>
          <w:rFonts w:ascii="Arial" w:hAnsi="Arial" w:cs="Arial"/>
        </w:rPr>
        <w:t>Population range and home range model predictions</w:t>
      </w:r>
      <w:r w:rsidRPr="00790B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for </w:t>
      </w:r>
      <w:r w:rsidRPr="00790BB7">
        <w:rPr>
          <w:rFonts w:ascii="Arial" w:hAnsi="Arial" w:cs="Arial"/>
          <w:i/>
          <w:iCs/>
        </w:rPr>
        <w:t>M. bechsteinii</w:t>
      </w:r>
    </w:p>
    <w:p w14:paraId="34D872BC" w14:textId="0F3299E9" w:rsidR="004D6DEC" w:rsidRDefault="004D6DEC" w:rsidP="0060583B"/>
    <w:p w14:paraId="7F8F0643" w14:textId="3D896536" w:rsidR="00790BB7" w:rsidRPr="00B248D3" w:rsidRDefault="00E446A5" w:rsidP="00790BB7">
      <w:pPr>
        <w:rPr>
          <w:rFonts w:ascii="Arial" w:hAnsi="Arial" w:cs="Arial"/>
        </w:rPr>
      </w:pPr>
      <w:r>
        <w:drawing>
          <wp:inline distT="0" distB="0" distL="0" distR="0" wp14:anchorId="69EBD9C2" wp14:editId="7D5A03D9">
            <wp:extent cx="5731510" cy="329565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39F61" w14:textId="73D833F1" w:rsidR="00790BB7" w:rsidRPr="00B248D3" w:rsidRDefault="00790BB7" w:rsidP="00790BB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Supplementary 15: </w:t>
      </w:r>
      <w:r w:rsidRPr="00B248D3">
        <w:rPr>
          <w:rFonts w:ascii="Arial" w:hAnsi="Arial" w:cs="Arial"/>
        </w:rPr>
        <w:t>Population range and home range model predictions</w:t>
      </w:r>
      <w:r w:rsidRPr="00790B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for </w:t>
      </w:r>
      <w:r>
        <w:rPr>
          <w:rFonts w:ascii="Arial" w:hAnsi="Arial" w:cs="Arial"/>
          <w:i/>
          <w:iCs/>
        </w:rPr>
        <w:t>E. serotinus</w:t>
      </w:r>
    </w:p>
    <w:p w14:paraId="189BC851" w14:textId="77777777" w:rsidR="00790BB7" w:rsidRPr="00B248D3" w:rsidRDefault="00790BB7" w:rsidP="00790BB7">
      <w:pPr>
        <w:rPr>
          <w:rFonts w:ascii="Arial" w:hAnsi="Arial" w:cs="Arial"/>
        </w:rPr>
      </w:pPr>
    </w:p>
    <w:p w14:paraId="2FA62F7C" w14:textId="6FBD86DE" w:rsidR="000051C8" w:rsidRPr="0060583B" w:rsidRDefault="000051C8" w:rsidP="0060583B"/>
    <w:sectPr w:rsidR="000051C8" w:rsidRPr="00605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fvr9vaeqxx9p6etxvfxrzxxez95rtrxrfev&quot;&gt;My EndNote Library&lt;record-ids&gt;&lt;item&gt;4&lt;/item&gt;&lt;/record-ids&gt;&lt;/item&gt;&lt;/Libraries&gt;"/>
  </w:docVars>
  <w:rsids>
    <w:rsidRoot w:val="0060583B"/>
    <w:rsid w:val="000051C8"/>
    <w:rsid w:val="0011770B"/>
    <w:rsid w:val="00177AC8"/>
    <w:rsid w:val="001C447B"/>
    <w:rsid w:val="004D6DEC"/>
    <w:rsid w:val="00543823"/>
    <w:rsid w:val="0060583B"/>
    <w:rsid w:val="00790BB7"/>
    <w:rsid w:val="008A6F7C"/>
    <w:rsid w:val="00C3263F"/>
    <w:rsid w:val="00E446A5"/>
    <w:rsid w:val="00ED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88ECF"/>
  <w15:chartTrackingRefBased/>
  <w15:docId w15:val="{67F1957E-6700-4950-AB88-DC850C12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605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5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83B"/>
    <w:rPr>
      <w:rFonts w:ascii="Segoe UI" w:hAnsi="Segoe UI" w:cs="Segoe UI"/>
      <w:noProof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0583B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Char"/>
    <w:rsid w:val="004D6DEC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D6DE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D6DEC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D6DEC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177AC8"/>
    <w:rPr>
      <w:color w:val="0000FF"/>
      <w:u w:val="single"/>
    </w:rPr>
  </w:style>
  <w:style w:type="paragraph" w:styleId="NoSpacing">
    <w:name w:val="No Spacing"/>
    <w:uiPriority w:val="1"/>
    <w:qFormat/>
    <w:rsid w:val="00177A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5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hyperlink" Target="mailto:f.mathews@sussex.ac.uk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Wright</dc:creator>
  <cp:keywords/>
  <dc:description/>
  <cp:lastModifiedBy>Patrick Wright</cp:lastModifiedBy>
  <cp:revision>3</cp:revision>
  <dcterms:created xsi:type="dcterms:W3CDTF">2020-05-19T10:36:00Z</dcterms:created>
  <dcterms:modified xsi:type="dcterms:W3CDTF">2020-10-09T16:15:00Z</dcterms:modified>
</cp:coreProperties>
</file>