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518" w:rsidRPr="007567EB" w:rsidRDefault="00735518" w:rsidP="00735518">
      <w:pPr>
        <w:rPr>
          <w:sz w:val="20"/>
          <w:szCs w:val="20"/>
        </w:rPr>
      </w:pPr>
      <w:r w:rsidRPr="007567EB">
        <w:rPr>
          <w:sz w:val="20"/>
          <w:szCs w:val="20"/>
        </w:rPr>
        <w:t>Appendix Table 1. Data layers used for Florida Ecological Greenways Network (FEGN)</w:t>
      </w:r>
      <w:r>
        <w:rPr>
          <w:sz w:val="20"/>
          <w:szCs w:val="20"/>
        </w:rPr>
        <w:t>.</w:t>
      </w:r>
    </w:p>
    <w:tbl>
      <w:tblPr>
        <w:tblW w:w="100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6080"/>
        <w:gridCol w:w="1538"/>
        <w:gridCol w:w="2390"/>
      </w:tblGrid>
      <w:tr w:rsidR="00735518" w:rsidRPr="007567EB" w:rsidTr="005B718C">
        <w:trPr>
          <w:tblHeader/>
        </w:trPr>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b/>
                <w:sz w:val="20"/>
                <w:szCs w:val="20"/>
                <w:u w:val="single"/>
              </w:rPr>
            </w:pPr>
            <w:r w:rsidRPr="007567EB">
              <w:rPr>
                <w:b/>
                <w:sz w:val="20"/>
                <w:szCs w:val="20"/>
                <w:u w:val="single"/>
              </w:rPr>
              <w:t>Data Layer</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b/>
                <w:sz w:val="20"/>
                <w:szCs w:val="20"/>
                <w:u w:val="single"/>
              </w:rPr>
            </w:pPr>
            <w:r w:rsidRPr="007567EB">
              <w:rPr>
                <w:b/>
                <w:sz w:val="20"/>
                <w:szCs w:val="20"/>
                <w:u w:val="single"/>
              </w:rPr>
              <w:t>Source</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b/>
                <w:sz w:val="20"/>
                <w:szCs w:val="20"/>
                <w:u w:val="single"/>
              </w:rPr>
            </w:pPr>
            <w:r w:rsidRPr="007567EB">
              <w:rPr>
                <w:b/>
                <w:sz w:val="20"/>
                <w:szCs w:val="20"/>
                <w:u w:val="single"/>
              </w:rPr>
              <w:t>Criteria</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Landscape Species Models</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w:t>
            </w:r>
            <w:bookmarkStart w:id="0" w:name="_Hlk54813908"/>
            <w:r w:rsidRPr="007567EB">
              <w:rPr>
                <w:sz w:val="20"/>
                <w:szCs w:val="20"/>
              </w:rPr>
              <w:t>Crested caracara (FNAI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 xml:space="preserve">-FL </w:t>
            </w:r>
            <w:proofErr w:type="spellStart"/>
            <w:r w:rsidRPr="007567EB">
              <w:rPr>
                <w:sz w:val="20"/>
                <w:szCs w:val="20"/>
              </w:rPr>
              <w:t>sandhill</w:t>
            </w:r>
            <w:proofErr w:type="spellEnd"/>
            <w:r w:rsidRPr="007567EB">
              <w:rPr>
                <w:sz w:val="20"/>
                <w:szCs w:val="20"/>
              </w:rPr>
              <w:t xml:space="preserve"> crane (FWC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-Short-tailed hawk (FWC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-Swallow-tailed kite (FWC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-Sherman's fox squirrel (FWC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-Big Cypress fox squirrel (FNAI model)</w:t>
            </w:r>
            <w:bookmarkEnd w:id="0"/>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Species added in this update:</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-Eastern indigo snake (FNAI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-Eastern diamondback rattlesnake (EDR) (FWC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-Wood stork (FNAI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-Snail kite (FNAI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-Gulf sturgeon (FNAI model)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-Manatee (FNAI model)</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 FWC, UF.</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All high and moderate priority FNAI habitat; All Florida Fish and Wildlife Conservation Commission (FWC) </w:t>
            </w:r>
            <w:proofErr w:type="spellStart"/>
            <w:r w:rsidRPr="007567EB">
              <w:rPr>
                <w:sz w:val="20"/>
                <w:szCs w:val="20"/>
              </w:rPr>
              <w:t>Maxent</w:t>
            </w:r>
            <w:proofErr w:type="spellEnd"/>
            <w:r w:rsidRPr="007567EB">
              <w:rPr>
                <w:sz w:val="20"/>
                <w:szCs w:val="20"/>
              </w:rPr>
              <w:t xml:space="preserve"> habitat in the top 2/3 of ranked potential habitat and 20 acres (8.09 hectares) or larger; all FWC </w:t>
            </w:r>
            <w:r>
              <w:rPr>
                <w:sz w:val="20"/>
                <w:szCs w:val="20"/>
              </w:rPr>
              <w:t>s</w:t>
            </w:r>
            <w:r w:rsidRPr="007567EB">
              <w:rPr>
                <w:sz w:val="20"/>
                <w:szCs w:val="20"/>
              </w:rPr>
              <w:t xml:space="preserve">hort-tailed </w:t>
            </w:r>
            <w:r>
              <w:rPr>
                <w:sz w:val="20"/>
                <w:szCs w:val="20"/>
              </w:rPr>
              <w:t>h</w:t>
            </w:r>
            <w:r w:rsidRPr="007567EB">
              <w:rPr>
                <w:sz w:val="20"/>
                <w:szCs w:val="20"/>
              </w:rPr>
              <w:t xml:space="preserve">awk habitat; all </w:t>
            </w:r>
            <w:r>
              <w:rPr>
                <w:sz w:val="20"/>
                <w:szCs w:val="20"/>
              </w:rPr>
              <w:t>southern</w:t>
            </w:r>
            <w:r w:rsidRPr="007567EB">
              <w:rPr>
                <w:sz w:val="20"/>
                <w:szCs w:val="20"/>
              </w:rPr>
              <w:t xml:space="preserve"> </w:t>
            </w:r>
            <w:r>
              <w:rPr>
                <w:sz w:val="20"/>
                <w:szCs w:val="20"/>
              </w:rPr>
              <w:t>f</w:t>
            </w:r>
            <w:r w:rsidRPr="007567EB">
              <w:rPr>
                <w:sz w:val="20"/>
                <w:szCs w:val="20"/>
              </w:rPr>
              <w:t xml:space="preserve">ox </w:t>
            </w:r>
            <w:r>
              <w:rPr>
                <w:sz w:val="20"/>
                <w:szCs w:val="20"/>
              </w:rPr>
              <w:t>s</w:t>
            </w:r>
            <w:r w:rsidRPr="007567EB">
              <w:rPr>
                <w:sz w:val="20"/>
                <w:szCs w:val="20"/>
              </w:rPr>
              <w:t>quirrel habitat in patches 250 acres (101.17 hectares) or larger; all</w:t>
            </w:r>
          </w:p>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Florida </w:t>
            </w:r>
            <w:proofErr w:type="spellStart"/>
            <w:r>
              <w:rPr>
                <w:sz w:val="20"/>
                <w:szCs w:val="20"/>
              </w:rPr>
              <w:t>s</w:t>
            </w:r>
            <w:r w:rsidRPr="007567EB">
              <w:rPr>
                <w:sz w:val="20"/>
                <w:szCs w:val="20"/>
              </w:rPr>
              <w:t>andhill</w:t>
            </w:r>
            <w:proofErr w:type="spellEnd"/>
            <w:r w:rsidRPr="007567EB">
              <w:rPr>
                <w:sz w:val="20"/>
                <w:szCs w:val="20"/>
              </w:rPr>
              <w:t xml:space="preserve"> </w:t>
            </w:r>
            <w:r>
              <w:rPr>
                <w:sz w:val="20"/>
                <w:szCs w:val="20"/>
              </w:rPr>
              <w:t>c</w:t>
            </w:r>
            <w:r w:rsidRPr="007567EB">
              <w:rPr>
                <w:sz w:val="20"/>
                <w:szCs w:val="20"/>
              </w:rPr>
              <w:t>rane in patches 1,250 acres (101.17 hectares) or greater; all</w:t>
            </w:r>
          </w:p>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American </w:t>
            </w:r>
            <w:r>
              <w:rPr>
                <w:sz w:val="20"/>
                <w:szCs w:val="20"/>
              </w:rPr>
              <w:t>s</w:t>
            </w:r>
            <w:r w:rsidRPr="007567EB">
              <w:rPr>
                <w:sz w:val="20"/>
                <w:szCs w:val="20"/>
              </w:rPr>
              <w:t xml:space="preserve">wallow-tailed </w:t>
            </w:r>
            <w:r>
              <w:rPr>
                <w:sz w:val="20"/>
                <w:szCs w:val="20"/>
              </w:rPr>
              <w:t>k</w:t>
            </w:r>
            <w:r w:rsidRPr="007567EB">
              <w:rPr>
                <w:sz w:val="20"/>
                <w:szCs w:val="20"/>
              </w:rPr>
              <w:t>ite habitat in patches 5,000 acres (2,023.43 hectares) or greater.</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Matrix-Landscape Natural Communities</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-Sandhill</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-Pine flatwoods</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-Dry prairie</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-Upland hardwood forest</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-Upland pine</w:t>
            </w:r>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New natural communities now included as matrix natural communities or other landscape relevant natural communities:</w:t>
            </w:r>
          </w:p>
          <w:p w:rsidR="00735518" w:rsidRPr="007567EB" w:rsidRDefault="00735518" w:rsidP="005B718C">
            <w:pPr>
              <w:tabs>
                <w:tab w:val="left" w:pos="6120"/>
                <w:tab w:val="right" w:pos="9360"/>
              </w:tabs>
              <w:spacing w:line="276" w:lineRule="auto"/>
              <w:ind w:left="-18"/>
              <w:rPr>
                <w:sz w:val="20"/>
                <w:szCs w:val="20"/>
              </w:rPr>
            </w:pPr>
            <w:bookmarkStart w:id="1" w:name="_Hlk54813572"/>
            <w:r w:rsidRPr="007567EB">
              <w:rPr>
                <w:sz w:val="20"/>
                <w:szCs w:val="20"/>
              </w:rPr>
              <w:t xml:space="preserve">-Slope forest </w:t>
            </w:r>
            <w:bookmarkStart w:id="2" w:name="_Hlk54813606"/>
            <w:bookmarkEnd w:id="1"/>
          </w:p>
          <w:p w:rsidR="00735518" w:rsidRPr="007567EB" w:rsidRDefault="00735518" w:rsidP="005B718C">
            <w:pPr>
              <w:tabs>
                <w:tab w:val="left" w:pos="6120"/>
                <w:tab w:val="right" w:pos="9360"/>
              </w:tabs>
              <w:spacing w:line="276" w:lineRule="auto"/>
              <w:ind w:left="-18"/>
              <w:rPr>
                <w:sz w:val="20"/>
                <w:szCs w:val="20"/>
              </w:rPr>
            </w:pPr>
            <w:r w:rsidRPr="007567EB">
              <w:rPr>
                <w:sz w:val="20"/>
                <w:szCs w:val="20"/>
              </w:rPr>
              <w:t xml:space="preserve">-Larger wetland systems and especially swale; </w:t>
            </w:r>
            <w:r>
              <w:rPr>
                <w:sz w:val="20"/>
                <w:szCs w:val="20"/>
              </w:rPr>
              <w:t>s</w:t>
            </w:r>
            <w:r w:rsidRPr="007567EB">
              <w:rPr>
                <w:sz w:val="20"/>
                <w:szCs w:val="20"/>
              </w:rPr>
              <w:t xml:space="preserve">lough marsh; basin marsh, strand swamp; marl prairie; basin swamp; </w:t>
            </w:r>
            <w:r>
              <w:rPr>
                <w:sz w:val="20"/>
                <w:szCs w:val="20"/>
              </w:rPr>
              <w:t>h</w:t>
            </w:r>
            <w:r w:rsidRPr="007567EB">
              <w:rPr>
                <w:sz w:val="20"/>
                <w:szCs w:val="20"/>
              </w:rPr>
              <w:t>ydric hammock; that are 500</w:t>
            </w:r>
            <w:r>
              <w:rPr>
                <w:sz w:val="20"/>
                <w:szCs w:val="20"/>
              </w:rPr>
              <w:t xml:space="preserve"> acres </w:t>
            </w:r>
            <w:r w:rsidRPr="007567EB">
              <w:rPr>
                <w:sz w:val="20"/>
                <w:szCs w:val="20"/>
              </w:rPr>
              <w:t>(202.34 hectares)</w:t>
            </w:r>
            <w:r>
              <w:rPr>
                <w:sz w:val="20"/>
                <w:szCs w:val="20"/>
              </w:rPr>
              <w:t xml:space="preserve"> </w:t>
            </w:r>
            <w:r w:rsidRPr="007567EB">
              <w:rPr>
                <w:sz w:val="20"/>
                <w:szCs w:val="20"/>
              </w:rPr>
              <w:t xml:space="preserve">or </w:t>
            </w:r>
            <w:bookmarkEnd w:id="2"/>
            <w:r w:rsidRPr="007567EB">
              <w:rPr>
                <w:sz w:val="20"/>
                <w:szCs w:val="20"/>
              </w:rPr>
              <w:t>larger</w:t>
            </w:r>
          </w:p>
          <w:p w:rsidR="00735518" w:rsidRPr="007567EB" w:rsidRDefault="00735518" w:rsidP="005B718C">
            <w:pPr>
              <w:tabs>
                <w:tab w:val="left" w:pos="6120"/>
                <w:tab w:val="right" w:pos="9360"/>
              </w:tabs>
              <w:spacing w:line="276" w:lineRule="auto"/>
              <w:rPr>
                <w:sz w:val="20"/>
                <w:szCs w:val="20"/>
              </w:rPr>
            </w:pPr>
            <w:r w:rsidRPr="007567EB">
              <w:rPr>
                <w:sz w:val="20"/>
                <w:szCs w:val="20"/>
              </w:rPr>
              <w:t>-All blocks of natural communities at least 1000 acres (404.69 hectares) or larger</w:t>
            </w:r>
          </w:p>
          <w:p w:rsidR="00735518" w:rsidRPr="007567EB" w:rsidRDefault="00735518" w:rsidP="005B718C">
            <w:pPr>
              <w:tabs>
                <w:tab w:val="left" w:pos="6120"/>
                <w:tab w:val="right" w:pos="9360"/>
              </w:tabs>
              <w:spacing w:line="276" w:lineRule="auto"/>
              <w:rPr>
                <w:sz w:val="20"/>
                <w:szCs w:val="20"/>
              </w:rPr>
            </w:pP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lastRenderedPageBreak/>
              <w:t>CLC version 3.4, FNAI modified version</w:t>
            </w:r>
          </w:p>
        </w:tc>
        <w:tc>
          <w:tcPr>
            <w:tcW w:w="2390" w:type="dxa"/>
            <w:tcBorders>
              <w:top w:val="single" w:sz="4" w:space="0" w:color="auto"/>
              <w:left w:val="single" w:sz="4" w:space="0" w:color="auto"/>
              <w:bottom w:val="single" w:sz="4" w:space="0" w:color="auto"/>
              <w:right w:val="single" w:sz="4" w:space="0" w:color="auto"/>
            </w:tcBorders>
          </w:tcPr>
          <w:p w:rsidR="00735518" w:rsidRPr="007567EB" w:rsidRDefault="00735518" w:rsidP="005B718C">
            <w:pPr>
              <w:tabs>
                <w:tab w:val="left" w:pos="6120"/>
                <w:tab w:val="right" w:pos="9360"/>
              </w:tabs>
              <w:spacing w:line="276" w:lineRule="auto"/>
              <w:rPr>
                <w:sz w:val="20"/>
                <w:szCs w:val="20"/>
              </w:rPr>
            </w:pPr>
            <w:r w:rsidRPr="007567EB">
              <w:rPr>
                <w:sz w:val="20"/>
                <w:szCs w:val="20"/>
              </w:rPr>
              <w:t>All such natural communities combined in patches 500 acres (202.34 hectares)  or larger. In addition, All blocks of natural communities at least 1000 acres (404.69 hectares) or larger.</w:t>
            </w:r>
          </w:p>
          <w:p w:rsidR="00735518" w:rsidRPr="007567EB" w:rsidRDefault="00735518" w:rsidP="005B718C">
            <w:pPr>
              <w:tabs>
                <w:tab w:val="left" w:pos="3240"/>
                <w:tab w:val="left" w:pos="6120"/>
                <w:tab w:val="right" w:pos="9360"/>
              </w:tabs>
              <w:spacing w:line="276" w:lineRule="auto"/>
              <w:rPr>
                <w:sz w:val="20"/>
                <w:szCs w:val="20"/>
              </w:rPr>
            </w:pP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Florida Panther Conservation Zones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USFWS</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Panther Habitat Conservation Zones: Primary, Dispersal, Secondary, and North Zones. Removed areas with Landscape Integrity scores less than 6 from the Secondary and North Zones.</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Panther Habitat</w:t>
            </w:r>
          </w:p>
          <w:p w:rsidR="00735518" w:rsidRPr="007567EB" w:rsidRDefault="00735518" w:rsidP="005B718C">
            <w:pPr>
              <w:tabs>
                <w:tab w:val="left" w:pos="6120"/>
                <w:tab w:val="right" w:pos="9360"/>
              </w:tabs>
              <w:spacing w:line="276" w:lineRule="auto"/>
              <w:ind w:left="342" w:hanging="360"/>
              <w:rPr>
                <w:iCs/>
                <w:sz w:val="20"/>
                <w:szCs w:val="20"/>
              </w:rPr>
            </w:pPr>
            <w:r w:rsidRPr="007567EB">
              <w:rPr>
                <w:iCs/>
                <w:sz w:val="20"/>
                <w:szCs w:val="20"/>
              </w:rPr>
              <w:t>Us</w:t>
            </w:r>
            <w:r>
              <w:rPr>
                <w:iCs/>
                <w:sz w:val="20"/>
                <w:szCs w:val="20"/>
              </w:rPr>
              <w:t>ed</w:t>
            </w:r>
            <w:r w:rsidRPr="007567EB">
              <w:rPr>
                <w:iCs/>
                <w:sz w:val="20"/>
                <w:szCs w:val="20"/>
              </w:rPr>
              <w:t xml:space="preserve"> the USFWS Random Forest Florida Panther Habitat Model</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USFWS</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Counties intersecting and south of I-4 used the 0.315 habitat score as the threshold; </w:t>
            </w:r>
            <w:r>
              <w:rPr>
                <w:sz w:val="20"/>
                <w:szCs w:val="20"/>
              </w:rPr>
              <w:t>c</w:t>
            </w:r>
            <w:r w:rsidRPr="007567EB">
              <w:rPr>
                <w:sz w:val="20"/>
                <w:szCs w:val="20"/>
              </w:rPr>
              <w:t>ounties north of I-4 used the 0.55 threshold (stricter).</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 xml:space="preserve">Florida Black Bear Habitat </w:t>
            </w:r>
          </w:p>
          <w:p w:rsidR="00735518" w:rsidRPr="007567EB" w:rsidRDefault="00735518" w:rsidP="005B718C">
            <w:pPr>
              <w:tabs>
                <w:tab w:val="left" w:pos="6120"/>
                <w:tab w:val="right" w:pos="9360"/>
              </w:tabs>
              <w:spacing w:line="276" w:lineRule="auto"/>
              <w:ind w:left="342" w:hanging="360"/>
              <w:rPr>
                <w:iCs/>
                <w:sz w:val="20"/>
                <w:szCs w:val="20"/>
              </w:rPr>
            </w:pPr>
            <w:r w:rsidRPr="007567EB">
              <w:rPr>
                <w:iCs/>
                <w:sz w:val="20"/>
                <w:szCs w:val="20"/>
              </w:rPr>
              <w:t>Us</w:t>
            </w:r>
            <w:r>
              <w:rPr>
                <w:iCs/>
                <w:sz w:val="20"/>
                <w:szCs w:val="20"/>
              </w:rPr>
              <w:t>ed</w:t>
            </w:r>
            <w:r w:rsidRPr="007567EB">
              <w:rPr>
                <w:iCs/>
                <w:sz w:val="20"/>
                <w:szCs w:val="20"/>
              </w:rPr>
              <w:t xml:space="preserve"> the new University of Maryland </w:t>
            </w:r>
            <w:proofErr w:type="spellStart"/>
            <w:r w:rsidRPr="007567EB">
              <w:rPr>
                <w:iCs/>
                <w:sz w:val="20"/>
                <w:szCs w:val="20"/>
              </w:rPr>
              <w:t>Maxent</w:t>
            </w:r>
            <w:proofErr w:type="spellEnd"/>
            <w:r w:rsidRPr="007567EB">
              <w:rPr>
                <w:iCs/>
                <w:sz w:val="20"/>
                <w:szCs w:val="20"/>
              </w:rPr>
              <w:t xml:space="preserve"> habitat model combined with bear range data from FWC</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University of Maryland and FWC</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Used all </w:t>
            </w:r>
            <w:proofErr w:type="spellStart"/>
            <w:r w:rsidRPr="007567EB">
              <w:rPr>
                <w:sz w:val="20"/>
                <w:szCs w:val="20"/>
              </w:rPr>
              <w:t>Maxent</w:t>
            </w:r>
            <w:proofErr w:type="spellEnd"/>
            <w:r w:rsidRPr="007567EB">
              <w:rPr>
                <w:sz w:val="20"/>
                <w:szCs w:val="20"/>
              </w:rPr>
              <w:t xml:space="preserve"> model habitat inside or in patches overlapping bear range</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Existing Conservation Lands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 FLMA</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All existing conservation lands</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Strategic Habitat Conservation Areas (SHCAs)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FWC</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 xml:space="preserve">P1-P3 </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lang w:val="fr-FR"/>
              </w:rPr>
            </w:pPr>
            <w:r w:rsidRPr="007567EB">
              <w:rPr>
                <w:i/>
                <w:sz w:val="20"/>
                <w:szCs w:val="20"/>
                <w:lang w:val="fr-FR"/>
              </w:rPr>
              <w:t xml:space="preserve">Rare </w:t>
            </w:r>
            <w:proofErr w:type="spellStart"/>
            <w:r w:rsidRPr="007567EB">
              <w:rPr>
                <w:i/>
                <w:sz w:val="20"/>
                <w:szCs w:val="20"/>
                <w:lang w:val="fr-FR"/>
              </w:rPr>
              <w:t>Species</w:t>
            </w:r>
            <w:proofErr w:type="spellEnd"/>
            <w:r w:rsidRPr="007567EB">
              <w:rPr>
                <w:i/>
                <w:sz w:val="20"/>
                <w:szCs w:val="20"/>
                <w:lang w:val="fr-FR"/>
              </w:rPr>
              <w:t xml:space="preserve"> Habitat Conservation </w:t>
            </w:r>
            <w:proofErr w:type="spellStart"/>
            <w:r w:rsidRPr="007567EB">
              <w:rPr>
                <w:i/>
                <w:sz w:val="20"/>
                <w:szCs w:val="20"/>
                <w:lang w:val="fr-FR"/>
              </w:rPr>
              <w:t>Priorities</w:t>
            </w:r>
            <w:proofErr w:type="spellEnd"/>
            <w:r w:rsidRPr="007567EB">
              <w:rPr>
                <w:i/>
                <w:sz w:val="20"/>
                <w:szCs w:val="20"/>
                <w:lang w:val="fr-FR"/>
              </w:rPr>
              <w:t xml:space="preserve"> (FNAIHAB)</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P1-P3</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FL Forever Under-Represented Natural Communities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All rare natural communities</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bookmarkStart w:id="3" w:name="_Hlk62680339"/>
            <w:r w:rsidRPr="007567EB">
              <w:rPr>
                <w:i/>
                <w:sz w:val="20"/>
                <w:szCs w:val="20"/>
              </w:rPr>
              <w:t>FL Forever Functional Wetlands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P1-P3</w:t>
            </w:r>
          </w:p>
        </w:tc>
        <w:bookmarkEnd w:id="3"/>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iCs/>
                <w:sz w:val="20"/>
                <w:szCs w:val="20"/>
              </w:rPr>
            </w:pPr>
            <w:r w:rsidRPr="007567EB">
              <w:rPr>
                <w:i/>
                <w:iCs/>
                <w:sz w:val="20"/>
                <w:szCs w:val="20"/>
              </w:rPr>
              <w:t>FL Forever Natural Floodplains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color w:val="404040"/>
                <w:sz w:val="20"/>
                <w:szCs w:val="20"/>
              </w:rPr>
            </w:pPr>
            <w:r w:rsidRPr="007567EB">
              <w:rPr>
                <w:sz w:val="20"/>
                <w:szCs w:val="20"/>
              </w:rPr>
              <w:t>P1-P3</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Potential Natural Areas (PNAs)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P1-P4</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Coastal Barrier Resources Act (CBRA) lands</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DEP</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All CBRA lands</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t>Dark Sky Regions</w:t>
            </w:r>
          </w:p>
          <w:p w:rsidR="00735518" w:rsidRPr="007567EB" w:rsidRDefault="00735518" w:rsidP="005B718C">
            <w:pPr>
              <w:tabs>
                <w:tab w:val="left" w:pos="6120"/>
                <w:tab w:val="right" w:pos="9360"/>
              </w:tabs>
              <w:spacing w:line="276" w:lineRule="auto"/>
              <w:rPr>
                <w:iCs/>
                <w:sz w:val="20"/>
                <w:szCs w:val="20"/>
              </w:rPr>
            </w:pPr>
            <w:r w:rsidRPr="007567EB">
              <w:rPr>
                <w:iCs/>
                <w:sz w:val="20"/>
                <w:szCs w:val="20"/>
              </w:rPr>
              <w:t xml:space="preserve">We </w:t>
            </w:r>
            <w:r>
              <w:rPr>
                <w:iCs/>
                <w:sz w:val="20"/>
                <w:szCs w:val="20"/>
              </w:rPr>
              <w:t>used</w:t>
            </w:r>
            <w:r w:rsidRPr="007567EB">
              <w:rPr>
                <w:iCs/>
                <w:sz w:val="20"/>
                <w:szCs w:val="20"/>
              </w:rPr>
              <w:t xml:space="preserve"> The New World Atlas of Artificial Sky Brightness GIS data available from </w:t>
            </w:r>
            <w:proofErr w:type="spellStart"/>
            <w:r w:rsidRPr="007567EB">
              <w:rPr>
                <w:rFonts w:eastAsia="Calibri"/>
                <w:sz w:val="20"/>
                <w:szCs w:val="20"/>
              </w:rPr>
              <w:t>Heimholtz</w:t>
            </w:r>
            <w:proofErr w:type="spellEnd"/>
            <w:r w:rsidRPr="007567EB">
              <w:rPr>
                <w:rFonts w:eastAsia="Calibri"/>
                <w:sz w:val="20"/>
                <w:szCs w:val="20"/>
              </w:rPr>
              <w:t xml:space="preserve"> Centre in Potsdam, Germany; </w:t>
            </w:r>
            <w:hyperlink r:id="rId5" w:history="1">
              <w:r w:rsidRPr="007567EB">
                <w:rPr>
                  <w:i/>
                  <w:sz w:val="20"/>
                  <w:szCs w:val="20"/>
                </w:rPr>
                <w:t>https://dataservices.gfz-potsdam.de/contact/showshort.php?id=escidoc:1541893&amp;contactform</w:t>
              </w:r>
            </w:hyperlink>
            <w:r w:rsidRPr="007567EB">
              <w:rPr>
                <w:i/>
                <w:sz w:val="20"/>
                <w:szCs w:val="20"/>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proofErr w:type="spellStart"/>
            <w:r w:rsidRPr="007567EB">
              <w:rPr>
                <w:rFonts w:eastAsia="Calibri"/>
                <w:sz w:val="20"/>
                <w:szCs w:val="20"/>
              </w:rPr>
              <w:t>Heimholtz</w:t>
            </w:r>
            <w:proofErr w:type="spellEnd"/>
            <w:r w:rsidRPr="007567EB">
              <w:rPr>
                <w:rFonts w:eastAsia="Calibri"/>
                <w:sz w:val="20"/>
                <w:szCs w:val="20"/>
              </w:rPr>
              <w:t xml:space="preserve"> Centre</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rFonts w:eastAsia="Calibri"/>
                <w:color w:val="404040"/>
                <w:sz w:val="20"/>
                <w:szCs w:val="20"/>
              </w:rPr>
            </w:pPr>
            <w:r w:rsidRPr="007567EB">
              <w:rPr>
                <w:rFonts w:eastAsia="Calibri"/>
                <w:sz w:val="20"/>
                <w:szCs w:val="20"/>
              </w:rPr>
              <w:t xml:space="preserve">We compared these data to the two official dark sky parks in Florida (Kissimmee Prairie State Preserve and Big Cypress National Preserve) to determine the mean and standard deviation of night sky brightness in these two </w:t>
            </w:r>
            <w:r w:rsidRPr="007567EB">
              <w:rPr>
                <w:rFonts w:eastAsia="Calibri"/>
                <w:sz w:val="20"/>
                <w:szCs w:val="20"/>
              </w:rPr>
              <w:lastRenderedPageBreak/>
              <w:t xml:space="preserve">parks and identified all areas in Florida below this mean or within 1 standard deviation of the mean as additional dark sky areas with </w:t>
            </w:r>
            <w:proofErr w:type="spellStart"/>
            <w:r w:rsidRPr="007567EB">
              <w:rPr>
                <w:rFonts w:eastAsia="Calibri"/>
                <w:sz w:val="20"/>
                <w:szCs w:val="20"/>
              </w:rPr>
              <w:t>nighttime</w:t>
            </w:r>
            <w:proofErr w:type="spellEnd"/>
            <w:r w:rsidRPr="007567EB">
              <w:rPr>
                <w:rFonts w:eastAsia="Calibri"/>
                <w:sz w:val="20"/>
                <w:szCs w:val="20"/>
              </w:rPr>
              <w:t xml:space="preserve"> ecological conditions related to protected large, intact landscapes with low human disturbance.</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6120"/>
                <w:tab w:val="right" w:pos="9360"/>
              </w:tabs>
              <w:spacing w:line="276" w:lineRule="auto"/>
              <w:ind w:left="342" w:hanging="360"/>
              <w:rPr>
                <w:i/>
                <w:sz w:val="20"/>
                <w:szCs w:val="20"/>
              </w:rPr>
            </w:pPr>
            <w:r w:rsidRPr="007567EB">
              <w:rPr>
                <w:i/>
                <w:sz w:val="20"/>
                <w:szCs w:val="20"/>
              </w:rPr>
              <w:lastRenderedPageBreak/>
              <w:t>Air Force Conservation Partnership Priority Focal Species Habitat</w:t>
            </w:r>
          </w:p>
          <w:p w:rsidR="00735518" w:rsidRPr="007567EB" w:rsidRDefault="00735518" w:rsidP="005B718C">
            <w:pPr>
              <w:tabs>
                <w:tab w:val="left" w:pos="6120"/>
                <w:tab w:val="right" w:pos="9360"/>
              </w:tabs>
              <w:spacing w:line="276" w:lineRule="auto"/>
              <w:rPr>
                <w:iCs/>
                <w:sz w:val="20"/>
                <w:szCs w:val="20"/>
              </w:rPr>
            </w:pPr>
            <w:r w:rsidRPr="007567EB">
              <w:rPr>
                <w:iCs/>
                <w:sz w:val="20"/>
                <w:szCs w:val="20"/>
              </w:rPr>
              <w:t>We worked with the USFWS and the Air Force to identify habitat</w:t>
            </w:r>
            <w:r>
              <w:rPr>
                <w:iCs/>
                <w:sz w:val="20"/>
                <w:szCs w:val="20"/>
              </w:rPr>
              <w:t xml:space="preserve"> </w:t>
            </w:r>
            <w:r w:rsidRPr="007567EB">
              <w:rPr>
                <w:iCs/>
                <w:sz w:val="20"/>
                <w:szCs w:val="20"/>
              </w:rPr>
              <w:t>conservation priority areas adjacent or near Florida Air Force installations across the state. These habitat areas were prioritized based on proximity to installations or related conservation lands, patch size, and landscape integrity, and they represent significant landscape conservation opportunities that can also functionally buffer Air Force installations across the state.</w:t>
            </w:r>
          </w:p>
        </w:tc>
        <w:tc>
          <w:tcPr>
            <w:tcW w:w="1538"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US Air Force, USFWS, University of Florida, FNAI, FWC</w:t>
            </w:r>
          </w:p>
        </w:tc>
        <w:tc>
          <w:tcPr>
            <w:tcW w:w="2390"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All high priority focal species habitat (top third of ranked habitat priorities)</w:t>
            </w:r>
          </w:p>
        </w:tc>
      </w:tr>
      <w:tr w:rsidR="00735518" w:rsidRPr="007567EB" w:rsidTr="005B718C">
        <w:tc>
          <w:tcPr>
            <w:tcW w:w="6080" w:type="dxa"/>
            <w:tcBorders>
              <w:top w:val="single" w:sz="4" w:space="0" w:color="auto"/>
              <w:left w:val="single" w:sz="4" w:space="0" w:color="auto"/>
              <w:bottom w:val="single" w:sz="4" w:space="0" w:color="auto"/>
              <w:right w:val="single" w:sz="4" w:space="0" w:color="auto"/>
            </w:tcBorders>
          </w:tcPr>
          <w:p w:rsidR="00735518" w:rsidRPr="007567EB" w:rsidRDefault="00735518" w:rsidP="005B718C">
            <w:pPr>
              <w:spacing w:line="276" w:lineRule="auto"/>
              <w:rPr>
                <w:color w:val="000000"/>
                <w:sz w:val="20"/>
                <w:szCs w:val="20"/>
                <w:shd w:val="clear" w:color="auto" w:fill="FFFFFF"/>
              </w:rPr>
            </w:pPr>
            <w:r w:rsidRPr="007567EB">
              <w:rPr>
                <w:i/>
                <w:iCs/>
                <w:sz w:val="20"/>
                <w:szCs w:val="20"/>
              </w:rPr>
              <w:t>Landscape Integrity</w:t>
            </w:r>
            <w:r w:rsidRPr="007567EB">
              <w:rPr>
                <w:color w:val="000000"/>
                <w:sz w:val="20"/>
                <w:szCs w:val="20"/>
                <w:shd w:val="clear" w:color="auto" w:fill="FFFFFF"/>
              </w:rPr>
              <w:t xml:space="preserve"> </w:t>
            </w:r>
            <w:r>
              <w:rPr>
                <w:color w:val="000000"/>
                <w:sz w:val="20"/>
                <w:szCs w:val="20"/>
                <w:shd w:val="clear" w:color="auto" w:fill="FFFFFF"/>
              </w:rPr>
              <w:t xml:space="preserve">was </w:t>
            </w:r>
            <w:r w:rsidRPr="007567EB">
              <w:rPr>
                <w:color w:val="000000"/>
                <w:sz w:val="20"/>
                <w:szCs w:val="20"/>
                <w:shd w:val="clear" w:color="auto" w:fill="FFFFFF"/>
              </w:rPr>
              <w:t xml:space="preserve">first created for the Florida Critical Lands and Waters Identification Project in 2006 under the direction of another Technical Advisory Group to serve as an index of landscape-scale ecological integrity </w:t>
            </w:r>
            <w:r w:rsidRPr="007567EB">
              <w:rPr>
                <w:sz w:val="20"/>
              </w:rPr>
              <w:t>(</w:t>
            </w:r>
            <w:proofErr w:type="spellStart"/>
            <w:r w:rsidRPr="007567EB">
              <w:rPr>
                <w:sz w:val="20"/>
              </w:rPr>
              <w:t>Oetting</w:t>
            </w:r>
            <w:proofErr w:type="spellEnd"/>
            <w:r w:rsidRPr="007567EB">
              <w:rPr>
                <w:sz w:val="20"/>
              </w:rPr>
              <w:t xml:space="preserve"> et al. 2016)</w:t>
            </w:r>
            <w:r w:rsidRPr="007567EB">
              <w:rPr>
                <w:color w:val="000000"/>
                <w:sz w:val="20"/>
                <w:szCs w:val="20"/>
                <w:shd w:val="clear" w:color="auto" w:fill="FFFFFF"/>
              </w:rPr>
              <w:t>; the</w:t>
            </w:r>
            <w:r>
              <w:rPr>
                <w:color w:val="000000"/>
                <w:sz w:val="20"/>
                <w:szCs w:val="20"/>
                <w:shd w:val="clear" w:color="auto" w:fill="FFFFFF"/>
              </w:rPr>
              <w:t xml:space="preserve"> most recent</w:t>
            </w:r>
            <w:r w:rsidRPr="007567EB">
              <w:rPr>
                <w:color w:val="000000"/>
                <w:sz w:val="20"/>
                <w:szCs w:val="20"/>
                <w:shd w:val="clear" w:color="auto" w:fill="FFFFFF"/>
              </w:rPr>
              <w:t xml:space="preserve"> Landscape Integrity layer was created using a combination of Land Use Intensity (LUI) and landscape patch size from the Florida Cooperative Land Cover (CLC) 3.4, a natural community-focused land cover product created through interpretation of aerial imagery by FWC and FNAI </w:t>
            </w:r>
            <w:r w:rsidRPr="007567EB">
              <w:rPr>
                <w:sz w:val="20"/>
                <w:szCs w:val="20"/>
              </w:rPr>
              <w:t>(Peninsular Florida Landscape Conservation Cooperative, 2020)</w:t>
            </w:r>
            <w:r w:rsidRPr="007567EB">
              <w:rPr>
                <w:color w:val="000000"/>
                <w:sz w:val="20"/>
                <w:szCs w:val="20"/>
                <w:shd w:val="clear" w:color="auto" w:fill="FFFFFF"/>
              </w:rPr>
              <w:t xml:space="preserve">. LUI was assessed by </w:t>
            </w:r>
            <w:r>
              <w:rPr>
                <w:color w:val="000000"/>
                <w:sz w:val="20"/>
                <w:szCs w:val="20"/>
                <w:shd w:val="clear" w:color="auto" w:fill="FFFFFF"/>
              </w:rPr>
              <w:t>reclassifying</w:t>
            </w:r>
            <w:r w:rsidRPr="007567EB">
              <w:rPr>
                <w:color w:val="000000"/>
                <w:sz w:val="20"/>
                <w:szCs w:val="20"/>
                <w:shd w:val="clear" w:color="auto" w:fill="FFFFFF"/>
              </w:rPr>
              <w:t xml:space="preserve"> all site-level categorizations of land cover into five general land cover/land use categories—natural, </w:t>
            </w:r>
            <w:proofErr w:type="spellStart"/>
            <w:r w:rsidRPr="007567EB">
              <w:rPr>
                <w:color w:val="000000"/>
                <w:sz w:val="20"/>
                <w:szCs w:val="20"/>
                <w:shd w:val="clear" w:color="auto" w:fill="FFFFFF"/>
              </w:rPr>
              <w:t>seminatural</w:t>
            </w:r>
            <w:proofErr w:type="spellEnd"/>
            <w:r w:rsidRPr="007567EB">
              <w:rPr>
                <w:color w:val="000000"/>
                <w:sz w:val="20"/>
                <w:szCs w:val="20"/>
                <w:shd w:val="clear" w:color="auto" w:fill="FFFFFF"/>
              </w:rPr>
              <w:t>, improved pasture, agricultural/low-intensity development, and high-intensity development. The land-use intensity was ranked using this reclassified layer, and a moving window (</w:t>
            </w:r>
            <w:proofErr w:type="spellStart"/>
            <w:r w:rsidRPr="007567EB">
              <w:rPr>
                <w:color w:val="000000"/>
                <w:sz w:val="20"/>
                <w:szCs w:val="20"/>
                <w:shd w:val="clear" w:color="auto" w:fill="FFFFFF"/>
              </w:rPr>
              <w:t>neighborhood</w:t>
            </w:r>
            <w:proofErr w:type="spellEnd"/>
            <w:r w:rsidRPr="007567EB">
              <w:rPr>
                <w:color w:val="000000"/>
                <w:sz w:val="20"/>
                <w:szCs w:val="20"/>
                <w:shd w:val="clear" w:color="auto" w:fill="FFFFFF"/>
              </w:rPr>
              <w:t xml:space="preserve">) analysis was conducted in ArcGIS Pro at three scales (4 ha, 40 ha, and 400 ha) in combination. Patch Size Index (PSI) identified contiguous patches not fragmented by large roads, waterbodies, or more intensive land uses and ranked them based on area. PSI was created using reclassified CLC data into two categories of natural and </w:t>
            </w:r>
            <w:proofErr w:type="spellStart"/>
            <w:r w:rsidRPr="007567EB">
              <w:rPr>
                <w:color w:val="000000"/>
                <w:sz w:val="20"/>
                <w:szCs w:val="20"/>
                <w:shd w:val="clear" w:color="auto" w:fill="FFFFFF"/>
              </w:rPr>
              <w:t>seminatural</w:t>
            </w:r>
            <w:proofErr w:type="spellEnd"/>
            <w:r w:rsidRPr="007567EB">
              <w:rPr>
                <w:color w:val="000000"/>
                <w:sz w:val="20"/>
                <w:szCs w:val="20"/>
                <w:shd w:val="clear" w:color="auto" w:fill="FFFFFF"/>
              </w:rPr>
              <w:t xml:space="preserve"> land cover patches, with areas </w:t>
            </w:r>
            <w:r>
              <w:rPr>
                <w:color w:val="000000"/>
                <w:sz w:val="20"/>
                <w:szCs w:val="20"/>
                <w:shd w:val="clear" w:color="auto" w:fill="FFFFFF"/>
              </w:rPr>
              <w:t>fragmented by</w:t>
            </w:r>
            <w:r w:rsidRPr="007567EB">
              <w:rPr>
                <w:color w:val="000000"/>
                <w:sz w:val="20"/>
                <w:szCs w:val="20"/>
                <w:shd w:val="clear" w:color="auto" w:fill="FFFFFF"/>
              </w:rPr>
              <w:t xml:space="preserve"> primary highways (identified based on lane number and average daily traffic) and then grouped into distinct patches in ArcGIS Pro. LUI and PSI were combined and averaged to create the Landscape Integrity layer. </w:t>
            </w:r>
          </w:p>
          <w:p w:rsidR="00735518" w:rsidRPr="007567EB" w:rsidRDefault="00735518" w:rsidP="005B718C">
            <w:pPr>
              <w:pStyle w:val="Heading3"/>
              <w:rPr>
                <w:rFonts w:ascii="Times New Roman" w:hAnsi="Times New Roman" w:cs="Times New Roman"/>
                <w:sz w:val="20"/>
                <w:szCs w:val="20"/>
              </w:rPr>
            </w:pPr>
          </w:p>
        </w:tc>
        <w:tc>
          <w:tcPr>
            <w:tcW w:w="1538" w:type="dxa"/>
            <w:tcBorders>
              <w:top w:val="single" w:sz="4" w:space="0" w:color="auto"/>
              <w:left w:val="single" w:sz="4" w:space="0" w:color="auto"/>
              <w:bottom w:val="single" w:sz="4" w:space="0" w:color="auto"/>
              <w:right w:val="single" w:sz="4" w:space="0" w:color="auto"/>
            </w:tcBorders>
          </w:tcPr>
          <w:p w:rsidR="00735518" w:rsidRPr="007567EB" w:rsidRDefault="00735518" w:rsidP="005B718C">
            <w:pPr>
              <w:tabs>
                <w:tab w:val="left" w:pos="3240"/>
                <w:tab w:val="left" w:pos="6120"/>
                <w:tab w:val="right" w:pos="9360"/>
              </w:tabs>
              <w:spacing w:line="276" w:lineRule="auto"/>
              <w:rPr>
                <w:sz w:val="20"/>
                <w:szCs w:val="20"/>
              </w:rPr>
            </w:pPr>
            <w:r w:rsidRPr="007567EB">
              <w:rPr>
                <w:sz w:val="20"/>
                <w:szCs w:val="20"/>
              </w:rPr>
              <w:t>FNAI, CLCP</w:t>
            </w:r>
          </w:p>
        </w:tc>
        <w:tc>
          <w:tcPr>
            <w:tcW w:w="2390" w:type="dxa"/>
            <w:tcBorders>
              <w:top w:val="single" w:sz="4" w:space="0" w:color="auto"/>
              <w:left w:val="single" w:sz="4" w:space="0" w:color="auto"/>
              <w:bottom w:val="single" w:sz="4" w:space="0" w:color="auto"/>
              <w:right w:val="single" w:sz="4" w:space="0" w:color="auto"/>
            </w:tcBorders>
          </w:tcPr>
          <w:p w:rsidR="00735518" w:rsidRPr="007567EB" w:rsidRDefault="00735518" w:rsidP="005B718C">
            <w:pPr>
              <w:tabs>
                <w:tab w:val="left" w:pos="3240"/>
                <w:tab w:val="left" w:pos="6120"/>
                <w:tab w:val="right" w:pos="9360"/>
              </w:tabs>
              <w:spacing w:line="276" w:lineRule="auto"/>
            </w:pPr>
            <w:r w:rsidRPr="007567EB">
              <w:t xml:space="preserve">Use existing methodology combining Land Use Intensity (LUI) and Patch Size Index (PSI) based on natural and </w:t>
            </w:r>
            <w:proofErr w:type="spellStart"/>
            <w:r w:rsidRPr="007567EB">
              <w:t>seminatural</w:t>
            </w:r>
            <w:proofErr w:type="spellEnd"/>
            <w:r w:rsidRPr="007567EB">
              <w:t xml:space="preserve"> land cover patches, eliminating fragmented patches.</w:t>
            </w:r>
          </w:p>
        </w:tc>
      </w:tr>
    </w:tbl>
    <w:p w:rsidR="00735518" w:rsidRPr="007567EB" w:rsidRDefault="00735518" w:rsidP="00735518">
      <w:pPr>
        <w:spacing w:line="276" w:lineRule="auto"/>
        <w:rPr>
          <w:color w:val="000000"/>
          <w:sz w:val="20"/>
          <w:szCs w:val="20"/>
          <w:shd w:val="clear" w:color="auto" w:fill="FFFFFF"/>
        </w:rPr>
      </w:pPr>
    </w:p>
    <w:tbl>
      <w:tblPr>
        <w:tblpPr w:leftFromText="180" w:rightFromText="180" w:horzAnchor="margin" w:tblpY="-1020"/>
        <w:tblW w:w="0" w:type="auto"/>
        <w:tblCellMar>
          <w:left w:w="10" w:type="dxa"/>
          <w:right w:w="10" w:type="dxa"/>
        </w:tblCellMar>
        <w:tblLook w:val="04A0" w:firstRow="1" w:lastRow="0" w:firstColumn="1" w:lastColumn="0" w:noHBand="0" w:noVBand="1"/>
      </w:tblPr>
      <w:tblGrid>
        <w:gridCol w:w="9350"/>
      </w:tblGrid>
      <w:tr w:rsidR="00735518" w:rsidRPr="007567EB" w:rsidTr="005B718C">
        <w:tc>
          <w:tcPr>
            <w:tcW w:w="9350" w:type="dxa"/>
            <w:tcBorders>
              <w:top w:val="nil"/>
              <w:left w:val="nil"/>
              <w:bottom w:val="single" w:sz="4" w:space="0" w:color="auto"/>
              <w:right w:val="nil"/>
            </w:tcBorders>
          </w:tcPr>
          <w:p w:rsidR="00735518" w:rsidRPr="007567EB" w:rsidRDefault="00735518" w:rsidP="005B718C">
            <w:pPr>
              <w:spacing w:line="276" w:lineRule="auto"/>
              <w:rPr>
                <w:sz w:val="20"/>
                <w:szCs w:val="20"/>
              </w:rPr>
            </w:pPr>
            <w:r w:rsidRPr="007567EB">
              <w:rPr>
                <w:sz w:val="20"/>
                <w:szCs w:val="20"/>
              </w:rPr>
              <w:lastRenderedPageBreak/>
              <w:t>Appendix Table 2</w:t>
            </w:r>
            <w:r>
              <w:rPr>
                <w:sz w:val="20"/>
                <w:szCs w:val="20"/>
              </w:rPr>
              <w:t>.</w:t>
            </w:r>
            <w:r w:rsidRPr="007567EB">
              <w:rPr>
                <w:sz w:val="20"/>
                <w:szCs w:val="20"/>
              </w:rPr>
              <w:t xml:space="preserve"> Ecological Connectivity Models include:</w:t>
            </w:r>
          </w:p>
        </w:tc>
      </w:tr>
      <w:tr w:rsidR="00735518" w:rsidRPr="007567EB" w:rsidTr="005B718C">
        <w:tc>
          <w:tcPr>
            <w:tcW w:w="9350" w:type="dxa"/>
            <w:tcBorders>
              <w:top w:val="single" w:sz="4" w:space="0" w:color="auto"/>
            </w:tcBorders>
          </w:tcPr>
          <w:p w:rsidR="00735518" w:rsidRPr="007567EB" w:rsidRDefault="00735518" w:rsidP="005B718C">
            <w:pPr>
              <w:spacing w:line="276" w:lineRule="auto"/>
              <w:rPr>
                <w:sz w:val="20"/>
                <w:szCs w:val="20"/>
              </w:rPr>
            </w:pPr>
            <w:r w:rsidRPr="007567EB">
              <w:rPr>
                <w:sz w:val="20"/>
                <w:szCs w:val="20"/>
              </w:rPr>
              <w:t>1) Riverine/Riparian Corridor Buffers and Connectivity</w:t>
            </w:r>
          </w:p>
        </w:tc>
      </w:tr>
      <w:tr w:rsidR="00735518" w:rsidRPr="007567EB" w:rsidTr="005B718C">
        <w:tc>
          <w:tcPr>
            <w:tcW w:w="9350" w:type="dxa"/>
          </w:tcPr>
          <w:p w:rsidR="00735518" w:rsidRPr="007567EB" w:rsidRDefault="00735518" w:rsidP="005B718C">
            <w:pPr>
              <w:pStyle w:val="NoSpacing"/>
              <w:rPr>
                <w:rFonts w:ascii="Times New Roman" w:hAnsi="Times New Roman" w:cs="Times New Roman"/>
                <w:sz w:val="20"/>
                <w:szCs w:val="20"/>
              </w:rPr>
            </w:pPr>
            <w:r w:rsidRPr="007567EB">
              <w:rPr>
                <w:rFonts w:ascii="Times New Roman" w:hAnsi="Times New Roman" w:cs="Times New Roman"/>
                <w:sz w:val="20"/>
                <w:szCs w:val="20"/>
              </w:rPr>
              <w:t xml:space="preserve">Major river riparian connectivity is based on the 50 Florida Major Rivers and intersecting Outstanding Florida Waters </w:t>
            </w:r>
            <w:r w:rsidRPr="007567EB">
              <w:rPr>
                <w:rFonts w:ascii="Times New Roman" w:hAnsi="Times New Roman" w:cs="Times New Roman"/>
                <w:sz w:val="20"/>
              </w:rPr>
              <w:t>(FREAC 1990; FWC GIS librarian et al. 2020; FDEP 2024b)</w:t>
            </w:r>
            <w:r w:rsidRPr="007567EB">
              <w:rPr>
                <w:rFonts w:ascii="Times New Roman" w:hAnsi="Times New Roman" w:cs="Times New Roman"/>
                <w:sz w:val="20"/>
                <w:szCs w:val="20"/>
              </w:rPr>
              <w:t xml:space="preserve">. The goal was to identify areas around major rivers that could serve as buffers, protecting water sources and habitat and serving as corridors for critical species. These include St. Johns River, Peace River, Kissimmee River, Withlacoochee River, Suwannee River, </w:t>
            </w:r>
            <w:proofErr w:type="spellStart"/>
            <w:r w:rsidRPr="007567EB">
              <w:rPr>
                <w:rFonts w:ascii="Times New Roman" w:hAnsi="Times New Roman" w:cs="Times New Roman"/>
                <w:sz w:val="20"/>
                <w:szCs w:val="20"/>
              </w:rPr>
              <w:t>Steinhatchee</w:t>
            </w:r>
            <w:proofErr w:type="spellEnd"/>
            <w:r w:rsidRPr="007567EB">
              <w:rPr>
                <w:rFonts w:ascii="Times New Roman" w:hAnsi="Times New Roman" w:cs="Times New Roman"/>
                <w:sz w:val="20"/>
                <w:szCs w:val="20"/>
              </w:rPr>
              <w:t xml:space="preserve"> River, </w:t>
            </w:r>
            <w:proofErr w:type="spellStart"/>
            <w:r w:rsidRPr="007567EB">
              <w:rPr>
                <w:rFonts w:ascii="Times New Roman" w:hAnsi="Times New Roman" w:cs="Times New Roman"/>
                <w:sz w:val="20"/>
                <w:szCs w:val="20"/>
              </w:rPr>
              <w:t>Aucilla</w:t>
            </w:r>
            <w:proofErr w:type="spellEnd"/>
            <w:r w:rsidRPr="007567EB">
              <w:rPr>
                <w:rFonts w:ascii="Times New Roman" w:hAnsi="Times New Roman" w:cs="Times New Roman"/>
                <w:sz w:val="20"/>
                <w:szCs w:val="20"/>
              </w:rPr>
              <w:t xml:space="preserve"> River, St. Marks River, Ochlocknee River, Apalachicola River, </w:t>
            </w:r>
            <w:proofErr w:type="spellStart"/>
            <w:r w:rsidRPr="007567EB">
              <w:rPr>
                <w:rFonts w:ascii="Times New Roman" w:hAnsi="Times New Roman" w:cs="Times New Roman"/>
                <w:sz w:val="20"/>
                <w:szCs w:val="20"/>
              </w:rPr>
              <w:t>Chipola</w:t>
            </w:r>
            <w:proofErr w:type="spellEnd"/>
            <w:r w:rsidRPr="007567EB">
              <w:rPr>
                <w:rFonts w:ascii="Times New Roman" w:hAnsi="Times New Roman" w:cs="Times New Roman"/>
                <w:sz w:val="20"/>
                <w:szCs w:val="20"/>
              </w:rPr>
              <w:t xml:space="preserve"> River, </w:t>
            </w:r>
            <w:proofErr w:type="spellStart"/>
            <w:r w:rsidRPr="007567EB">
              <w:rPr>
                <w:rFonts w:ascii="Times New Roman" w:hAnsi="Times New Roman" w:cs="Times New Roman"/>
                <w:sz w:val="20"/>
                <w:szCs w:val="20"/>
              </w:rPr>
              <w:t>Econfina</w:t>
            </w:r>
            <w:proofErr w:type="spellEnd"/>
            <w:r w:rsidRPr="007567EB">
              <w:rPr>
                <w:rFonts w:ascii="Times New Roman" w:hAnsi="Times New Roman" w:cs="Times New Roman"/>
                <w:sz w:val="20"/>
                <w:szCs w:val="20"/>
              </w:rPr>
              <w:t xml:space="preserve"> Creek,  Choctawhatchee River, Yellow River, Escambia River, and </w:t>
            </w:r>
            <w:proofErr w:type="spellStart"/>
            <w:r w:rsidRPr="007567EB">
              <w:rPr>
                <w:rFonts w:ascii="Times New Roman" w:hAnsi="Times New Roman" w:cs="Times New Roman"/>
                <w:sz w:val="20"/>
                <w:szCs w:val="20"/>
              </w:rPr>
              <w:t>Perdido</w:t>
            </w:r>
            <w:proofErr w:type="spellEnd"/>
            <w:r w:rsidRPr="007567EB">
              <w:rPr>
                <w:rFonts w:ascii="Times New Roman" w:hAnsi="Times New Roman" w:cs="Times New Roman"/>
                <w:sz w:val="20"/>
                <w:szCs w:val="20"/>
              </w:rPr>
              <w:t xml:space="preserve"> River. The original outline was derived from the Florida Geographic Data Library's Major Rivers line shape file. Only the sections of the shape file that were identified as rivers or streams were retained. We buffered all Major Rivers and their connected Special Outstanding Florida Waters by 800 meters and included all connected compatible land uses within those buffers (all natural and </w:t>
            </w:r>
            <w:proofErr w:type="spellStart"/>
            <w:r w:rsidRPr="007567EB">
              <w:rPr>
                <w:rFonts w:ascii="Times New Roman" w:hAnsi="Times New Roman" w:cs="Times New Roman"/>
                <w:sz w:val="20"/>
                <w:szCs w:val="20"/>
              </w:rPr>
              <w:t>seminatural</w:t>
            </w:r>
            <w:proofErr w:type="spellEnd"/>
            <w:r w:rsidRPr="007567EB">
              <w:rPr>
                <w:rFonts w:ascii="Times New Roman" w:hAnsi="Times New Roman" w:cs="Times New Roman"/>
                <w:sz w:val="20"/>
                <w:szCs w:val="20"/>
              </w:rPr>
              <w:t xml:space="preserve"> land uses).</w:t>
            </w:r>
          </w:p>
          <w:p w:rsidR="00735518" w:rsidRPr="007567EB" w:rsidRDefault="00735518" w:rsidP="005B718C">
            <w:pPr>
              <w:spacing w:line="276" w:lineRule="auto"/>
              <w:rPr>
                <w:sz w:val="20"/>
                <w:szCs w:val="20"/>
              </w:rPr>
            </w:pPr>
            <w:r w:rsidRPr="007567EB">
              <w:rPr>
                <w:sz w:val="20"/>
                <w:szCs w:val="20"/>
              </w:rPr>
              <w:t xml:space="preserve">Using FNAI Cooperative Land Cover Data, all natural communities, forest plantations, and unimproved pastures/rangelands were identified. </w:t>
            </w:r>
          </w:p>
        </w:tc>
      </w:tr>
      <w:tr w:rsidR="00735518" w:rsidRPr="007567EB" w:rsidTr="005B718C">
        <w:tc>
          <w:tcPr>
            <w:tcW w:w="9350" w:type="dxa"/>
          </w:tcPr>
          <w:p w:rsidR="00735518" w:rsidRPr="007567EB" w:rsidRDefault="00735518" w:rsidP="005B718C">
            <w:pPr>
              <w:spacing w:line="276" w:lineRule="auto"/>
              <w:rPr>
                <w:sz w:val="20"/>
                <w:szCs w:val="20"/>
              </w:rPr>
            </w:pPr>
            <w:r w:rsidRPr="007567EB">
              <w:rPr>
                <w:sz w:val="20"/>
                <w:szCs w:val="20"/>
              </w:rPr>
              <w:t>2) Sea Level Rise Coastal Gradient Connectivity</w:t>
            </w:r>
          </w:p>
        </w:tc>
      </w:tr>
      <w:tr w:rsidR="00735518" w:rsidRPr="007567EB" w:rsidTr="005B718C">
        <w:tc>
          <w:tcPr>
            <w:tcW w:w="9350" w:type="dxa"/>
          </w:tcPr>
          <w:p w:rsidR="00735518" w:rsidRPr="007567EB" w:rsidRDefault="00735518" w:rsidP="005B718C">
            <w:pPr>
              <w:rPr>
                <w:sz w:val="20"/>
                <w:szCs w:val="20"/>
              </w:rPr>
            </w:pPr>
            <w:r w:rsidRPr="007567EB">
              <w:rPr>
                <w:sz w:val="20"/>
                <w:szCs w:val="20"/>
              </w:rPr>
              <w:t>The sea level rise coastal gradient connectivity analysis is a comprehensive evaluation of the likelihood that larger</w:t>
            </w:r>
            <w:r>
              <w:rPr>
                <w:sz w:val="20"/>
                <w:szCs w:val="20"/>
              </w:rPr>
              <w:t xml:space="preserve"> </w:t>
            </w:r>
            <w:r w:rsidRPr="007567EB">
              <w:rPr>
                <w:sz w:val="20"/>
                <w:szCs w:val="20"/>
              </w:rPr>
              <w:t>areas</w:t>
            </w:r>
            <w:r>
              <w:rPr>
                <w:sz w:val="20"/>
                <w:szCs w:val="20"/>
              </w:rPr>
              <w:t xml:space="preserve"> with higher landscape integrity</w:t>
            </w:r>
            <w:r w:rsidRPr="007567EB">
              <w:rPr>
                <w:sz w:val="20"/>
                <w:szCs w:val="20"/>
              </w:rPr>
              <w:t xml:space="preserve"> will be available for native species to retreat/migrate from current coastlines to locations beyond a predicted 3-meter sea level rise</w:t>
            </w:r>
            <w:r>
              <w:rPr>
                <w:sz w:val="20"/>
                <w:szCs w:val="20"/>
              </w:rPr>
              <w:t xml:space="preserve"> (SLR)</w:t>
            </w:r>
            <w:r w:rsidRPr="007567EB">
              <w:rPr>
                <w:sz w:val="20"/>
                <w:szCs w:val="20"/>
              </w:rPr>
              <w:t xml:space="preserve">. All areas with a CLIP 4.0 Landscape Integrity index score of 5 or higher, which includes all natural and </w:t>
            </w:r>
            <w:proofErr w:type="spellStart"/>
            <w:r w:rsidRPr="007567EB">
              <w:rPr>
                <w:sz w:val="20"/>
                <w:szCs w:val="20"/>
              </w:rPr>
              <w:t>seminatural</w:t>
            </w:r>
            <w:proofErr w:type="spellEnd"/>
            <w:r w:rsidRPr="007567EB">
              <w:rPr>
                <w:sz w:val="20"/>
                <w:szCs w:val="20"/>
              </w:rPr>
              <w:t xml:space="preserve"> land uses</w:t>
            </w:r>
            <w:r>
              <w:rPr>
                <w:sz w:val="20"/>
                <w:szCs w:val="20"/>
              </w:rPr>
              <w:t xml:space="preserve"> in areas dominated by low intensity land uses</w:t>
            </w:r>
            <w:r w:rsidRPr="007567EB">
              <w:rPr>
                <w:sz w:val="20"/>
                <w:szCs w:val="20"/>
              </w:rPr>
              <w:t>, were included</w:t>
            </w:r>
            <w:r>
              <w:rPr>
                <w:sz w:val="20"/>
                <w:szCs w:val="20"/>
              </w:rPr>
              <w:t xml:space="preserve"> where they provided continuous paths from current coastal natural communities inland as far as 2 miles beyond a projected 3-meter SLR</w:t>
            </w:r>
            <w:r w:rsidRPr="007567EB">
              <w:rPr>
                <w:sz w:val="20"/>
                <w:szCs w:val="20"/>
              </w:rPr>
              <w:t xml:space="preserve">. See 2013's previous FEGN update for a detailed description of methods </w:t>
            </w:r>
            <w:r w:rsidRPr="007567EB">
              <w:rPr>
                <w:sz w:val="20"/>
              </w:rPr>
              <w:t>(</w:t>
            </w:r>
            <w:proofErr w:type="spellStart"/>
            <w:r w:rsidRPr="007567EB">
              <w:rPr>
                <w:sz w:val="20"/>
              </w:rPr>
              <w:t>Hoctor</w:t>
            </w:r>
            <w:proofErr w:type="spellEnd"/>
            <w:r w:rsidRPr="007567EB">
              <w:rPr>
                <w:sz w:val="20"/>
              </w:rPr>
              <w:t xml:space="preserve"> et al. 2013)</w:t>
            </w:r>
            <w:r>
              <w:rPr>
                <w:sz w:val="20"/>
                <w:szCs w:val="20"/>
              </w:rPr>
              <w:t>.</w:t>
            </w:r>
          </w:p>
        </w:tc>
      </w:tr>
      <w:tr w:rsidR="00735518" w:rsidRPr="007567EB" w:rsidTr="005B718C">
        <w:tc>
          <w:tcPr>
            <w:tcW w:w="9350" w:type="dxa"/>
          </w:tcPr>
          <w:p w:rsidR="00735518" w:rsidRPr="007567EB" w:rsidRDefault="00735518" w:rsidP="005B718C">
            <w:pPr>
              <w:spacing w:line="276" w:lineRule="auto"/>
              <w:rPr>
                <w:sz w:val="20"/>
                <w:szCs w:val="20"/>
              </w:rPr>
            </w:pPr>
            <w:r w:rsidRPr="007567EB">
              <w:rPr>
                <w:sz w:val="20"/>
                <w:szCs w:val="20"/>
              </w:rPr>
              <w:t>3) Xeric Natural Community Connectivity</w:t>
            </w:r>
          </w:p>
        </w:tc>
      </w:tr>
      <w:tr w:rsidR="00735518" w:rsidRPr="007567EB" w:rsidTr="005B718C">
        <w:tc>
          <w:tcPr>
            <w:tcW w:w="9350" w:type="dxa"/>
          </w:tcPr>
          <w:p w:rsidR="00735518" w:rsidRPr="007567EB" w:rsidRDefault="00735518" w:rsidP="005B718C">
            <w:pPr>
              <w:pStyle w:val="NoSpacing"/>
              <w:rPr>
                <w:rFonts w:ascii="Times New Roman" w:hAnsi="Times New Roman" w:cs="Times New Roman"/>
                <w:sz w:val="20"/>
                <w:szCs w:val="20"/>
              </w:rPr>
            </w:pPr>
            <w:r w:rsidRPr="007567EB">
              <w:rPr>
                <w:rFonts w:ascii="Times New Roman" w:hAnsi="Times New Roman" w:cs="Times New Roman"/>
                <w:sz w:val="20"/>
                <w:szCs w:val="20"/>
              </w:rPr>
              <w:t xml:space="preserve">The Xeric Natural Community Connectivity model identifies all </w:t>
            </w:r>
            <w:r>
              <w:rPr>
                <w:rFonts w:ascii="Times New Roman" w:hAnsi="Times New Roman" w:cs="Times New Roman"/>
                <w:sz w:val="20"/>
                <w:szCs w:val="20"/>
              </w:rPr>
              <w:t>x</w:t>
            </w:r>
            <w:r w:rsidRPr="007567EB">
              <w:rPr>
                <w:rFonts w:ascii="Times New Roman" w:hAnsi="Times New Roman" w:cs="Times New Roman"/>
                <w:sz w:val="20"/>
                <w:szCs w:val="20"/>
              </w:rPr>
              <w:t xml:space="preserve">eric natural community patches (upland pine, scrub, </w:t>
            </w:r>
            <w:proofErr w:type="spellStart"/>
            <w:r w:rsidRPr="007567EB">
              <w:rPr>
                <w:rFonts w:ascii="Times New Roman" w:hAnsi="Times New Roman" w:cs="Times New Roman"/>
                <w:sz w:val="20"/>
                <w:szCs w:val="20"/>
              </w:rPr>
              <w:t>sandhill</w:t>
            </w:r>
            <w:proofErr w:type="spellEnd"/>
            <w:r w:rsidRPr="007567EB">
              <w:rPr>
                <w:rFonts w:ascii="Times New Roman" w:hAnsi="Times New Roman" w:cs="Times New Roman"/>
                <w:sz w:val="20"/>
                <w:szCs w:val="20"/>
              </w:rPr>
              <w:t>, and scrubby flatwoods) of 4 ha or larger patches as sources. The patch size was selected based on discussion with the TAG to align with focal species needs and xeric natural community processes. The impedance surface includes suitable soils for gopher tortoise (</w:t>
            </w:r>
            <w:proofErr w:type="spellStart"/>
            <w:r w:rsidRPr="007567EB">
              <w:rPr>
                <w:rFonts w:ascii="Times New Roman" w:hAnsi="Times New Roman" w:cs="Times New Roman"/>
                <w:i/>
                <w:iCs/>
                <w:sz w:val="20"/>
                <w:szCs w:val="20"/>
              </w:rPr>
              <w:t>Gopherus</w:t>
            </w:r>
            <w:proofErr w:type="spellEnd"/>
            <w:r w:rsidRPr="007567EB">
              <w:rPr>
                <w:rFonts w:ascii="Times New Roman" w:hAnsi="Times New Roman" w:cs="Times New Roman"/>
                <w:i/>
                <w:iCs/>
                <w:sz w:val="20"/>
                <w:szCs w:val="20"/>
              </w:rPr>
              <w:t xml:space="preserve"> </w:t>
            </w:r>
            <w:proofErr w:type="spellStart"/>
            <w:r w:rsidRPr="007567EB">
              <w:rPr>
                <w:rFonts w:ascii="Times New Roman" w:hAnsi="Times New Roman" w:cs="Times New Roman"/>
                <w:i/>
                <w:iCs/>
                <w:sz w:val="20"/>
                <w:szCs w:val="20"/>
              </w:rPr>
              <w:t>polyphemus</w:t>
            </w:r>
            <w:proofErr w:type="spellEnd"/>
            <w:r w:rsidRPr="007567EB">
              <w:rPr>
                <w:rFonts w:ascii="Times New Roman" w:hAnsi="Times New Roman" w:cs="Times New Roman"/>
                <w:sz w:val="20"/>
                <w:szCs w:val="20"/>
              </w:rPr>
              <w:t xml:space="preserve">) (USDA NRCS 2019) on natural or </w:t>
            </w:r>
            <w:proofErr w:type="spellStart"/>
            <w:r w:rsidRPr="007567EB">
              <w:rPr>
                <w:rFonts w:ascii="Times New Roman" w:hAnsi="Times New Roman" w:cs="Times New Roman"/>
                <w:sz w:val="20"/>
                <w:szCs w:val="20"/>
              </w:rPr>
              <w:t>seminatural</w:t>
            </w:r>
            <w:proofErr w:type="spellEnd"/>
            <w:r w:rsidRPr="007567EB">
              <w:rPr>
                <w:rFonts w:ascii="Times New Roman" w:hAnsi="Times New Roman" w:cs="Times New Roman"/>
                <w:sz w:val="20"/>
                <w:szCs w:val="20"/>
              </w:rPr>
              <w:t xml:space="preserve"> land uses with Landscape Integrity index scores of 6 or greater based on an integrity index scale of 1-10, where a six or higher represents areas dominated by natural and </w:t>
            </w:r>
            <w:proofErr w:type="spellStart"/>
            <w:r w:rsidRPr="007567EB">
              <w:rPr>
                <w:rFonts w:ascii="Times New Roman" w:hAnsi="Times New Roman" w:cs="Times New Roman"/>
                <w:sz w:val="20"/>
                <w:szCs w:val="20"/>
              </w:rPr>
              <w:t>seminatural</w:t>
            </w:r>
            <w:proofErr w:type="spellEnd"/>
            <w:r w:rsidRPr="007567EB">
              <w:rPr>
                <w:rFonts w:ascii="Times New Roman" w:hAnsi="Times New Roman" w:cs="Times New Roman"/>
                <w:sz w:val="20"/>
                <w:szCs w:val="20"/>
              </w:rPr>
              <w:t xml:space="preserve"> land uses. Connections narrower than 60 meters wide or further than 2.4 kilometers from source patches were removed based on home range and dispersal considerations for Florida scrub-jay (</w:t>
            </w:r>
            <w:proofErr w:type="spellStart"/>
            <w:r w:rsidRPr="007567EB">
              <w:rPr>
                <w:rFonts w:ascii="Times New Roman" w:hAnsi="Times New Roman" w:cs="Times New Roman"/>
                <w:i/>
                <w:iCs/>
                <w:sz w:val="20"/>
                <w:szCs w:val="20"/>
              </w:rPr>
              <w:t>Aphelocoma</w:t>
            </w:r>
            <w:proofErr w:type="spellEnd"/>
            <w:r w:rsidRPr="007567EB">
              <w:rPr>
                <w:rFonts w:ascii="Times New Roman" w:hAnsi="Times New Roman" w:cs="Times New Roman"/>
                <w:i/>
                <w:iCs/>
                <w:sz w:val="20"/>
                <w:szCs w:val="20"/>
              </w:rPr>
              <w:t xml:space="preserve"> </w:t>
            </w:r>
            <w:proofErr w:type="spellStart"/>
            <w:r w:rsidRPr="007567EB">
              <w:rPr>
                <w:rFonts w:ascii="Times New Roman" w:hAnsi="Times New Roman" w:cs="Times New Roman"/>
                <w:i/>
                <w:iCs/>
                <w:sz w:val="20"/>
                <w:szCs w:val="20"/>
              </w:rPr>
              <w:t>coerulescens</w:t>
            </w:r>
            <w:proofErr w:type="spellEnd"/>
            <w:r w:rsidRPr="007567EB">
              <w:rPr>
                <w:rFonts w:ascii="Times New Roman" w:hAnsi="Times New Roman" w:cs="Times New Roman"/>
                <w:sz w:val="20"/>
                <w:szCs w:val="20"/>
              </w:rPr>
              <w:t xml:space="preserve">) and gopher tortoise </w:t>
            </w:r>
            <w:r w:rsidRPr="007567EB">
              <w:rPr>
                <w:rFonts w:ascii="Times New Roman" w:hAnsi="Times New Roman" w:cs="Times New Roman"/>
                <w:sz w:val="20"/>
                <w:szCs w:val="20"/>
                <w:lang w:val="da-DK"/>
              </w:rPr>
              <w:t xml:space="preserve">(Breininger 1999; Eubanks et al. 2003; Coulon et al. 2010; Hoctor et al. 2013). </w:t>
            </w:r>
            <w:r w:rsidRPr="007567EB">
              <w:rPr>
                <w:rFonts w:ascii="Times New Roman" w:hAnsi="Times New Roman" w:cs="Times New Roman"/>
                <w:sz w:val="20"/>
                <w:szCs w:val="20"/>
              </w:rPr>
              <w:t xml:space="preserve">Only source patches and connectivity areas linking at least two xeric natural community patches were retained. See 2013's previous FEGN update for a detailed description of methods </w:t>
            </w:r>
            <w:r w:rsidRPr="007567EB">
              <w:rPr>
                <w:rFonts w:ascii="Times New Roman" w:hAnsi="Times New Roman" w:cs="Times New Roman"/>
                <w:sz w:val="20"/>
              </w:rPr>
              <w:t>(</w:t>
            </w:r>
            <w:proofErr w:type="spellStart"/>
            <w:r w:rsidRPr="007567EB">
              <w:rPr>
                <w:rFonts w:ascii="Times New Roman" w:hAnsi="Times New Roman" w:cs="Times New Roman"/>
                <w:sz w:val="20"/>
              </w:rPr>
              <w:t>Hoctor</w:t>
            </w:r>
            <w:proofErr w:type="spellEnd"/>
            <w:r w:rsidRPr="007567EB">
              <w:rPr>
                <w:rFonts w:ascii="Times New Roman" w:hAnsi="Times New Roman" w:cs="Times New Roman"/>
                <w:sz w:val="20"/>
              </w:rPr>
              <w:t xml:space="preserve"> et al. 2013)</w:t>
            </w:r>
            <w:r>
              <w:rPr>
                <w:rFonts w:ascii="Times New Roman" w:hAnsi="Times New Roman" w:cs="Times New Roman"/>
                <w:sz w:val="20"/>
                <w:szCs w:val="20"/>
              </w:rPr>
              <w:t>.</w:t>
            </w:r>
            <w:r w:rsidRPr="007567EB">
              <w:rPr>
                <w:rFonts w:ascii="Times New Roman" w:hAnsi="Times New Roman" w:cs="Times New Roman"/>
                <w:sz w:val="20"/>
                <w:szCs w:val="20"/>
              </w:rPr>
              <w:tab/>
            </w:r>
            <w:r w:rsidRPr="007567EB">
              <w:rPr>
                <w:rFonts w:ascii="Times New Roman" w:hAnsi="Times New Roman" w:cs="Times New Roman"/>
                <w:sz w:val="20"/>
                <w:szCs w:val="20"/>
              </w:rPr>
              <w:tab/>
            </w:r>
          </w:p>
        </w:tc>
      </w:tr>
      <w:tr w:rsidR="00735518" w:rsidRPr="007567EB" w:rsidTr="005B718C">
        <w:tc>
          <w:tcPr>
            <w:tcW w:w="9350" w:type="dxa"/>
          </w:tcPr>
          <w:p w:rsidR="00735518" w:rsidRPr="007567EB" w:rsidRDefault="00735518" w:rsidP="005B718C">
            <w:pPr>
              <w:spacing w:line="276" w:lineRule="auto"/>
              <w:rPr>
                <w:sz w:val="20"/>
                <w:szCs w:val="20"/>
              </w:rPr>
            </w:pPr>
            <w:r w:rsidRPr="007567EB">
              <w:rPr>
                <w:sz w:val="20"/>
                <w:szCs w:val="20"/>
              </w:rPr>
              <w:t>4) Florida Black Bear Habitat Connectivity</w:t>
            </w:r>
          </w:p>
        </w:tc>
      </w:tr>
      <w:tr w:rsidR="00735518" w:rsidRPr="007567EB" w:rsidTr="005B718C">
        <w:tc>
          <w:tcPr>
            <w:tcW w:w="9350" w:type="dxa"/>
          </w:tcPr>
          <w:p w:rsidR="00735518" w:rsidRPr="007567EB" w:rsidRDefault="00735518" w:rsidP="005B718C">
            <w:pPr>
              <w:pStyle w:val="NoSpacing"/>
              <w:rPr>
                <w:rFonts w:ascii="Times New Roman" w:hAnsi="Times New Roman" w:cs="Times New Roman"/>
                <w:sz w:val="20"/>
                <w:szCs w:val="20"/>
              </w:rPr>
            </w:pPr>
            <w:bookmarkStart w:id="4" w:name="_Hlk73396624"/>
            <w:r w:rsidRPr="007567EB">
              <w:rPr>
                <w:rFonts w:ascii="Times New Roman" w:hAnsi="Times New Roman" w:cs="Times New Roman"/>
                <w:sz w:val="20"/>
                <w:szCs w:val="20"/>
              </w:rPr>
              <w:t xml:space="preserve">Florida Black Bear Habitat and Connectivity were modeled using the inverse of the recent University of Maryland’s Florida black bear </w:t>
            </w:r>
            <w:proofErr w:type="spellStart"/>
            <w:r w:rsidRPr="007567EB">
              <w:rPr>
                <w:rFonts w:ascii="Times New Roman" w:hAnsi="Times New Roman" w:cs="Times New Roman"/>
                <w:sz w:val="20"/>
                <w:szCs w:val="20"/>
              </w:rPr>
              <w:t>Maxent</w:t>
            </w:r>
            <w:proofErr w:type="spellEnd"/>
            <w:r w:rsidRPr="007567EB">
              <w:rPr>
                <w:rFonts w:ascii="Times New Roman" w:hAnsi="Times New Roman" w:cs="Times New Roman"/>
                <w:sz w:val="20"/>
                <w:szCs w:val="20"/>
              </w:rPr>
              <w:t xml:space="preserve"> habitat model as the impedance surface (Poor et al. 2020). Sources were the larger existing conservation lands within occupied range. Hubs were the bigger protected areas </w:t>
            </w:r>
            <w:r>
              <w:rPr>
                <w:rFonts w:ascii="Times New Roman" w:hAnsi="Times New Roman" w:cs="Times New Roman"/>
                <w:sz w:val="20"/>
                <w:szCs w:val="20"/>
              </w:rPr>
              <w:t>of bear habitat</w:t>
            </w:r>
            <w:r w:rsidRPr="007567EB">
              <w:rPr>
                <w:rFonts w:ascii="Times New Roman" w:hAnsi="Times New Roman" w:cs="Times New Roman"/>
                <w:sz w:val="20"/>
                <w:szCs w:val="20"/>
              </w:rPr>
              <w:t>. The best possible bear corridors between chosen bear hubs were found using ArcGIS's Cost Distance and Corridor tools. The optimum corridor path between each pair of hubs was determined by using the Slice tool to get the 0.25-0.5 percent slice with the highest appropriateness. See 2013's previous FEGN update for a detailed description of methods (</w:t>
            </w:r>
            <w:proofErr w:type="spellStart"/>
            <w:r w:rsidRPr="007567EB">
              <w:rPr>
                <w:rFonts w:ascii="Times New Roman" w:hAnsi="Times New Roman" w:cs="Times New Roman"/>
                <w:sz w:val="20"/>
                <w:szCs w:val="20"/>
              </w:rPr>
              <w:t>Hoctor</w:t>
            </w:r>
            <w:proofErr w:type="spellEnd"/>
            <w:r w:rsidRPr="007567EB">
              <w:rPr>
                <w:rFonts w:ascii="Times New Roman" w:hAnsi="Times New Roman" w:cs="Times New Roman"/>
                <w:sz w:val="20"/>
                <w:szCs w:val="20"/>
              </w:rPr>
              <w:t xml:space="preserve"> et al. 2013).  </w:t>
            </w:r>
          </w:p>
        </w:tc>
      </w:tr>
      <w:bookmarkEnd w:id="4"/>
      <w:tr w:rsidR="00735518" w:rsidRPr="007567EB" w:rsidTr="005B718C">
        <w:tc>
          <w:tcPr>
            <w:tcW w:w="9350" w:type="dxa"/>
          </w:tcPr>
          <w:p w:rsidR="00735518" w:rsidRPr="007567EB" w:rsidRDefault="00735518" w:rsidP="005B718C">
            <w:pPr>
              <w:spacing w:line="276" w:lineRule="auto"/>
              <w:rPr>
                <w:sz w:val="20"/>
                <w:szCs w:val="20"/>
              </w:rPr>
            </w:pPr>
            <w:r w:rsidRPr="007567EB">
              <w:rPr>
                <w:sz w:val="20"/>
                <w:szCs w:val="20"/>
              </w:rPr>
              <w:t>5) Florida Panther Habitat Connectivity</w:t>
            </w:r>
          </w:p>
        </w:tc>
      </w:tr>
      <w:tr w:rsidR="00735518" w:rsidRPr="007567EB" w:rsidTr="005B718C">
        <w:tc>
          <w:tcPr>
            <w:tcW w:w="9350" w:type="dxa"/>
          </w:tcPr>
          <w:p w:rsidR="00735518" w:rsidRPr="007567EB" w:rsidRDefault="00735518" w:rsidP="005B718C">
            <w:pPr>
              <w:pStyle w:val="NoSpacing"/>
              <w:rPr>
                <w:rFonts w:ascii="Times New Roman" w:hAnsi="Times New Roman" w:cs="Times New Roman"/>
                <w:sz w:val="20"/>
                <w:szCs w:val="20"/>
              </w:rPr>
            </w:pPr>
            <w:r w:rsidRPr="007567EB">
              <w:rPr>
                <w:rFonts w:ascii="Times New Roman" w:hAnsi="Times New Roman" w:cs="Times New Roman"/>
                <w:sz w:val="20"/>
                <w:szCs w:val="20"/>
              </w:rPr>
              <w:t xml:space="preserve">Florida Panther Habitat Connectivity was modeled using the </w:t>
            </w:r>
            <w:proofErr w:type="spellStart"/>
            <w:r w:rsidRPr="007567EB">
              <w:rPr>
                <w:rFonts w:ascii="Times New Roman" w:hAnsi="Times New Roman" w:cs="Times New Roman"/>
                <w:sz w:val="20"/>
                <w:szCs w:val="20"/>
              </w:rPr>
              <w:t>Frakes</w:t>
            </w:r>
            <w:proofErr w:type="spellEnd"/>
            <w:r w:rsidRPr="007567EB">
              <w:rPr>
                <w:rFonts w:ascii="Times New Roman" w:hAnsi="Times New Roman" w:cs="Times New Roman"/>
                <w:sz w:val="20"/>
                <w:szCs w:val="20"/>
              </w:rPr>
              <w:t xml:space="preserve"> et al. (2015) random forest habitat model and inverted using a negative exponential transformation (-8) as the impedance surface</w:t>
            </w:r>
            <w:r>
              <w:rPr>
                <w:rFonts w:ascii="Times New Roman" w:hAnsi="Times New Roman" w:cs="Times New Roman"/>
                <w:sz w:val="20"/>
                <w:szCs w:val="20"/>
              </w:rPr>
              <w:t xml:space="preserve"> (Also see </w:t>
            </w:r>
            <w:proofErr w:type="spellStart"/>
            <w:r>
              <w:rPr>
                <w:rFonts w:ascii="Times New Roman" w:hAnsi="Times New Roman" w:cs="Times New Roman"/>
                <w:sz w:val="20"/>
                <w:szCs w:val="20"/>
              </w:rPr>
              <w:t>Frakes</w:t>
            </w:r>
            <w:proofErr w:type="spellEnd"/>
            <w:r>
              <w:rPr>
                <w:rFonts w:ascii="Times New Roman" w:hAnsi="Times New Roman" w:cs="Times New Roman"/>
                <w:sz w:val="20"/>
                <w:szCs w:val="20"/>
              </w:rPr>
              <w:t xml:space="preserve"> and Knight 2021).</w:t>
            </w:r>
            <w:r w:rsidRPr="007567EB">
              <w:rPr>
                <w:rFonts w:ascii="Times New Roman" w:hAnsi="Times New Roman" w:cs="Times New Roman"/>
                <w:sz w:val="20"/>
                <w:szCs w:val="20"/>
              </w:rPr>
              <w:t xml:space="preserve"> Sources were the larger existing conservation lands (200 km</w:t>
            </w:r>
            <w:r w:rsidRPr="007567EB">
              <w:rPr>
                <w:rFonts w:ascii="Times New Roman" w:hAnsi="Times New Roman" w:cs="Times New Roman"/>
                <w:sz w:val="20"/>
                <w:szCs w:val="20"/>
                <w:vertAlign w:val="superscript"/>
              </w:rPr>
              <w:t>2</w:t>
            </w:r>
            <w:r w:rsidRPr="007567EB">
              <w:rPr>
                <w:rFonts w:ascii="Times New Roman" w:hAnsi="Times New Roman" w:cs="Times New Roman"/>
                <w:sz w:val="20"/>
                <w:szCs w:val="20"/>
              </w:rPr>
              <w:t xml:space="preserve">) within areas identified as potential habitat by </w:t>
            </w:r>
            <w:proofErr w:type="spellStart"/>
            <w:r w:rsidRPr="007567EB">
              <w:rPr>
                <w:rFonts w:ascii="Times New Roman" w:hAnsi="Times New Roman" w:cs="Times New Roman"/>
                <w:sz w:val="20"/>
                <w:szCs w:val="20"/>
              </w:rPr>
              <w:t>Frakes</w:t>
            </w:r>
            <w:proofErr w:type="spellEnd"/>
            <w:r w:rsidRPr="007567EB">
              <w:rPr>
                <w:rFonts w:ascii="Times New Roman" w:hAnsi="Times New Roman" w:cs="Times New Roman"/>
                <w:sz w:val="20"/>
                <w:szCs w:val="20"/>
              </w:rPr>
              <w:t xml:space="preserve"> et al. (2015). This model has been previously validated by telemetry data (</w:t>
            </w:r>
            <w:proofErr w:type="spellStart"/>
            <w:r w:rsidRPr="007567EB">
              <w:rPr>
                <w:rFonts w:ascii="Times New Roman" w:hAnsi="Times New Roman" w:cs="Times New Roman"/>
                <w:sz w:val="20"/>
                <w:szCs w:val="20"/>
              </w:rPr>
              <w:t>Leskova</w:t>
            </w:r>
            <w:proofErr w:type="spellEnd"/>
            <w:r w:rsidRPr="007567EB">
              <w:rPr>
                <w:rFonts w:ascii="Times New Roman" w:hAnsi="Times New Roman" w:cs="Times New Roman"/>
                <w:sz w:val="20"/>
                <w:szCs w:val="20"/>
              </w:rPr>
              <w:t xml:space="preserve"> et al. 2022). Corridors </w:t>
            </w:r>
            <w:r w:rsidRPr="007567EB">
              <w:rPr>
                <w:rFonts w:ascii="Times New Roman" w:hAnsi="Times New Roman" w:cs="Times New Roman"/>
                <w:sz w:val="20"/>
                <w:szCs w:val="20"/>
              </w:rPr>
              <w:lastRenderedPageBreak/>
              <w:t>were identified using ESRI’s Cost Distance, Corridor, and ArcGIS Slice tools. These were used to find the optimum 0.25-0.5 percent of the corridor result that represented a sufficiently wide corridor path between each selected source pair. We defined “sufficiently wide” as a minimum of 1.6 km wide, with wider corridors selected in areas exceeding 16 km in length (</w:t>
            </w:r>
            <w:proofErr w:type="spellStart"/>
            <w:r w:rsidRPr="007567EB">
              <w:rPr>
                <w:rFonts w:ascii="Times New Roman" w:hAnsi="Times New Roman" w:cs="Times New Roman"/>
                <w:sz w:val="20"/>
                <w:szCs w:val="20"/>
              </w:rPr>
              <w:t>Kautz</w:t>
            </w:r>
            <w:proofErr w:type="spellEnd"/>
            <w:r w:rsidRPr="007567EB">
              <w:rPr>
                <w:rFonts w:ascii="Times New Roman" w:hAnsi="Times New Roman" w:cs="Times New Roman"/>
                <w:sz w:val="20"/>
                <w:szCs w:val="20"/>
              </w:rPr>
              <w:t xml:space="preserve"> et al. 2006).</w:t>
            </w:r>
          </w:p>
        </w:tc>
      </w:tr>
      <w:tr w:rsidR="00735518" w:rsidRPr="007567EB" w:rsidTr="005B718C">
        <w:tc>
          <w:tcPr>
            <w:tcW w:w="9350" w:type="dxa"/>
          </w:tcPr>
          <w:p w:rsidR="00735518" w:rsidRPr="007567EB" w:rsidRDefault="00735518" w:rsidP="005B718C">
            <w:pPr>
              <w:spacing w:line="276" w:lineRule="auto"/>
              <w:rPr>
                <w:sz w:val="20"/>
                <w:szCs w:val="20"/>
              </w:rPr>
            </w:pPr>
            <w:r w:rsidRPr="007567EB">
              <w:rPr>
                <w:sz w:val="20"/>
                <w:szCs w:val="20"/>
              </w:rPr>
              <w:lastRenderedPageBreak/>
              <w:t>6) Integrated Habitat Network</w:t>
            </w:r>
          </w:p>
        </w:tc>
      </w:tr>
      <w:tr w:rsidR="00735518" w:rsidRPr="007567EB" w:rsidTr="005B718C">
        <w:tc>
          <w:tcPr>
            <w:tcW w:w="9350" w:type="dxa"/>
          </w:tcPr>
          <w:p w:rsidR="00735518" w:rsidRPr="007567EB" w:rsidRDefault="00735518" w:rsidP="005B718C">
            <w:pPr>
              <w:pStyle w:val="NoSpacing"/>
              <w:rPr>
                <w:rFonts w:ascii="Times New Roman" w:hAnsi="Times New Roman" w:cs="Times New Roman"/>
                <w:sz w:val="20"/>
                <w:szCs w:val="20"/>
              </w:rPr>
            </w:pPr>
            <w:r w:rsidRPr="007567EB">
              <w:rPr>
                <w:rFonts w:ascii="Times New Roman" w:hAnsi="Times New Roman" w:cs="Times New Roman"/>
                <w:sz w:val="20"/>
                <w:szCs w:val="20"/>
              </w:rPr>
              <w:t xml:space="preserve">The Integrated Habitat Network is a plan to protect and restore riparian-based connectivity in the phosphate mining region in southwest Florida (FDEP and Florida Bureau of Mine Reclamation 1992). This network has been used in every iteration of the FEGN since 1997. </w:t>
            </w:r>
            <w:r w:rsidRPr="007567EB">
              <w:rPr>
                <w:rStyle w:val="cf01"/>
                <w:rFonts w:ascii="Times New Roman" w:hAnsi="Times New Roman" w:cs="Times New Roman"/>
                <w:sz w:val="20"/>
                <w:szCs w:val="20"/>
              </w:rPr>
              <w:t xml:space="preserve">Based on input from the TAG, we expanded the IHN to include natural, </w:t>
            </w:r>
            <w:proofErr w:type="spellStart"/>
            <w:r w:rsidRPr="007567EB">
              <w:rPr>
                <w:rStyle w:val="cf01"/>
                <w:rFonts w:ascii="Times New Roman" w:hAnsi="Times New Roman" w:cs="Times New Roman"/>
                <w:sz w:val="20"/>
                <w:szCs w:val="20"/>
              </w:rPr>
              <w:t>seminatural</w:t>
            </w:r>
            <w:proofErr w:type="spellEnd"/>
            <w:r w:rsidRPr="007567EB">
              <w:rPr>
                <w:rStyle w:val="cf01"/>
                <w:rFonts w:ascii="Times New Roman" w:hAnsi="Times New Roman" w:cs="Times New Roman"/>
                <w:sz w:val="20"/>
                <w:szCs w:val="20"/>
              </w:rPr>
              <w:t>, agricultural, and extractive land uses, which are expected to undergo restoration efforts according to in-place post-mining regulations</w:t>
            </w:r>
            <w:r w:rsidRPr="007567EB">
              <w:rPr>
                <w:rFonts w:ascii="Times New Roman" w:hAnsi="Times New Roman" w:cs="Times New Roman"/>
                <w:sz w:val="20"/>
                <w:szCs w:val="20"/>
              </w:rPr>
              <w:t xml:space="preserve">. We identified all rivers, streams, and canals within the IHN and all-natural, </w:t>
            </w:r>
            <w:proofErr w:type="spellStart"/>
            <w:r w:rsidRPr="007567EB">
              <w:rPr>
                <w:rFonts w:ascii="Times New Roman" w:hAnsi="Times New Roman" w:cs="Times New Roman"/>
                <w:sz w:val="20"/>
                <w:szCs w:val="20"/>
              </w:rPr>
              <w:t>seminatural</w:t>
            </w:r>
            <w:proofErr w:type="spellEnd"/>
            <w:r w:rsidRPr="007567EB">
              <w:rPr>
                <w:rFonts w:ascii="Times New Roman" w:hAnsi="Times New Roman" w:cs="Times New Roman"/>
                <w:sz w:val="20"/>
                <w:szCs w:val="20"/>
              </w:rPr>
              <w:t>, agricultural, and mining land uses connected to and within 200 m.</w:t>
            </w:r>
          </w:p>
        </w:tc>
      </w:tr>
      <w:tr w:rsidR="00735518" w:rsidRPr="007567EB" w:rsidTr="005B718C">
        <w:tc>
          <w:tcPr>
            <w:tcW w:w="9350" w:type="dxa"/>
          </w:tcPr>
          <w:p w:rsidR="00735518" w:rsidRPr="007567EB" w:rsidRDefault="00735518" w:rsidP="005B718C">
            <w:pPr>
              <w:spacing w:line="276" w:lineRule="auto"/>
              <w:rPr>
                <w:sz w:val="20"/>
                <w:szCs w:val="20"/>
              </w:rPr>
            </w:pPr>
            <w:bookmarkStart w:id="5" w:name="_Hlk184395803"/>
            <w:r w:rsidRPr="007567EB">
              <w:rPr>
                <w:sz w:val="20"/>
                <w:szCs w:val="20"/>
              </w:rPr>
              <w:t>7) General Landscape Connectivity</w:t>
            </w:r>
          </w:p>
        </w:tc>
      </w:tr>
      <w:tr w:rsidR="00735518" w:rsidRPr="00732F49" w:rsidTr="005B718C">
        <w:tc>
          <w:tcPr>
            <w:tcW w:w="9350" w:type="dxa"/>
          </w:tcPr>
          <w:p w:rsidR="00735518" w:rsidRPr="00732F49" w:rsidRDefault="00735518" w:rsidP="005B718C">
            <w:pPr>
              <w:spacing w:line="276" w:lineRule="auto"/>
              <w:rPr>
                <w:color w:val="000000"/>
                <w:sz w:val="20"/>
                <w:szCs w:val="20"/>
                <w:shd w:val="clear" w:color="auto" w:fill="FFFFFF"/>
              </w:rPr>
            </w:pPr>
            <w:r w:rsidRPr="00732F49">
              <w:rPr>
                <w:sz w:val="20"/>
                <w:szCs w:val="20"/>
              </w:rPr>
              <w:t xml:space="preserve">Cost Surface was based on the CLIP 4.0 Landscape Integrity layer, and only a few locations not covered by other connectivity models were identified with additional corridors to close remaining gaps in the </w:t>
            </w:r>
            <w:proofErr w:type="spellStart"/>
            <w:r w:rsidRPr="00732F49">
              <w:rPr>
                <w:sz w:val="20"/>
                <w:szCs w:val="20"/>
              </w:rPr>
              <w:t>statewide</w:t>
            </w:r>
            <w:proofErr w:type="spellEnd"/>
            <w:r w:rsidRPr="00732F49">
              <w:rPr>
                <w:sz w:val="20"/>
                <w:szCs w:val="20"/>
              </w:rPr>
              <w:t xml:space="preserve"> ecological network.</w:t>
            </w:r>
          </w:p>
        </w:tc>
      </w:tr>
      <w:bookmarkEnd w:id="5"/>
    </w:tbl>
    <w:p w:rsidR="00735518" w:rsidRPr="00732F49" w:rsidRDefault="00735518" w:rsidP="00735518">
      <w:pPr>
        <w:spacing w:line="276" w:lineRule="auto"/>
        <w:rPr>
          <w:sz w:val="20"/>
          <w:szCs w:val="20"/>
        </w:rPr>
      </w:pPr>
    </w:p>
    <w:p w:rsidR="00735518" w:rsidRPr="007567EB" w:rsidRDefault="00735518" w:rsidP="00735518">
      <w:pPr>
        <w:spacing w:line="276" w:lineRule="auto"/>
        <w:rPr>
          <w:sz w:val="20"/>
          <w:szCs w:val="20"/>
        </w:rPr>
        <w:sectPr w:rsidR="00735518" w:rsidRPr="007567EB" w:rsidSect="000B3A60">
          <w:pgSz w:w="12240" w:h="15840"/>
          <w:pgMar w:top="1440" w:right="1440" w:bottom="1440" w:left="1440" w:header="720" w:footer="720" w:gutter="0"/>
          <w:cols w:space="720"/>
          <w:docGrid w:linePitch="360"/>
        </w:sectPr>
      </w:pPr>
    </w:p>
    <w:p w:rsidR="00735518" w:rsidRPr="007567EB" w:rsidRDefault="00735518" w:rsidP="00735518">
      <w:pPr>
        <w:rPr>
          <w:sz w:val="20"/>
          <w:szCs w:val="20"/>
        </w:rPr>
      </w:pPr>
      <w:r w:rsidRPr="007567EB">
        <w:rPr>
          <w:sz w:val="20"/>
          <w:szCs w:val="20"/>
        </w:rPr>
        <w:lastRenderedPageBreak/>
        <w:t>Appendix Table 3</w:t>
      </w:r>
      <w:r>
        <w:rPr>
          <w:sz w:val="20"/>
          <w:szCs w:val="20"/>
        </w:rPr>
        <w:t>.</w:t>
      </w:r>
      <w:r w:rsidRPr="007567EB">
        <w:rPr>
          <w:sz w:val="20"/>
          <w:szCs w:val="20"/>
        </w:rPr>
        <w:t xml:space="preserve">   Hectares in 2021 FEGN (excluding open water) by Conservation Importance</w:t>
      </w:r>
      <w:r>
        <w:rPr>
          <w:sz w:val="20"/>
          <w:szCs w:val="20"/>
        </w:rPr>
        <w:t>.</w:t>
      </w:r>
    </w:p>
    <w:tbl>
      <w:tblPr>
        <w:tblStyle w:val="TableGrid"/>
        <w:tblW w:w="12600" w:type="dxa"/>
        <w:tblLayout w:type="fixed"/>
        <w:tblLook w:val="04A0" w:firstRow="1" w:lastRow="0" w:firstColumn="1" w:lastColumn="0" w:noHBand="0" w:noVBand="1"/>
      </w:tblPr>
      <w:tblGrid>
        <w:gridCol w:w="1166"/>
        <w:gridCol w:w="991"/>
        <w:gridCol w:w="991"/>
        <w:gridCol w:w="991"/>
        <w:gridCol w:w="885"/>
        <w:gridCol w:w="826"/>
        <w:gridCol w:w="943"/>
        <w:gridCol w:w="767"/>
        <w:gridCol w:w="900"/>
        <w:gridCol w:w="810"/>
        <w:gridCol w:w="805"/>
        <w:gridCol w:w="810"/>
        <w:gridCol w:w="815"/>
        <w:gridCol w:w="900"/>
      </w:tblGrid>
      <w:tr w:rsidR="00735518" w:rsidRPr="007567EB" w:rsidTr="005B718C">
        <w:tc>
          <w:tcPr>
            <w:tcW w:w="1166" w:type="dxa"/>
            <w:vMerge w:val="restart"/>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rPr>
                <w:sz w:val="16"/>
                <w:szCs w:val="16"/>
              </w:rPr>
            </w:pPr>
            <w:r w:rsidRPr="007567EB">
              <w:rPr>
                <w:b/>
                <w:bCs/>
                <w:sz w:val="16"/>
                <w:szCs w:val="16"/>
              </w:rPr>
              <w:t>Key Areas</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b/>
                <w:bCs/>
                <w:sz w:val="16"/>
                <w:szCs w:val="16"/>
              </w:rPr>
              <w:t>Total Priority Area Hectares in FLORIDA</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b/>
                <w:bCs/>
                <w:sz w:val="16"/>
                <w:szCs w:val="16"/>
              </w:rPr>
              <w:t>Total Priority Area Hectares in 2021 FEGN</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jc w:val="center"/>
              <w:rPr>
                <w:b/>
                <w:bCs/>
                <w:sz w:val="16"/>
                <w:szCs w:val="16"/>
              </w:rPr>
            </w:pPr>
            <w:r w:rsidRPr="007567EB">
              <w:rPr>
                <w:b/>
                <w:bCs/>
                <w:sz w:val="16"/>
                <w:szCs w:val="16"/>
              </w:rPr>
              <w:t>% Total Priority Area in FLORIDA in 2021 FEGN</w:t>
            </w:r>
          </w:p>
        </w:tc>
        <w:tc>
          <w:tcPr>
            <w:tcW w:w="1711" w:type="dxa"/>
            <w:gridSpan w:val="2"/>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jc w:val="center"/>
              <w:rPr>
                <w:b/>
                <w:bCs/>
                <w:sz w:val="16"/>
                <w:szCs w:val="16"/>
              </w:rPr>
            </w:pPr>
            <w:r w:rsidRPr="007567EB">
              <w:rPr>
                <w:b/>
                <w:bCs/>
                <w:sz w:val="16"/>
                <w:szCs w:val="16"/>
              </w:rPr>
              <w:t>FEGN Priority 1 Critical Linkages</w:t>
            </w:r>
          </w:p>
        </w:tc>
        <w:tc>
          <w:tcPr>
            <w:tcW w:w="1710" w:type="dxa"/>
            <w:gridSpan w:val="2"/>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jc w:val="center"/>
              <w:rPr>
                <w:b/>
                <w:bCs/>
                <w:sz w:val="16"/>
                <w:szCs w:val="16"/>
              </w:rPr>
            </w:pPr>
            <w:r w:rsidRPr="007567EB">
              <w:rPr>
                <w:b/>
                <w:bCs/>
                <w:sz w:val="16"/>
                <w:szCs w:val="16"/>
              </w:rPr>
              <w:t>FEGN Priority 2</w:t>
            </w:r>
          </w:p>
        </w:tc>
        <w:tc>
          <w:tcPr>
            <w:tcW w:w="1710" w:type="dxa"/>
            <w:gridSpan w:val="2"/>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jc w:val="center"/>
              <w:rPr>
                <w:b/>
                <w:bCs/>
                <w:sz w:val="16"/>
                <w:szCs w:val="16"/>
              </w:rPr>
            </w:pPr>
            <w:r w:rsidRPr="007567EB">
              <w:rPr>
                <w:b/>
                <w:bCs/>
                <w:sz w:val="16"/>
                <w:szCs w:val="16"/>
              </w:rPr>
              <w:t>FEGN Priority 3</w:t>
            </w:r>
          </w:p>
        </w:tc>
        <w:tc>
          <w:tcPr>
            <w:tcW w:w="1615" w:type="dxa"/>
            <w:gridSpan w:val="2"/>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jc w:val="center"/>
              <w:rPr>
                <w:b/>
                <w:bCs/>
                <w:sz w:val="16"/>
                <w:szCs w:val="16"/>
              </w:rPr>
            </w:pPr>
            <w:r w:rsidRPr="007567EB">
              <w:rPr>
                <w:b/>
                <w:bCs/>
                <w:sz w:val="16"/>
                <w:szCs w:val="16"/>
              </w:rPr>
              <w:t>FEGN Priority 4</w:t>
            </w:r>
          </w:p>
        </w:tc>
        <w:tc>
          <w:tcPr>
            <w:tcW w:w="1715" w:type="dxa"/>
            <w:gridSpan w:val="2"/>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jc w:val="center"/>
              <w:rPr>
                <w:b/>
                <w:bCs/>
                <w:sz w:val="16"/>
                <w:szCs w:val="16"/>
              </w:rPr>
            </w:pPr>
            <w:r w:rsidRPr="007567EB">
              <w:rPr>
                <w:b/>
                <w:bCs/>
                <w:sz w:val="16"/>
                <w:szCs w:val="16"/>
              </w:rPr>
              <w:t>FEGN Priority 5</w:t>
            </w:r>
          </w:p>
        </w:tc>
      </w:tr>
      <w:tr w:rsidR="00735518" w:rsidRPr="007567EB" w:rsidTr="005B718C">
        <w:tc>
          <w:tcPr>
            <w:tcW w:w="1166" w:type="dxa"/>
            <w:vMerge/>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rPr>
                <w:sz w:val="16"/>
                <w:szCs w:val="1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rPr>
                <w:sz w:val="16"/>
                <w:szCs w:val="16"/>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rPr>
                <w:sz w:val="16"/>
                <w:szCs w:val="16"/>
              </w:rPr>
            </w:pPr>
          </w:p>
        </w:tc>
        <w:tc>
          <w:tcPr>
            <w:tcW w:w="9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rPr>
                <w:b/>
                <w:bCs/>
                <w:sz w:val="16"/>
                <w:szCs w:val="16"/>
              </w:rPr>
            </w:pPr>
          </w:p>
        </w:tc>
        <w:tc>
          <w:tcPr>
            <w:tcW w:w="88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FL.</w:t>
            </w:r>
          </w:p>
        </w:tc>
        <w:tc>
          <w:tcPr>
            <w:tcW w:w="826"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FEGN</w:t>
            </w:r>
          </w:p>
        </w:tc>
        <w:tc>
          <w:tcPr>
            <w:tcW w:w="943"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FL.</w:t>
            </w:r>
          </w:p>
        </w:tc>
        <w:tc>
          <w:tcPr>
            <w:tcW w:w="767"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FEGN</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FL.</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FEGN</w:t>
            </w:r>
          </w:p>
        </w:tc>
        <w:tc>
          <w:tcPr>
            <w:tcW w:w="80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FL.</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w:t>
            </w:r>
          </w:p>
          <w:p w:rsidR="00735518" w:rsidRPr="007567EB" w:rsidRDefault="00735518" w:rsidP="005B718C">
            <w:pPr>
              <w:jc w:val="center"/>
              <w:rPr>
                <w:b/>
                <w:bCs/>
                <w:sz w:val="16"/>
                <w:szCs w:val="16"/>
              </w:rPr>
            </w:pPr>
            <w:r w:rsidRPr="007567EB">
              <w:rPr>
                <w:b/>
                <w:bCs/>
                <w:sz w:val="16"/>
                <w:szCs w:val="16"/>
              </w:rPr>
              <w:t>Priority Area in FEGN</w:t>
            </w:r>
          </w:p>
        </w:tc>
        <w:tc>
          <w:tcPr>
            <w:tcW w:w="81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FL.</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b/>
                <w:bCs/>
                <w:sz w:val="16"/>
                <w:szCs w:val="16"/>
              </w:rPr>
            </w:pPr>
            <w:r w:rsidRPr="007567EB">
              <w:rPr>
                <w:b/>
                <w:bCs/>
                <w:sz w:val="16"/>
                <w:szCs w:val="16"/>
              </w:rPr>
              <w:t>% of Priority Area in FEGN</w:t>
            </w:r>
          </w:p>
        </w:tc>
      </w:tr>
      <w:tr w:rsidR="00735518" w:rsidRPr="007567EB" w:rsidTr="005B718C">
        <w:tc>
          <w:tcPr>
            <w:tcW w:w="1166"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rPr>
                <w:sz w:val="16"/>
                <w:szCs w:val="16"/>
              </w:rPr>
            </w:pPr>
            <w:r w:rsidRPr="007567EB">
              <w:rPr>
                <w:sz w:val="16"/>
                <w:szCs w:val="16"/>
              </w:rPr>
              <w:t>High/Mod Importance CLIP Biodiversity Resource Category Areas</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8,141,415</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7,218,653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jc w:val="center"/>
              <w:rPr>
                <w:b/>
                <w:bCs/>
                <w:sz w:val="16"/>
                <w:szCs w:val="16"/>
              </w:rPr>
            </w:pPr>
            <w:r w:rsidRPr="007567EB">
              <w:rPr>
                <w:b/>
                <w:bCs/>
                <w:sz w:val="16"/>
                <w:szCs w:val="16"/>
              </w:rPr>
              <w:t>89%</w:t>
            </w:r>
          </w:p>
        </w:tc>
        <w:tc>
          <w:tcPr>
            <w:tcW w:w="88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48%</w:t>
            </w:r>
          </w:p>
        </w:tc>
        <w:tc>
          <w:tcPr>
            <w:tcW w:w="826"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55%</w:t>
            </w:r>
          </w:p>
        </w:tc>
        <w:tc>
          <w:tcPr>
            <w:tcW w:w="943"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19%</w:t>
            </w:r>
          </w:p>
        </w:tc>
        <w:tc>
          <w:tcPr>
            <w:tcW w:w="767"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22%</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0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6%</w:t>
            </w:r>
          </w:p>
        </w:tc>
        <w:tc>
          <w:tcPr>
            <w:tcW w:w="81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11%</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12%</w:t>
            </w:r>
          </w:p>
        </w:tc>
      </w:tr>
      <w:tr w:rsidR="00735518" w:rsidRPr="007567EB" w:rsidTr="005B718C">
        <w:tc>
          <w:tcPr>
            <w:tcW w:w="1166"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rPr>
                <w:sz w:val="16"/>
                <w:szCs w:val="16"/>
              </w:rPr>
            </w:pPr>
            <w:r w:rsidRPr="007567EB">
              <w:rPr>
                <w:sz w:val="16"/>
                <w:szCs w:val="16"/>
              </w:rPr>
              <w:t>High/Mod Importance IP Surface Water Resource Category Areas</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5,744,792</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5,156,508</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jc w:val="center"/>
              <w:rPr>
                <w:b/>
                <w:bCs/>
                <w:sz w:val="16"/>
                <w:szCs w:val="16"/>
              </w:rPr>
            </w:pPr>
            <w:r w:rsidRPr="007567EB">
              <w:rPr>
                <w:b/>
                <w:bCs/>
                <w:sz w:val="16"/>
                <w:szCs w:val="16"/>
              </w:rPr>
              <w:t>90%</w:t>
            </w:r>
          </w:p>
        </w:tc>
        <w:tc>
          <w:tcPr>
            <w:tcW w:w="88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51%</w:t>
            </w:r>
          </w:p>
        </w:tc>
        <w:tc>
          <w:tcPr>
            <w:tcW w:w="826"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56%</w:t>
            </w:r>
          </w:p>
        </w:tc>
        <w:tc>
          <w:tcPr>
            <w:tcW w:w="943"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18%</w:t>
            </w:r>
          </w:p>
        </w:tc>
        <w:tc>
          <w:tcPr>
            <w:tcW w:w="767"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20%</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0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7%</w:t>
            </w:r>
          </w:p>
        </w:tc>
        <w:tc>
          <w:tcPr>
            <w:tcW w:w="81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11%</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12%</w:t>
            </w:r>
          </w:p>
        </w:tc>
      </w:tr>
      <w:tr w:rsidR="00735518" w:rsidRPr="007567EB" w:rsidTr="005B718C">
        <w:tc>
          <w:tcPr>
            <w:tcW w:w="1166"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rPr>
                <w:sz w:val="16"/>
                <w:szCs w:val="16"/>
              </w:rPr>
            </w:pPr>
            <w:r w:rsidRPr="007567EB">
              <w:rPr>
                <w:sz w:val="16"/>
                <w:szCs w:val="16"/>
              </w:rPr>
              <w:t>High Value Bear Habitat Areas</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5,595,973</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5,116,388</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jc w:val="center"/>
              <w:rPr>
                <w:b/>
                <w:bCs/>
                <w:sz w:val="16"/>
                <w:szCs w:val="16"/>
              </w:rPr>
            </w:pPr>
            <w:r w:rsidRPr="007567EB">
              <w:rPr>
                <w:b/>
                <w:bCs/>
                <w:sz w:val="16"/>
                <w:szCs w:val="16"/>
              </w:rPr>
              <w:t>91%</w:t>
            </w:r>
          </w:p>
        </w:tc>
        <w:tc>
          <w:tcPr>
            <w:tcW w:w="88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48%</w:t>
            </w:r>
          </w:p>
        </w:tc>
        <w:tc>
          <w:tcPr>
            <w:tcW w:w="826"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53%</w:t>
            </w:r>
          </w:p>
        </w:tc>
        <w:tc>
          <w:tcPr>
            <w:tcW w:w="943"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21%</w:t>
            </w:r>
          </w:p>
        </w:tc>
        <w:tc>
          <w:tcPr>
            <w:tcW w:w="767"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23%</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0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6%</w:t>
            </w:r>
          </w:p>
        </w:tc>
        <w:tc>
          <w:tcPr>
            <w:tcW w:w="81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11%</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12%</w:t>
            </w:r>
          </w:p>
        </w:tc>
      </w:tr>
      <w:tr w:rsidR="00735518" w:rsidRPr="007567EB" w:rsidTr="005B718C">
        <w:tc>
          <w:tcPr>
            <w:tcW w:w="1166" w:type="dxa"/>
            <w:tcBorders>
              <w:top w:val="single" w:sz="4" w:space="0" w:color="auto"/>
              <w:left w:val="single" w:sz="4" w:space="0" w:color="auto"/>
              <w:bottom w:val="single" w:sz="4" w:space="0" w:color="auto"/>
              <w:right w:val="single" w:sz="4" w:space="0" w:color="auto"/>
            </w:tcBorders>
            <w:hideMark/>
          </w:tcPr>
          <w:p w:rsidR="00735518" w:rsidRPr="007567EB" w:rsidRDefault="00735518" w:rsidP="005B718C">
            <w:pPr>
              <w:rPr>
                <w:sz w:val="16"/>
                <w:szCs w:val="16"/>
              </w:rPr>
            </w:pPr>
            <w:r w:rsidRPr="007567EB">
              <w:rPr>
                <w:sz w:val="16"/>
                <w:szCs w:val="16"/>
              </w:rPr>
              <w:t>High Value Panther Habitat Areas</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5,376,248</w:t>
            </w:r>
          </w:p>
        </w:tc>
        <w:tc>
          <w:tcPr>
            <w:tcW w:w="991"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right"/>
              <w:rPr>
                <w:sz w:val="16"/>
                <w:szCs w:val="16"/>
              </w:rPr>
            </w:pPr>
            <w:r w:rsidRPr="007567EB">
              <w:rPr>
                <w:sz w:val="16"/>
                <w:szCs w:val="16"/>
              </w:rPr>
              <w:t>5,137,280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18" w:rsidRPr="007567EB" w:rsidRDefault="00735518" w:rsidP="005B718C">
            <w:pPr>
              <w:jc w:val="center"/>
              <w:rPr>
                <w:b/>
                <w:bCs/>
                <w:sz w:val="16"/>
                <w:szCs w:val="16"/>
              </w:rPr>
            </w:pPr>
            <w:r w:rsidRPr="007567EB">
              <w:rPr>
                <w:b/>
                <w:bCs/>
                <w:sz w:val="16"/>
                <w:szCs w:val="16"/>
              </w:rPr>
              <w:t>96%</w:t>
            </w:r>
          </w:p>
        </w:tc>
        <w:tc>
          <w:tcPr>
            <w:tcW w:w="88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56%</w:t>
            </w:r>
          </w:p>
        </w:tc>
        <w:tc>
          <w:tcPr>
            <w:tcW w:w="826"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59%</w:t>
            </w:r>
          </w:p>
        </w:tc>
        <w:tc>
          <w:tcPr>
            <w:tcW w:w="943"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20%</w:t>
            </w:r>
          </w:p>
        </w:tc>
        <w:tc>
          <w:tcPr>
            <w:tcW w:w="767"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21%</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0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5%</w:t>
            </w:r>
          </w:p>
        </w:tc>
        <w:tc>
          <w:tcPr>
            <w:tcW w:w="815"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10%</w:t>
            </w:r>
          </w:p>
        </w:tc>
        <w:tc>
          <w:tcPr>
            <w:tcW w:w="900" w:type="dxa"/>
            <w:tcBorders>
              <w:top w:val="single" w:sz="4" w:space="0" w:color="auto"/>
              <w:left w:val="single" w:sz="4" w:space="0" w:color="auto"/>
              <w:bottom w:val="single" w:sz="4" w:space="0" w:color="auto"/>
              <w:right w:val="single" w:sz="4" w:space="0" w:color="auto"/>
            </w:tcBorders>
            <w:vAlign w:val="center"/>
            <w:hideMark/>
          </w:tcPr>
          <w:p w:rsidR="00735518" w:rsidRPr="007567EB" w:rsidRDefault="00735518" w:rsidP="005B718C">
            <w:pPr>
              <w:jc w:val="center"/>
              <w:rPr>
                <w:sz w:val="16"/>
                <w:szCs w:val="16"/>
              </w:rPr>
            </w:pPr>
            <w:r w:rsidRPr="007567EB">
              <w:rPr>
                <w:sz w:val="16"/>
                <w:szCs w:val="16"/>
              </w:rPr>
              <w:t>10%</w:t>
            </w:r>
          </w:p>
        </w:tc>
      </w:tr>
      <w:tr w:rsidR="00735518" w:rsidRPr="000B3A60" w:rsidTr="005B718C">
        <w:tc>
          <w:tcPr>
            <w:tcW w:w="1166" w:type="dxa"/>
            <w:tcBorders>
              <w:top w:val="single" w:sz="4" w:space="0" w:color="auto"/>
              <w:left w:val="single" w:sz="4" w:space="0" w:color="auto"/>
              <w:bottom w:val="single" w:sz="4" w:space="0" w:color="auto"/>
              <w:right w:val="single" w:sz="4" w:space="0" w:color="auto"/>
            </w:tcBorders>
          </w:tcPr>
          <w:p w:rsidR="00735518" w:rsidRPr="000B3A60" w:rsidRDefault="00735518" w:rsidP="005B718C">
            <w:pPr>
              <w:rPr>
                <w:sz w:val="16"/>
                <w:szCs w:val="16"/>
              </w:rPr>
            </w:pPr>
            <w:r w:rsidRPr="000B3A60">
              <w:rPr>
                <w:sz w:val="16"/>
                <w:szCs w:val="16"/>
              </w:rPr>
              <w:t xml:space="preserve">High Value </w:t>
            </w:r>
          </w:p>
          <w:p w:rsidR="00735518" w:rsidRPr="000B3A60" w:rsidRDefault="00735518" w:rsidP="005B718C">
            <w:pPr>
              <w:rPr>
                <w:sz w:val="16"/>
                <w:szCs w:val="16"/>
              </w:rPr>
            </w:pPr>
            <w:r w:rsidRPr="000B3A60">
              <w:rPr>
                <w:sz w:val="16"/>
                <w:szCs w:val="16"/>
              </w:rPr>
              <w:t>Bear Connectivity Areas</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6,702,826</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5,875,151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35518" w:rsidRPr="000B3A60" w:rsidRDefault="00735518" w:rsidP="005B718C">
            <w:pPr>
              <w:jc w:val="center"/>
              <w:rPr>
                <w:b/>
                <w:bCs/>
                <w:sz w:val="16"/>
                <w:szCs w:val="16"/>
              </w:rPr>
            </w:pPr>
            <w:r w:rsidRPr="000B3A60">
              <w:rPr>
                <w:b/>
                <w:bCs/>
                <w:sz w:val="16"/>
                <w:szCs w:val="16"/>
              </w:rPr>
              <w:t>88%</w:t>
            </w:r>
          </w:p>
        </w:tc>
        <w:tc>
          <w:tcPr>
            <w:tcW w:w="88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46%</w:t>
            </w:r>
          </w:p>
        </w:tc>
        <w:tc>
          <w:tcPr>
            <w:tcW w:w="826"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53%</w:t>
            </w:r>
          </w:p>
        </w:tc>
        <w:tc>
          <w:tcPr>
            <w:tcW w:w="943"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21%</w:t>
            </w:r>
          </w:p>
        </w:tc>
        <w:tc>
          <w:tcPr>
            <w:tcW w:w="767"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24%</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4%</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rPr>
                <w:sz w:val="16"/>
                <w:szCs w:val="16"/>
              </w:rPr>
            </w:pPr>
            <w:r w:rsidRPr="000B3A60">
              <w:rPr>
                <w:sz w:val="16"/>
                <w:szCs w:val="16"/>
              </w:rPr>
              <w:t xml:space="preserve">     4%</w:t>
            </w:r>
          </w:p>
        </w:tc>
        <w:tc>
          <w:tcPr>
            <w:tcW w:w="80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7%</w:t>
            </w:r>
          </w:p>
        </w:tc>
        <w:tc>
          <w:tcPr>
            <w:tcW w:w="81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10%</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12%</w:t>
            </w:r>
          </w:p>
        </w:tc>
      </w:tr>
      <w:tr w:rsidR="00735518" w:rsidRPr="000B3A60" w:rsidTr="005B718C">
        <w:tc>
          <w:tcPr>
            <w:tcW w:w="1166" w:type="dxa"/>
            <w:tcBorders>
              <w:top w:val="single" w:sz="4" w:space="0" w:color="auto"/>
              <w:left w:val="single" w:sz="4" w:space="0" w:color="auto"/>
              <w:bottom w:val="single" w:sz="4" w:space="0" w:color="auto"/>
              <w:right w:val="single" w:sz="4" w:space="0" w:color="auto"/>
            </w:tcBorders>
          </w:tcPr>
          <w:p w:rsidR="00735518" w:rsidRPr="000B3A60" w:rsidRDefault="00735518" w:rsidP="005B718C">
            <w:pPr>
              <w:rPr>
                <w:sz w:val="16"/>
                <w:szCs w:val="16"/>
              </w:rPr>
            </w:pPr>
            <w:r w:rsidRPr="000B3A60">
              <w:rPr>
                <w:sz w:val="16"/>
                <w:szCs w:val="16"/>
              </w:rPr>
              <w:t>High Value Panther Connectivity Areas</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6,829,819</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6,169,197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35518" w:rsidRPr="000B3A60" w:rsidRDefault="00735518" w:rsidP="005B718C">
            <w:pPr>
              <w:jc w:val="center"/>
              <w:rPr>
                <w:b/>
                <w:bCs/>
                <w:sz w:val="16"/>
                <w:szCs w:val="16"/>
              </w:rPr>
            </w:pPr>
            <w:r w:rsidRPr="000B3A60">
              <w:rPr>
                <w:b/>
                <w:bCs/>
                <w:sz w:val="16"/>
                <w:szCs w:val="16"/>
              </w:rPr>
              <w:t>90%</w:t>
            </w:r>
          </w:p>
        </w:tc>
        <w:tc>
          <w:tcPr>
            <w:tcW w:w="88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47%</w:t>
            </w:r>
          </w:p>
        </w:tc>
        <w:tc>
          <w:tcPr>
            <w:tcW w:w="826"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52%</w:t>
            </w:r>
          </w:p>
        </w:tc>
        <w:tc>
          <w:tcPr>
            <w:tcW w:w="943"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22%</w:t>
            </w:r>
          </w:p>
        </w:tc>
        <w:tc>
          <w:tcPr>
            <w:tcW w:w="767"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24%</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0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10%</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12%</w:t>
            </w:r>
          </w:p>
        </w:tc>
      </w:tr>
      <w:tr w:rsidR="00735518" w:rsidRPr="000B3A60" w:rsidTr="005B718C">
        <w:tc>
          <w:tcPr>
            <w:tcW w:w="1166" w:type="dxa"/>
            <w:tcBorders>
              <w:top w:val="single" w:sz="4" w:space="0" w:color="auto"/>
              <w:left w:val="single" w:sz="4" w:space="0" w:color="auto"/>
              <w:bottom w:val="single" w:sz="4" w:space="0" w:color="auto"/>
              <w:right w:val="single" w:sz="4" w:space="0" w:color="auto"/>
            </w:tcBorders>
          </w:tcPr>
          <w:p w:rsidR="00735518" w:rsidRPr="000B3A60" w:rsidRDefault="00735518" w:rsidP="005B718C">
            <w:pPr>
              <w:rPr>
                <w:sz w:val="16"/>
                <w:szCs w:val="16"/>
              </w:rPr>
            </w:pPr>
            <w:r w:rsidRPr="000B3A60">
              <w:rPr>
                <w:sz w:val="16"/>
                <w:szCs w:val="16"/>
              </w:rPr>
              <w:t>High Value Agricultural Connectivity</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color w:val="000000"/>
                <w:sz w:val="16"/>
                <w:szCs w:val="16"/>
              </w:rPr>
            </w:pPr>
            <w:r w:rsidRPr="000B3A60">
              <w:rPr>
                <w:color w:val="000000"/>
                <w:sz w:val="16"/>
                <w:szCs w:val="16"/>
              </w:rPr>
              <w:t>7,587,431</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color w:val="000000"/>
                <w:sz w:val="16"/>
                <w:szCs w:val="16"/>
              </w:rPr>
            </w:pPr>
            <w:r w:rsidRPr="000B3A60">
              <w:rPr>
                <w:color w:val="000000"/>
                <w:sz w:val="16"/>
                <w:szCs w:val="16"/>
              </w:rPr>
              <w:t>6,435,573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35518" w:rsidRPr="000B3A60" w:rsidRDefault="00735518" w:rsidP="005B718C">
            <w:pPr>
              <w:jc w:val="center"/>
              <w:rPr>
                <w:b/>
                <w:bCs/>
                <w:sz w:val="16"/>
                <w:szCs w:val="16"/>
              </w:rPr>
            </w:pPr>
            <w:r w:rsidRPr="000B3A60">
              <w:rPr>
                <w:b/>
                <w:bCs/>
                <w:sz w:val="16"/>
                <w:szCs w:val="16"/>
              </w:rPr>
              <w:t>85%</w:t>
            </w:r>
          </w:p>
        </w:tc>
        <w:tc>
          <w:tcPr>
            <w:tcW w:w="88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44%</w:t>
            </w:r>
          </w:p>
        </w:tc>
        <w:tc>
          <w:tcPr>
            <w:tcW w:w="826"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52%</w:t>
            </w:r>
          </w:p>
        </w:tc>
        <w:tc>
          <w:tcPr>
            <w:tcW w:w="943"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19%</w:t>
            </w:r>
          </w:p>
        </w:tc>
        <w:tc>
          <w:tcPr>
            <w:tcW w:w="767"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22%</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5%</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0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7%</w:t>
            </w:r>
          </w:p>
        </w:tc>
        <w:tc>
          <w:tcPr>
            <w:tcW w:w="81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11%</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13%</w:t>
            </w:r>
          </w:p>
        </w:tc>
      </w:tr>
      <w:tr w:rsidR="00735518" w:rsidRPr="000B3A60" w:rsidTr="005B718C">
        <w:tc>
          <w:tcPr>
            <w:tcW w:w="1166" w:type="dxa"/>
            <w:tcBorders>
              <w:top w:val="single" w:sz="4" w:space="0" w:color="auto"/>
              <w:left w:val="single" w:sz="4" w:space="0" w:color="auto"/>
              <w:bottom w:val="single" w:sz="4" w:space="0" w:color="auto"/>
              <w:right w:val="single" w:sz="4" w:space="0" w:color="auto"/>
            </w:tcBorders>
          </w:tcPr>
          <w:p w:rsidR="00735518" w:rsidRPr="000B3A60" w:rsidRDefault="00735518" w:rsidP="005B718C">
            <w:pPr>
              <w:rPr>
                <w:sz w:val="16"/>
                <w:szCs w:val="16"/>
              </w:rPr>
            </w:pPr>
            <w:r w:rsidRPr="000B3A60">
              <w:rPr>
                <w:sz w:val="16"/>
                <w:szCs w:val="16"/>
              </w:rPr>
              <w:t xml:space="preserve">Low Intensity Agricultural </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color w:val="000000"/>
                <w:sz w:val="16"/>
                <w:szCs w:val="16"/>
              </w:rPr>
            </w:pPr>
            <w:r w:rsidRPr="000B3A60">
              <w:rPr>
                <w:color w:val="000000"/>
                <w:sz w:val="16"/>
                <w:szCs w:val="16"/>
              </w:rPr>
              <w:t>2,374,493</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color w:val="000000"/>
                <w:sz w:val="16"/>
                <w:szCs w:val="16"/>
              </w:rPr>
            </w:pPr>
            <w:r w:rsidRPr="000B3A60">
              <w:rPr>
                <w:color w:val="000000"/>
                <w:sz w:val="16"/>
                <w:szCs w:val="16"/>
              </w:rPr>
              <w:t>1,425,016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35518" w:rsidRPr="000B3A60" w:rsidRDefault="00735518" w:rsidP="005B718C">
            <w:pPr>
              <w:jc w:val="center"/>
              <w:rPr>
                <w:b/>
                <w:bCs/>
                <w:sz w:val="16"/>
                <w:szCs w:val="16"/>
              </w:rPr>
            </w:pPr>
            <w:r w:rsidRPr="000B3A60">
              <w:rPr>
                <w:b/>
                <w:bCs/>
                <w:sz w:val="16"/>
                <w:szCs w:val="16"/>
              </w:rPr>
              <w:t>60%</w:t>
            </w:r>
          </w:p>
        </w:tc>
        <w:tc>
          <w:tcPr>
            <w:tcW w:w="88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21%</w:t>
            </w:r>
          </w:p>
        </w:tc>
        <w:tc>
          <w:tcPr>
            <w:tcW w:w="826"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35%</w:t>
            </w:r>
          </w:p>
        </w:tc>
        <w:tc>
          <w:tcPr>
            <w:tcW w:w="943"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17%</w:t>
            </w:r>
          </w:p>
        </w:tc>
        <w:tc>
          <w:tcPr>
            <w:tcW w:w="767"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28%</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10%</w:t>
            </w:r>
          </w:p>
        </w:tc>
        <w:tc>
          <w:tcPr>
            <w:tcW w:w="80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10%</w:t>
            </w:r>
          </w:p>
        </w:tc>
        <w:tc>
          <w:tcPr>
            <w:tcW w:w="81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10%</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16%</w:t>
            </w:r>
          </w:p>
        </w:tc>
      </w:tr>
      <w:tr w:rsidR="00735518" w:rsidRPr="007567EB" w:rsidTr="005B718C">
        <w:tc>
          <w:tcPr>
            <w:tcW w:w="1166" w:type="dxa"/>
            <w:tcBorders>
              <w:top w:val="single" w:sz="4" w:space="0" w:color="auto"/>
              <w:left w:val="single" w:sz="4" w:space="0" w:color="auto"/>
              <w:bottom w:val="single" w:sz="4" w:space="0" w:color="auto"/>
              <w:right w:val="single" w:sz="4" w:space="0" w:color="auto"/>
            </w:tcBorders>
          </w:tcPr>
          <w:p w:rsidR="00735518" w:rsidRPr="000B3A60" w:rsidRDefault="00735518" w:rsidP="005B718C">
            <w:pPr>
              <w:rPr>
                <w:sz w:val="16"/>
                <w:szCs w:val="16"/>
              </w:rPr>
            </w:pPr>
            <w:r w:rsidRPr="000B3A60">
              <w:rPr>
                <w:sz w:val="16"/>
                <w:szCs w:val="16"/>
              </w:rPr>
              <w:t>Diffuse High Florida Circuit Model</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3,112,632</w:t>
            </w:r>
          </w:p>
        </w:tc>
        <w:tc>
          <w:tcPr>
            <w:tcW w:w="991"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right"/>
              <w:rPr>
                <w:sz w:val="16"/>
                <w:szCs w:val="16"/>
              </w:rPr>
            </w:pPr>
            <w:r w:rsidRPr="000B3A60">
              <w:rPr>
                <w:sz w:val="16"/>
                <w:szCs w:val="16"/>
              </w:rPr>
              <w:t>2,995,799</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35518" w:rsidRPr="000B3A60" w:rsidRDefault="00735518" w:rsidP="005B718C">
            <w:pPr>
              <w:jc w:val="center"/>
              <w:rPr>
                <w:b/>
                <w:bCs/>
                <w:sz w:val="16"/>
                <w:szCs w:val="16"/>
              </w:rPr>
            </w:pPr>
            <w:r w:rsidRPr="000B3A60">
              <w:rPr>
                <w:b/>
                <w:bCs/>
                <w:sz w:val="16"/>
                <w:szCs w:val="16"/>
              </w:rPr>
              <w:t>96%</w:t>
            </w:r>
          </w:p>
        </w:tc>
        <w:tc>
          <w:tcPr>
            <w:tcW w:w="88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67%</w:t>
            </w:r>
          </w:p>
        </w:tc>
        <w:tc>
          <w:tcPr>
            <w:tcW w:w="826"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70%</w:t>
            </w:r>
          </w:p>
        </w:tc>
        <w:tc>
          <w:tcPr>
            <w:tcW w:w="943"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15%</w:t>
            </w:r>
          </w:p>
        </w:tc>
        <w:tc>
          <w:tcPr>
            <w:tcW w:w="767"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16%</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3%</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3%</w:t>
            </w:r>
          </w:p>
        </w:tc>
        <w:tc>
          <w:tcPr>
            <w:tcW w:w="80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3%</w:t>
            </w:r>
          </w:p>
        </w:tc>
        <w:tc>
          <w:tcPr>
            <w:tcW w:w="81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3%</w:t>
            </w:r>
          </w:p>
        </w:tc>
        <w:tc>
          <w:tcPr>
            <w:tcW w:w="815"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8%</w:t>
            </w:r>
          </w:p>
        </w:tc>
        <w:tc>
          <w:tcPr>
            <w:tcW w:w="900" w:type="dxa"/>
            <w:tcBorders>
              <w:top w:val="single" w:sz="4" w:space="0" w:color="auto"/>
              <w:left w:val="single" w:sz="4" w:space="0" w:color="auto"/>
              <w:bottom w:val="single" w:sz="4" w:space="0" w:color="auto"/>
              <w:right w:val="single" w:sz="4" w:space="0" w:color="auto"/>
            </w:tcBorders>
            <w:vAlign w:val="center"/>
          </w:tcPr>
          <w:p w:rsidR="00735518" w:rsidRPr="000B3A60" w:rsidRDefault="00735518" w:rsidP="005B718C">
            <w:pPr>
              <w:jc w:val="center"/>
              <w:rPr>
                <w:sz w:val="16"/>
                <w:szCs w:val="16"/>
              </w:rPr>
            </w:pPr>
            <w:r w:rsidRPr="000B3A60">
              <w:rPr>
                <w:sz w:val="16"/>
                <w:szCs w:val="16"/>
              </w:rPr>
              <w:t>9%</w:t>
            </w:r>
          </w:p>
        </w:tc>
      </w:tr>
    </w:tbl>
    <w:p w:rsidR="00735518" w:rsidRDefault="00735518" w:rsidP="00735518">
      <w:pPr>
        <w:spacing w:line="276" w:lineRule="auto"/>
        <w:rPr>
          <w:sz w:val="20"/>
          <w:szCs w:val="20"/>
        </w:rPr>
      </w:pPr>
    </w:p>
    <w:p w:rsidR="00735518" w:rsidRDefault="00735518" w:rsidP="00735518">
      <w:pPr>
        <w:spacing w:line="276" w:lineRule="auto"/>
        <w:rPr>
          <w:sz w:val="20"/>
          <w:szCs w:val="20"/>
        </w:rPr>
      </w:pPr>
    </w:p>
    <w:p w:rsidR="00735518" w:rsidRDefault="00735518" w:rsidP="00735518">
      <w:pPr>
        <w:spacing w:line="276" w:lineRule="auto"/>
        <w:rPr>
          <w:sz w:val="20"/>
          <w:szCs w:val="20"/>
        </w:rPr>
      </w:pPr>
    </w:p>
    <w:p w:rsidR="00735518" w:rsidRPr="007567EB" w:rsidRDefault="00735518" w:rsidP="00735518">
      <w:pPr>
        <w:spacing w:line="276" w:lineRule="auto"/>
        <w:rPr>
          <w:sz w:val="20"/>
          <w:szCs w:val="20"/>
        </w:rPr>
      </w:pPr>
    </w:p>
    <w:p w:rsidR="00735518" w:rsidRPr="007567EB" w:rsidRDefault="00735518" w:rsidP="00735518">
      <w:pPr>
        <w:spacing w:line="276" w:lineRule="auto"/>
        <w:rPr>
          <w:noProof/>
          <w:sz w:val="20"/>
          <w:szCs w:val="20"/>
        </w:rPr>
      </w:pPr>
      <w:r w:rsidRPr="007567EB">
        <w:rPr>
          <w:noProof/>
          <w:sz w:val="20"/>
          <w:szCs w:val="20"/>
        </w:rPr>
        <w:t>a)</w:t>
      </w:r>
      <w:r w:rsidRPr="007567EB">
        <w:rPr>
          <w:noProof/>
          <w:sz w:val="20"/>
          <w:szCs w:val="20"/>
          <w:lang w:eastAsia="en-IN"/>
        </w:rPr>
        <w:drawing>
          <wp:inline distT="0" distB="0" distL="0" distR="0" wp14:anchorId="7C1E0AB3" wp14:editId="278D6A97">
            <wp:extent cx="3459810" cy="2981325"/>
            <wp:effectExtent l="0" t="0" r="7620" b="0"/>
            <wp:docPr id="1757043381" name="Picture 6" descr="A map of the state of flori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43381" name="Picture 6" descr="A map of the state of florida&#10;&#10;Description automatically generated"/>
                    <pic:cNvPicPr/>
                  </pic:nvPicPr>
                  <pic:blipFill rotWithShape="1">
                    <a:blip r:embed="rId6" cstate="print">
                      <a:extLst>
                        <a:ext uri="{28A0092B-C50C-407E-A947-70E740481C1C}">
                          <a14:useLocalDpi xmlns:a14="http://schemas.microsoft.com/office/drawing/2010/main" val="0"/>
                        </a:ext>
                      </a:extLst>
                    </a:blip>
                    <a:srcRect l="2981" t="25146" r="33272" b="3801"/>
                    <a:stretch/>
                  </pic:blipFill>
                  <pic:spPr bwMode="auto">
                    <a:xfrm>
                      <a:off x="0" y="0"/>
                      <a:ext cx="3466990" cy="2987512"/>
                    </a:xfrm>
                    <a:prstGeom prst="rect">
                      <a:avLst/>
                    </a:prstGeom>
                    <a:ln>
                      <a:noFill/>
                    </a:ln>
                    <a:extLst>
                      <a:ext uri="{53640926-AAD7-44D8-BBD7-CCE9431645EC}">
                        <a14:shadowObscured xmlns:a14="http://schemas.microsoft.com/office/drawing/2010/main"/>
                      </a:ext>
                    </a:extLst>
                  </pic:spPr>
                </pic:pic>
              </a:graphicData>
            </a:graphic>
          </wp:inline>
        </w:drawing>
      </w:r>
      <w:r w:rsidRPr="007567EB">
        <w:rPr>
          <w:noProof/>
          <w:sz w:val="20"/>
          <w:szCs w:val="20"/>
        </w:rPr>
        <w:t xml:space="preserve">b) </w:t>
      </w:r>
      <w:r w:rsidRPr="007567EB">
        <w:rPr>
          <w:noProof/>
          <w:sz w:val="20"/>
          <w:szCs w:val="20"/>
          <w:lang w:eastAsia="en-IN"/>
        </w:rPr>
        <w:drawing>
          <wp:inline distT="0" distB="0" distL="0" distR="0" wp14:anchorId="773EFC8B" wp14:editId="466B4A98">
            <wp:extent cx="3409950" cy="2994102"/>
            <wp:effectExtent l="0" t="0" r="0" b="0"/>
            <wp:docPr id="227303143" name="Picture 4" descr="A map of florida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03143" name="Picture 4" descr="A map of florida with black text&#10;&#10;Description automatically generated"/>
                    <pic:cNvPicPr/>
                  </pic:nvPicPr>
                  <pic:blipFill rotWithShape="1">
                    <a:blip r:embed="rId7" cstate="print">
                      <a:extLst>
                        <a:ext uri="{28A0092B-C50C-407E-A947-70E740481C1C}">
                          <a14:useLocalDpi xmlns:a14="http://schemas.microsoft.com/office/drawing/2010/main" val="0"/>
                        </a:ext>
                      </a:extLst>
                    </a:blip>
                    <a:srcRect l="2938" t="24712" r="33351" b="2873"/>
                    <a:stretch/>
                  </pic:blipFill>
                  <pic:spPr bwMode="auto">
                    <a:xfrm>
                      <a:off x="0" y="0"/>
                      <a:ext cx="3420428" cy="3003302"/>
                    </a:xfrm>
                    <a:prstGeom prst="rect">
                      <a:avLst/>
                    </a:prstGeom>
                    <a:ln>
                      <a:noFill/>
                    </a:ln>
                    <a:extLst>
                      <a:ext uri="{53640926-AAD7-44D8-BBD7-CCE9431645EC}">
                        <a14:shadowObscured xmlns:a14="http://schemas.microsoft.com/office/drawing/2010/main"/>
                      </a:ext>
                    </a:extLst>
                  </pic:spPr>
                </pic:pic>
              </a:graphicData>
            </a:graphic>
          </wp:inline>
        </w:drawing>
      </w:r>
    </w:p>
    <w:p w:rsidR="00735518" w:rsidRPr="007567EB" w:rsidRDefault="00735518" w:rsidP="00735518">
      <w:pPr>
        <w:spacing w:line="276" w:lineRule="auto"/>
        <w:rPr>
          <w:noProof/>
          <w:sz w:val="20"/>
          <w:szCs w:val="20"/>
        </w:rPr>
        <w:sectPr w:rsidR="00735518" w:rsidRPr="007567EB" w:rsidSect="00147FEC">
          <w:pgSz w:w="15840" w:h="12240" w:orient="landscape"/>
          <w:pgMar w:top="1440" w:right="1440" w:bottom="1440" w:left="1440" w:header="720" w:footer="720" w:gutter="0"/>
          <w:lnNumType w:countBy="1" w:restart="continuous"/>
          <w:cols w:space="720"/>
          <w:docGrid w:linePitch="360"/>
        </w:sectPr>
      </w:pPr>
      <w:r w:rsidRPr="007567EB">
        <w:rPr>
          <w:noProof/>
          <w:sz w:val="20"/>
          <w:szCs w:val="20"/>
        </w:rPr>
        <w:t xml:space="preserve">Appendix Figure 1. Clip 4.0 a) Biodiversity Resource Value in FEGN b) </w:t>
      </w:r>
      <w:r w:rsidRPr="007567EB">
        <w:rPr>
          <w:sz w:val="20"/>
          <w:szCs w:val="20"/>
        </w:rPr>
        <w:t>Surface Water Resource Value in FEGN</w:t>
      </w:r>
      <w:r>
        <w:rPr>
          <w:sz w:val="20"/>
          <w:szCs w:val="20"/>
        </w:rPr>
        <w:t>.</w:t>
      </w:r>
    </w:p>
    <w:p w:rsidR="00735518" w:rsidRPr="007567EB" w:rsidRDefault="00735518" w:rsidP="00735518">
      <w:pPr>
        <w:spacing w:line="276" w:lineRule="auto"/>
        <w:rPr>
          <w:sz w:val="20"/>
          <w:szCs w:val="20"/>
        </w:rPr>
      </w:pPr>
      <w:r w:rsidRPr="007567EB">
        <w:rPr>
          <w:sz w:val="20"/>
          <w:szCs w:val="20"/>
        </w:rPr>
        <w:lastRenderedPageBreak/>
        <w:t>a)</w:t>
      </w:r>
      <w:r w:rsidRPr="007567EB">
        <w:rPr>
          <w:noProof/>
          <w:lang w:eastAsia="en-IN"/>
        </w:rPr>
        <w:drawing>
          <wp:inline distT="0" distB="0" distL="0" distR="0" wp14:anchorId="1D198ADA" wp14:editId="77F09AAB">
            <wp:extent cx="2600325" cy="2272349"/>
            <wp:effectExtent l="0" t="0" r="0" b="0"/>
            <wp:docPr id="451764964" name="Picture 5" descr="A map of florid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64964" name="Picture 5" descr="A map of florida with different colored areas&#10;&#10;Description automatically generated"/>
                    <pic:cNvPicPr/>
                  </pic:nvPicPr>
                  <pic:blipFill rotWithShape="1">
                    <a:blip r:embed="rId8" cstate="print">
                      <a:extLst>
                        <a:ext uri="{28A0092B-C50C-407E-A947-70E740481C1C}">
                          <a14:useLocalDpi xmlns:a14="http://schemas.microsoft.com/office/drawing/2010/main" val="0"/>
                        </a:ext>
                      </a:extLst>
                    </a:blip>
                    <a:srcRect l="2702" t="24058" r="32982" b="3188"/>
                    <a:stretch/>
                  </pic:blipFill>
                  <pic:spPr bwMode="auto">
                    <a:xfrm>
                      <a:off x="0" y="0"/>
                      <a:ext cx="2623150" cy="2292295"/>
                    </a:xfrm>
                    <a:prstGeom prst="rect">
                      <a:avLst/>
                    </a:prstGeom>
                    <a:ln>
                      <a:noFill/>
                    </a:ln>
                    <a:extLst>
                      <a:ext uri="{53640926-AAD7-44D8-BBD7-CCE9431645EC}">
                        <a14:shadowObscured xmlns:a14="http://schemas.microsoft.com/office/drawing/2010/main"/>
                      </a:ext>
                    </a:extLst>
                  </pic:spPr>
                </pic:pic>
              </a:graphicData>
            </a:graphic>
          </wp:inline>
        </w:drawing>
      </w:r>
      <w:r w:rsidRPr="007567EB">
        <w:rPr>
          <w:sz w:val="20"/>
          <w:szCs w:val="20"/>
        </w:rPr>
        <w:t>b)</w:t>
      </w:r>
      <w:r w:rsidRPr="007567EB">
        <w:rPr>
          <w:noProof/>
          <w:lang w:eastAsia="en-IN"/>
        </w:rPr>
        <w:drawing>
          <wp:inline distT="0" distB="0" distL="0" distR="0" wp14:anchorId="646A8B47" wp14:editId="666E180E">
            <wp:extent cx="2609850" cy="2257515"/>
            <wp:effectExtent l="0" t="0" r="0" b="9525"/>
            <wp:docPr id="1889679078" name="Picture 1" descr="A map of florida with land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79078" name="Picture 1" descr="A map of florida with land and water&#10;&#10;Description automatically generated"/>
                    <pic:cNvPicPr/>
                  </pic:nvPicPr>
                  <pic:blipFill rotWithShape="1">
                    <a:blip r:embed="rId9" cstate="print">
                      <a:extLst>
                        <a:ext uri="{28A0092B-C50C-407E-A947-70E740481C1C}">
                          <a14:useLocalDpi xmlns:a14="http://schemas.microsoft.com/office/drawing/2010/main" val="0"/>
                        </a:ext>
                      </a:extLst>
                    </a:blip>
                    <a:srcRect l="2885" t="24886" r="33333" b="3719"/>
                    <a:stretch/>
                  </pic:blipFill>
                  <pic:spPr bwMode="auto">
                    <a:xfrm>
                      <a:off x="0" y="0"/>
                      <a:ext cx="2637253" cy="2281219"/>
                    </a:xfrm>
                    <a:prstGeom prst="rect">
                      <a:avLst/>
                    </a:prstGeom>
                    <a:ln>
                      <a:noFill/>
                    </a:ln>
                    <a:extLst>
                      <a:ext uri="{53640926-AAD7-44D8-BBD7-CCE9431645EC}">
                        <a14:shadowObscured xmlns:a14="http://schemas.microsoft.com/office/drawing/2010/main"/>
                      </a:ext>
                    </a:extLst>
                  </pic:spPr>
                </pic:pic>
              </a:graphicData>
            </a:graphic>
          </wp:inline>
        </w:drawing>
      </w:r>
      <w:r w:rsidRPr="007567EB">
        <w:rPr>
          <w:sz w:val="20"/>
          <w:szCs w:val="20"/>
        </w:rPr>
        <w:t>c)</w:t>
      </w:r>
      <w:r w:rsidRPr="007567EB">
        <w:rPr>
          <w:noProof/>
          <w:lang w:eastAsia="en-IN"/>
        </w:rPr>
        <w:drawing>
          <wp:inline distT="0" distB="0" distL="0" distR="0" wp14:anchorId="289DB531" wp14:editId="453CE60D">
            <wp:extent cx="2619343" cy="2263954"/>
            <wp:effectExtent l="0" t="0" r="0" b="3175"/>
            <wp:docPr id="2073842425" name="Picture 2" descr="A map of the state of flori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2425" name="Picture 2" descr="A map of the state of florida&#10;&#10;Description automatically generated"/>
                    <pic:cNvPicPr/>
                  </pic:nvPicPr>
                  <pic:blipFill rotWithShape="1">
                    <a:blip r:embed="rId10" cstate="print">
                      <a:extLst>
                        <a:ext uri="{28A0092B-C50C-407E-A947-70E740481C1C}">
                          <a14:useLocalDpi xmlns:a14="http://schemas.microsoft.com/office/drawing/2010/main" val="0"/>
                        </a:ext>
                      </a:extLst>
                    </a:blip>
                    <a:srcRect l="2724" t="24886" r="33494" b="3775"/>
                    <a:stretch/>
                  </pic:blipFill>
                  <pic:spPr bwMode="auto">
                    <a:xfrm>
                      <a:off x="0" y="0"/>
                      <a:ext cx="2638500" cy="2280512"/>
                    </a:xfrm>
                    <a:prstGeom prst="rect">
                      <a:avLst/>
                    </a:prstGeom>
                    <a:ln>
                      <a:noFill/>
                    </a:ln>
                    <a:extLst>
                      <a:ext uri="{53640926-AAD7-44D8-BBD7-CCE9431645EC}">
                        <a14:shadowObscured xmlns:a14="http://schemas.microsoft.com/office/drawing/2010/main"/>
                      </a:ext>
                    </a:extLst>
                  </pic:spPr>
                </pic:pic>
              </a:graphicData>
            </a:graphic>
          </wp:inline>
        </w:drawing>
      </w:r>
    </w:p>
    <w:p w:rsidR="00735518" w:rsidRPr="007567EB" w:rsidRDefault="00735518" w:rsidP="00735518">
      <w:pPr>
        <w:spacing w:line="276" w:lineRule="auto"/>
        <w:rPr>
          <w:sz w:val="20"/>
          <w:szCs w:val="20"/>
        </w:rPr>
      </w:pPr>
      <w:r w:rsidRPr="007567EB">
        <w:rPr>
          <w:sz w:val="20"/>
          <w:szCs w:val="20"/>
        </w:rPr>
        <w:t>d)</w:t>
      </w:r>
      <w:r w:rsidRPr="007567EB">
        <w:rPr>
          <w:noProof/>
          <w:sz w:val="20"/>
          <w:szCs w:val="20"/>
          <w:lang w:eastAsia="en-IN"/>
        </w:rPr>
        <w:drawing>
          <wp:inline distT="0" distB="0" distL="0" distR="0" wp14:anchorId="4C5264FA" wp14:editId="0FF8A603">
            <wp:extent cx="2669840" cy="2305050"/>
            <wp:effectExtent l="0" t="0" r="0" b="0"/>
            <wp:docPr id="17895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69" t="25682" r="33953" b="4334"/>
                    <a:stretch/>
                  </pic:blipFill>
                  <pic:spPr bwMode="auto">
                    <a:xfrm>
                      <a:off x="0" y="0"/>
                      <a:ext cx="2672248" cy="2307129"/>
                    </a:xfrm>
                    <a:prstGeom prst="rect">
                      <a:avLst/>
                    </a:prstGeom>
                    <a:noFill/>
                    <a:ln>
                      <a:noFill/>
                    </a:ln>
                    <a:extLst>
                      <a:ext uri="{53640926-AAD7-44D8-BBD7-CCE9431645EC}">
                        <a14:shadowObscured xmlns:a14="http://schemas.microsoft.com/office/drawing/2010/main"/>
                      </a:ext>
                    </a:extLst>
                  </pic:spPr>
                </pic:pic>
              </a:graphicData>
            </a:graphic>
          </wp:inline>
        </w:drawing>
      </w:r>
    </w:p>
    <w:p w:rsidR="00735518" w:rsidRPr="007567EB" w:rsidRDefault="00735518" w:rsidP="00735518">
      <w:pPr>
        <w:spacing w:line="276" w:lineRule="auto"/>
      </w:pPr>
      <w:r w:rsidRPr="007567EB">
        <w:t>Appendix Figure 2. Florida Panther: a) Strategic Value in the FEGN; b) Habitat Suitability Results from the Random Forest Model (</w:t>
      </w:r>
      <w:proofErr w:type="spellStart"/>
      <w:r w:rsidRPr="007567EB">
        <w:t>Frakes</w:t>
      </w:r>
      <w:proofErr w:type="spellEnd"/>
      <w:r w:rsidRPr="007567EB">
        <w:t xml:space="preserve"> et al. 2015); c) Top 50% Suitable Areas for the Florida Panther </w:t>
      </w:r>
      <w:r w:rsidRPr="000B3A60">
        <w:t>and D) Top 50% Connectivity Results for Florida Panther (</w:t>
      </w:r>
      <w:proofErr w:type="spellStart"/>
      <w:r w:rsidRPr="000B3A60">
        <w:t>Bohnett</w:t>
      </w:r>
      <w:proofErr w:type="spellEnd"/>
      <w:r w:rsidRPr="000B3A60">
        <w:t xml:space="preserve"> et al. 2024), highlighting high-priority regions both within and outside the FEGN.</w:t>
      </w:r>
    </w:p>
    <w:p w:rsidR="00735518" w:rsidRPr="007567EB" w:rsidRDefault="00735518" w:rsidP="00735518">
      <w:pPr>
        <w:spacing w:line="276" w:lineRule="auto"/>
      </w:pPr>
    </w:p>
    <w:p w:rsidR="00735518" w:rsidRPr="007567EB" w:rsidRDefault="00735518" w:rsidP="00735518">
      <w:pPr>
        <w:spacing w:line="276" w:lineRule="auto"/>
      </w:pPr>
    </w:p>
    <w:p w:rsidR="00735518" w:rsidRPr="007567EB" w:rsidRDefault="00735518" w:rsidP="00735518">
      <w:pPr>
        <w:spacing w:line="276" w:lineRule="auto"/>
        <w:rPr>
          <w:sz w:val="20"/>
          <w:szCs w:val="20"/>
        </w:rPr>
      </w:pPr>
      <w:r w:rsidRPr="007567EB">
        <w:t>a)</w:t>
      </w:r>
      <w:r w:rsidRPr="007567EB">
        <w:rPr>
          <w:noProof/>
          <w:sz w:val="20"/>
          <w:szCs w:val="20"/>
          <w:lang w:eastAsia="en-IN"/>
        </w:rPr>
        <w:drawing>
          <wp:inline distT="0" distB="0" distL="0" distR="0" wp14:anchorId="510576BD" wp14:editId="59A90C99">
            <wp:extent cx="2549769" cy="2209800"/>
            <wp:effectExtent l="0" t="0" r="3175" b="0"/>
            <wp:docPr id="1967983858" name="Picture 3" descr="A map of florida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83858" name="Picture 3" descr="A map of florida with text&#10;&#10;Description automatically generated"/>
                    <pic:cNvPicPr/>
                  </pic:nvPicPr>
                  <pic:blipFill rotWithShape="1">
                    <a:blip r:embed="rId12" cstate="print">
                      <a:extLst>
                        <a:ext uri="{28A0092B-C50C-407E-A947-70E740481C1C}">
                          <a14:useLocalDpi xmlns:a14="http://schemas.microsoft.com/office/drawing/2010/main" val="0"/>
                        </a:ext>
                      </a:extLst>
                    </a:blip>
                    <a:srcRect l="3220" t="25000" r="33625" b="4166"/>
                    <a:stretch/>
                  </pic:blipFill>
                  <pic:spPr bwMode="auto">
                    <a:xfrm>
                      <a:off x="0" y="0"/>
                      <a:ext cx="2558857" cy="2217676"/>
                    </a:xfrm>
                    <a:prstGeom prst="rect">
                      <a:avLst/>
                    </a:prstGeom>
                    <a:ln>
                      <a:noFill/>
                    </a:ln>
                    <a:extLst>
                      <a:ext uri="{53640926-AAD7-44D8-BBD7-CCE9431645EC}">
                        <a14:shadowObscured xmlns:a14="http://schemas.microsoft.com/office/drawing/2010/main"/>
                      </a:ext>
                    </a:extLst>
                  </pic:spPr>
                </pic:pic>
              </a:graphicData>
            </a:graphic>
          </wp:inline>
        </w:drawing>
      </w:r>
      <w:r w:rsidRPr="007567EB">
        <w:t xml:space="preserve">b) </w:t>
      </w:r>
      <w:r w:rsidRPr="007567EB">
        <w:rPr>
          <w:noProof/>
          <w:sz w:val="20"/>
          <w:szCs w:val="20"/>
          <w:lang w:eastAsia="en-IN"/>
        </w:rPr>
        <w:drawing>
          <wp:inline distT="0" distB="0" distL="0" distR="0" wp14:anchorId="45551E8D" wp14:editId="6D81E04F">
            <wp:extent cx="2554769" cy="2209800"/>
            <wp:effectExtent l="0" t="0" r="0" b="0"/>
            <wp:docPr id="1536599166" name="Picture 4" descr="A map of florid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99166" name="Picture 4" descr="A map of florida with different colored areas&#10;&#10;Description automatically generated"/>
                    <pic:cNvPicPr/>
                  </pic:nvPicPr>
                  <pic:blipFill rotWithShape="1">
                    <a:blip r:embed="rId13" cstate="print">
                      <a:extLst>
                        <a:ext uri="{28A0092B-C50C-407E-A947-70E740481C1C}">
                          <a14:useLocalDpi xmlns:a14="http://schemas.microsoft.com/office/drawing/2010/main" val="0"/>
                        </a:ext>
                      </a:extLst>
                    </a:blip>
                    <a:srcRect l="3219" t="25000" r="33501" b="4166"/>
                    <a:stretch/>
                  </pic:blipFill>
                  <pic:spPr bwMode="auto">
                    <a:xfrm>
                      <a:off x="0" y="0"/>
                      <a:ext cx="2572972" cy="2225545"/>
                    </a:xfrm>
                    <a:prstGeom prst="rect">
                      <a:avLst/>
                    </a:prstGeom>
                    <a:ln>
                      <a:noFill/>
                    </a:ln>
                    <a:extLst>
                      <a:ext uri="{53640926-AAD7-44D8-BBD7-CCE9431645EC}">
                        <a14:shadowObscured xmlns:a14="http://schemas.microsoft.com/office/drawing/2010/main"/>
                      </a:ext>
                    </a:extLst>
                  </pic:spPr>
                </pic:pic>
              </a:graphicData>
            </a:graphic>
          </wp:inline>
        </w:drawing>
      </w:r>
      <w:r w:rsidRPr="007567EB">
        <w:t xml:space="preserve"> c) </w:t>
      </w:r>
      <w:r w:rsidRPr="007567EB">
        <w:rPr>
          <w:noProof/>
          <w:lang w:eastAsia="en-IN"/>
        </w:rPr>
        <w:drawing>
          <wp:inline distT="0" distB="0" distL="0" distR="0" wp14:anchorId="2A8735C7" wp14:editId="2026EF88">
            <wp:extent cx="2619375" cy="2265967"/>
            <wp:effectExtent l="0" t="0" r="0" b="1270"/>
            <wp:docPr id="273051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70" t="25682" r="34077" b="4334"/>
                    <a:stretch/>
                  </pic:blipFill>
                  <pic:spPr bwMode="auto">
                    <a:xfrm>
                      <a:off x="0" y="0"/>
                      <a:ext cx="2627914" cy="2273354"/>
                    </a:xfrm>
                    <a:prstGeom prst="rect">
                      <a:avLst/>
                    </a:prstGeom>
                    <a:noFill/>
                    <a:ln>
                      <a:noFill/>
                    </a:ln>
                    <a:extLst>
                      <a:ext uri="{53640926-AAD7-44D8-BBD7-CCE9431645EC}">
                        <a14:shadowObscured xmlns:a14="http://schemas.microsoft.com/office/drawing/2010/main"/>
                      </a:ext>
                    </a:extLst>
                  </pic:spPr>
                </pic:pic>
              </a:graphicData>
            </a:graphic>
          </wp:inline>
        </w:drawing>
      </w:r>
    </w:p>
    <w:p w:rsidR="00735518" w:rsidRDefault="00735518" w:rsidP="00735518">
      <w:pPr>
        <w:spacing w:line="276" w:lineRule="auto"/>
      </w:pPr>
      <w:r w:rsidRPr="007567EB">
        <w:t xml:space="preserve">Appendix Figure 3. Florida Black Bear a) Habitat suitability results from the Consensus </w:t>
      </w:r>
      <w:proofErr w:type="spellStart"/>
      <w:r w:rsidRPr="007567EB">
        <w:t>Maxent</w:t>
      </w:r>
      <w:proofErr w:type="spellEnd"/>
      <w:r w:rsidRPr="007567EB">
        <w:t xml:space="preserve"> </w:t>
      </w:r>
      <w:proofErr w:type="spellStart"/>
      <w:r w:rsidRPr="007567EB">
        <w:t>Mahalobis</w:t>
      </w:r>
      <w:proofErr w:type="spellEnd"/>
      <w:r w:rsidRPr="007567EB">
        <w:t xml:space="preserve"> Distance Model (Poor et al. 2020),</w:t>
      </w:r>
      <w:r>
        <w:t xml:space="preserve"> </w:t>
      </w:r>
      <w:r w:rsidRPr="007567EB">
        <w:t xml:space="preserve">b) Top 50% Suitable Areas for the Florida Black Bear (Poor et al. 2020) </w:t>
      </w:r>
      <w:r w:rsidRPr="000B3A60">
        <w:t>c) Top 50% Connectivity results for Florida Black Bear (</w:t>
      </w:r>
      <w:proofErr w:type="spellStart"/>
      <w:r w:rsidRPr="000B3A60">
        <w:t>Bohnett</w:t>
      </w:r>
      <w:proofErr w:type="spellEnd"/>
      <w:r w:rsidRPr="000B3A60">
        <w:t xml:space="preserve"> et al. 2024), highlighting high-priority regions both within and outside the FEGN.</w:t>
      </w:r>
    </w:p>
    <w:p w:rsidR="00735518" w:rsidRDefault="00735518" w:rsidP="00735518">
      <w:pPr>
        <w:spacing w:line="276" w:lineRule="auto"/>
      </w:pPr>
    </w:p>
    <w:p w:rsidR="00735518" w:rsidRPr="00624A57" w:rsidRDefault="00735518" w:rsidP="00735518">
      <w:pPr>
        <w:spacing w:line="276" w:lineRule="auto"/>
      </w:pPr>
      <w:r>
        <w:lastRenderedPageBreak/>
        <w:t>a)</w:t>
      </w:r>
      <w:r>
        <w:rPr>
          <w:noProof/>
          <w:highlight w:val="cyan"/>
          <w:lang w:eastAsia="en-IN"/>
        </w:rPr>
        <w:drawing>
          <wp:inline distT="0" distB="0" distL="0" distR="0" wp14:anchorId="10BFFEE3" wp14:editId="30A21312">
            <wp:extent cx="3594100" cy="3105490"/>
            <wp:effectExtent l="0" t="0" r="6350" b="0"/>
            <wp:docPr id="187956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41" t="25026" r="33636" b="4278"/>
                    <a:stretch/>
                  </pic:blipFill>
                  <pic:spPr bwMode="auto">
                    <a:xfrm>
                      <a:off x="0" y="0"/>
                      <a:ext cx="3610038" cy="3119262"/>
                    </a:xfrm>
                    <a:prstGeom prst="rect">
                      <a:avLst/>
                    </a:prstGeom>
                    <a:noFill/>
                    <a:ln>
                      <a:noFill/>
                    </a:ln>
                    <a:extLst>
                      <a:ext uri="{53640926-AAD7-44D8-BBD7-CCE9431645EC}">
                        <a14:shadowObscured xmlns:a14="http://schemas.microsoft.com/office/drawing/2010/main"/>
                      </a:ext>
                    </a:extLst>
                  </pic:spPr>
                </pic:pic>
              </a:graphicData>
            </a:graphic>
          </wp:inline>
        </w:drawing>
      </w:r>
      <w:r>
        <w:t>b)</w:t>
      </w:r>
      <w:r>
        <w:rPr>
          <w:noProof/>
          <w:lang w:eastAsia="en-IN"/>
        </w:rPr>
        <w:drawing>
          <wp:inline distT="0" distB="0" distL="0" distR="0" wp14:anchorId="54C273C0" wp14:editId="42DF8143">
            <wp:extent cx="3594100" cy="3097314"/>
            <wp:effectExtent l="0" t="0" r="6350" b="8255"/>
            <wp:docPr id="1268622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20" t="25490" r="33690" b="4037"/>
                    <a:stretch/>
                  </pic:blipFill>
                  <pic:spPr bwMode="auto">
                    <a:xfrm>
                      <a:off x="0" y="0"/>
                      <a:ext cx="3615089" cy="3115401"/>
                    </a:xfrm>
                    <a:prstGeom prst="rect">
                      <a:avLst/>
                    </a:prstGeom>
                    <a:noFill/>
                    <a:ln>
                      <a:noFill/>
                    </a:ln>
                    <a:extLst>
                      <a:ext uri="{53640926-AAD7-44D8-BBD7-CCE9431645EC}">
                        <a14:shadowObscured xmlns:a14="http://schemas.microsoft.com/office/drawing/2010/main"/>
                      </a:ext>
                    </a:extLst>
                  </pic:spPr>
                </pic:pic>
              </a:graphicData>
            </a:graphic>
          </wp:inline>
        </w:drawing>
      </w:r>
    </w:p>
    <w:p w:rsidR="00735518" w:rsidRDefault="00735518" w:rsidP="00735518">
      <w:pPr>
        <w:spacing w:line="276" w:lineRule="auto"/>
      </w:pPr>
      <w:r w:rsidRPr="000B3A60">
        <w:t xml:space="preserve">Appendix Figure 4. Agricultural Connectivity 1) </w:t>
      </w:r>
      <w:proofErr w:type="spellStart"/>
      <w:r w:rsidRPr="000B3A60">
        <w:t>omniscape</w:t>
      </w:r>
      <w:proofErr w:type="spellEnd"/>
      <w:r w:rsidRPr="000B3A60">
        <w:t xml:space="preserve"> results b) agricultural intensity</w:t>
      </w:r>
    </w:p>
    <w:p w:rsidR="00735518" w:rsidRDefault="00735518" w:rsidP="00735518">
      <w:pPr>
        <w:spacing w:line="276" w:lineRule="auto"/>
      </w:pPr>
    </w:p>
    <w:p w:rsidR="00735518" w:rsidRDefault="00735518" w:rsidP="00735518">
      <w:pPr>
        <w:spacing w:line="276" w:lineRule="auto"/>
      </w:pPr>
      <w:r>
        <w:rPr>
          <w:noProof/>
          <w:lang w:eastAsia="en-IN"/>
        </w:rPr>
        <w:lastRenderedPageBreak/>
        <w:drawing>
          <wp:inline distT="0" distB="0" distL="0" distR="0" wp14:anchorId="136ED27E" wp14:editId="1D8DD583">
            <wp:extent cx="3327149" cy="2858796"/>
            <wp:effectExtent l="0" t="0" r="6985" b="0"/>
            <wp:docPr id="1201401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9" t="25076" r="33689" b="4262"/>
                    <a:stretch/>
                  </pic:blipFill>
                  <pic:spPr bwMode="auto">
                    <a:xfrm>
                      <a:off x="0" y="0"/>
                      <a:ext cx="3329852" cy="2861119"/>
                    </a:xfrm>
                    <a:prstGeom prst="rect">
                      <a:avLst/>
                    </a:prstGeom>
                    <a:noFill/>
                    <a:ln>
                      <a:noFill/>
                    </a:ln>
                    <a:extLst>
                      <a:ext uri="{53640926-AAD7-44D8-BBD7-CCE9431645EC}">
                        <a14:shadowObscured xmlns:a14="http://schemas.microsoft.com/office/drawing/2010/main"/>
                      </a:ext>
                    </a:extLst>
                  </pic:spPr>
                </pic:pic>
              </a:graphicData>
            </a:graphic>
          </wp:inline>
        </w:drawing>
      </w:r>
    </w:p>
    <w:p w:rsidR="00735518" w:rsidRDefault="00735518" w:rsidP="00735518">
      <w:pPr>
        <w:spacing w:line="276" w:lineRule="auto"/>
      </w:pPr>
    </w:p>
    <w:p w:rsidR="00735518" w:rsidRPr="00D307A9" w:rsidRDefault="00735518" w:rsidP="00735518">
      <w:pPr>
        <w:spacing w:line="276" w:lineRule="auto"/>
        <w:rPr>
          <w:sz w:val="20"/>
          <w:szCs w:val="20"/>
        </w:rPr>
      </w:pPr>
      <w:bookmarkStart w:id="6" w:name="_GoBack"/>
      <w:bookmarkEnd w:id="6"/>
      <w:r w:rsidRPr="000B3A60">
        <w:t>Appendix Figure 5. Florida Circuit Model “diffuse high” output overlap.</w:t>
      </w:r>
    </w:p>
    <w:p w:rsidR="000D3891" w:rsidRDefault="000D3891"/>
    <w:sectPr w:rsidR="000D3891" w:rsidSect="00147FE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18"/>
    <w:rsid w:val="00002032"/>
    <w:rsid w:val="000077DC"/>
    <w:rsid w:val="000175AD"/>
    <w:rsid w:val="000216A7"/>
    <w:rsid w:val="000225C0"/>
    <w:rsid w:val="00051859"/>
    <w:rsid w:val="00060248"/>
    <w:rsid w:val="00071CE0"/>
    <w:rsid w:val="00075BDB"/>
    <w:rsid w:val="000977D8"/>
    <w:rsid w:val="000B3A60"/>
    <w:rsid w:val="000D3891"/>
    <w:rsid w:val="000E47B0"/>
    <w:rsid w:val="000E4E6C"/>
    <w:rsid w:val="00111373"/>
    <w:rsid w:val="00116610"/>
    <w:rsid w:val="00122FA4"/>
    <w:rsid w:val="00124E5E"/>
    <w:rsid w:val="001261EE"/>
    <w:rsid w:val="001505AC"/>
    <w:rsid w:val="00166275"/>
    <w:rsid w:val="00171E22"/>
    <w:rsid w:val="001A70BA"/>
    <w:rsid w:val="001B1A45"/>
    <w:rsid w:val="001D3B88"/>
    <w:rsid w:val="001E634A"/>
    <w:rsid w:val="001F3581"/>
    <w:rsid w:val="00205F9F"/>
    <w:rsid w:val="00215AC8"/>
    <w:rsid w:val="00221DE0"/>
    <w:rsid w:val="00235C4A"/>
    <w:rsid w:val="002424F1"/>
    <w:rsid w:val="00265BFB"/>
    <w:rsid w:val="002749E1"/>
    <w:rsid w:val="002762B3"/>
    <w:rsid w:val="00276930"/>
    <w:rsid w:val="00286DE1"/>
    <w:rsid w:val="0029150A"/>
    <w:rsid w:val="00292A6B"/>
    <w:rsid w:val="002A577E"/>
    <w:rsid w:val="002B2233"/>
    <w:rsid w:val="002B50BA"/>
    <w:rsid w:val="002C3F59"/>
    <w:rsid w:val="002C5826"/>
    <w:rsid w:val="002D116A"/>
    <w:rsid w:val="002D434C"/>
    <w:rsid w:val="002E1380"/>
    <w:rsid w:val="002E6F42"/>
    <w:rsid w:val="002F136E"/>
    <w:rsid w:val="003174EF"/>
    <w:rsid w:val="00322D9F"/>
    <w:rsid w:val="00325248"/>
    <w:rsid w:val="00330F97"/>
    <w:rsid w:val="00346B7A"/>
    <w:rsid w:val="0038130D"/>
    <w:rsid w:val="0039741C"/>
    <w:rsid w:val="003A28F9"/>
    <w:rsid w:val="003A38D2"/>
    <w:rsid w:val="003C1751"/>
    <w:rsid w:val="003E3BC8"/>
    <w:rsid w:val="003E7B61"/>
    <w:rsid w:val="0040585A"/>
    <w:rsid w:val="00432FB7"/>
    <w:rsid w:val="00433A2D"/>
    <w:rsid w:val="004346D6"/>
    <w:rsid w:val="004530B1"/>
    <w:rsid w:val="00454A43"/>
    <w:rsid w:val="00481055"/>
    <w:rsid w:val="004911D4"/>
    <w:rsid w:val="00493BF1"/>
    <w:rsid w:val="004A0DCA"/>
    <w:rsid w:val="004A1E7E"/>
    <w:rsid w:val="004A5771"/>
    <w:rsid w:val="004A63FF"/>
    <w:rsid w:val="004C3101"/>
    <w:rsid w:val="004C7740"/>
    <w:rsid w:val="004E69A8"/>
    <w:rsid w:val="00500AAC"/>
    <w:rsid w:val="00515655"/>
    <w:rsid w:val="00525BC4"/>
    <w:rsid w:val="00531DE1"/>
    <w:rsid w:val="0053390C"/>
    <w:rsid w:val="005343F6"/>
    <w:rsid w:val="00547C3C"/>
    <w:rsid w:val="0055015A"/>
    <w:rsid w:val="005513B3"/>
    <w:rsid w:val="00563CB0"/>
    <w:rsid w:val="0057189C"/>
    <w:rsid w:val="00581418"/>
    <w:rsid w:val="00593C9A"/>
    <w:rsid w:val="005B6C9A"/>
    <w:rsid w:val="005C1DD6"/>
    <w:rsid w:val="005D0CF2"/>
    <w:rsid w:val="005F4786"/>
    <w:rsid w:val="006064F9"/>
    <w:rsid w:val="00611FFE"/>
    <w:rsid w:val="0061371B"/>
    <w:rsid w:val="00621838"/>
    <w:rsid w:val="00623CA0"/>
    <w:rsid w:val="006405AE"/>
    <w:rsid w:val="00653D13"/>
    <w:rsid w:val="00663913"/>
    <w:rsid w:val="00664E78"/>
    <w:rsid w:val="00665794"/>
    <w:rsid w:val="00667734"/>
    <w:rsid w:val="00685C47"/>
    <w:rsid w:val="00692A0B"/>
    <w:rsid w:val="006C1A8A"/>
    <w:rsid w:val="006C6102"/>
    <w:rsid w:val="006D460A"/>
    <w:rsid w:val="006D51C8"/>
    <w:rsid w:val="00717B68"/>
    <w:rsid w:val="00735518"/>
    <w:rsid w:val="00754D18"/>
    <w:rsid w:val="0076559E"/>
    <w:rsid w:val="00766D08"/>
    <w:rsid w:val="0078691E"/>
    <w:rsid w:val="00790F76"/>
    <w:rsid w:val="007A301E"/>
    <w:rsid w:val="007A3AC5"/>
    <w:rsid w:val="007B0B34"/>
    <w:rsid w:val="007B2B17"/>
    <w:rsid w:val="007E2833"/>
    <w:rsid w:val="007E56D3"/>
    <w:rsid w:val="00810FAC"/>
    <w:rsid w:val="0081643A"/>
    <w:rsid w:val="00821916"/>
    <w:rsid w:val="008236F1"/>
    <w:rsid w:val="00827013"/>
    <w:rsid w:val="00840E07"/>
    <w:rsid w:val="00847EC9"/>
    <w:rsid w:val="0088424E"/>
    <w:rsid w:val="008A62ED"/>
    <w:rsid w:val="008B1882"/>
    <w:rsid w:val="008B3B47"/>
    <w:rsid w:val="008B5878"/>
    <w:rsid w:val="008B6DC7"/>
    <w:rsid w:val="008C1B6D"/>
    <w:rsid w:val="008C5D6D"/>
    <w:rsid w:val="008D4BDE"/>
    <w:rsid w:val="008E0020"/>
    <w:rsid w:val="008F29F6"/>
    <w:rsid w:val="008F7D82"/>
    <w:rsid w:val="00912467"/>
    <w:rsid w:val="0091307D"/>
    <w:rsid w:val="0093509B"/>
    <w:rsid w:val="009359F2"/>
    <w:rsid w:val="00936AC1"/>
    <w:rsid w:val="0095360B"/>
    <w:rsid w:val="00963475"/>
    <w:rsid w:val="00963830"/>
    <w:rsid w:val="009759C4"/>
    <w:rsid w:val="00984020"/>
    <w:rsid w:val="00990CB8"/>
    <w:rsid w:val="009A080B"/>
    <w:rsid w:val="009A62EC"/>
    <w:rsid w:val="009D3057"/>
    <w:rsid w:val="009D3672"/>
    <w:rsid w:val="009F2557"/>
    <w:rsid w:val="009F4F4B"/>
    <w:rsid w:val="00A00027"/>
    <w:rsid w:val="00A00A7E"/>
    <w:rsid w:val="00A15664"/>
    <w:rsid w:val="00A2330E"/>
    <w:rsid w:val="00A24FAC"/>
    <w:rsid w:val="00A423E4"/>
    <w:rsid w:val="00A452A6"/>
    <w:rsid w:val="00A50EA3"/>
    <w:rsid w:val="00A56B73"/>
    <w:rsid w:val="00A60375"/>
    <w:rsid w:val="00A6585D"/>
    <w:rsid w:val="00A71D91"/>
    <w:rsid w:val="00A804F0"/>
    <w:rsid w:val="00A80CF7"/>
    <w:rsid w:val="00A81251"/>
    <w:rsid w:val="00A96B6A"/>
    <w:rsid w:val="00AA4CBB"/>
    <w:rsid w:val="00AB01AD"/>
    <w:rsid w:val="00AB2555"/>
    <w:rsid w:val="00AB5F9F"/>
    <w:rsid w:val="00AB7916"/>
    <w:rsid w:val="00AD3470"/>
    <w:rsid w:val="00AE5F7E"/>
    <w:rsid w:val="00B01C43"/>
    <w:rsid w:val="00B071B3"/>
    <w:rsid w:val="00B1176E"/>
    <w:rsid w:val="00B25182"/>
    <w:rsid w:val="00B45795"/>
    <w:rsid w:val="00B4789A"/>
    <w:rsid w:val="00B512F8"/>
    <w:rsid w:val="00B52668"/>
    <w:rsid w:val="00B5638C"/>
    <w:rsid w:val="00B62B77"/>
    <w:rsid w:val="00B72A89"/>
    <w:rsid w:val="00BA210D"/>
    <w:rsid w:val="00BA3704"/>
    <w:rsid w:val="00BA3BCB"/>
    <w:rsid w:val="00BE39A1"/>
    <w:rsid w:val="00BE7C73"/>
    <w:rsid w:val="00C0081B"/>
    <w:rsid w:val="00C01D3A"/>
    <w:rsid w:val="00C04251"/>
    <w:rsid w:val="00C06EA8"/>
    <w:rsid w:val="00C13096"/>
    <w:rsid w:val="00C15345"/>
    <w:rsid w:val="00C213C0"/>
    <w:rsid w:val="00C2317E"/>
    <w:rsid w:val="00C31A74"/>
    <w:rsid w:val="00C45203"/>
    <w:rsid w:val="00C5039B"/>
    <w:rsid w:val="00C86BF2"/>
    <w:rsid w:val="00C871E7"/>
    <w:rsid w:val="00C93B53"/>
    <w:rsid w:val="00CA747C"/>
    <w:rsid w:val="00CC476F"/>
    <w:rsid w:val="00CC6221"/>
    <w:rsid w:val="00CC76F5"/>
    <w:rsid w:val="00CD031A"/>
    <w:rsid w:val="00CD688F"/>
    <w:rsid w:val="00CF59CF"/>
    <w:rsid w:val="00D04153"/>
    <w:rsid w:val="00D14824"/>
    <w:rsid w:val="00D20F38"/>
    <w:rsid w:val="00D238D1"/>
    <w:rsid w:val="00D32556"/>
    <w:rsid w:val="00D37C31"/>
    <w:rsid w:val="00D46BA8"/>
    <w:rsid w:val="00D64511"/>
    <w:rsid w:val="00D664EE"/>
    <w:rsid w:val="00D66735"/>
    <w:rsid w:val="00D72DED"/>
    <w:rsid w:val="00D73C5F"/>
    <w:rsid w:val="00D76304"/>
    <w:rsid w:val="00D77D76"/>
    <w:rsid w:val="00D8072B"/>
    <w:rsid w:val="00D865CB"/>
    <w:rsid w:val="00DA1A9E"/>
    <w:rsid w:val="00DB3D32"/>
    <w:rsid w:val="00DC0FB8"/>
    <w:rsid w:val="00DE1D9F"/>
    <w:rsid w:val="00DE55C4"/>
    <w:rsid w:val="00DF5DBB"/>
    <w:rsid w:val="00E00B95"/>
    <w:rsid w:val="00E04C3D"/>
    <w:rsid w:val="00E17F02"/>
    <w:rsid w:val="00E219B9"/>
    <w:rsid w:val="00E24384"/>
    <w:rsid w:val="00E3780F"/>
    <w:rsid w:val="00E44473"/>
    <w:rsid w:val="00E50E5D"/>
    <w:rsid w:val="00E54A17"/>
    <w:rsid w:val="00E852A4"/>
    <w:rsid w:val="00E95DC0"/>
    <w:rsid w:val="00EA23C3"/>
    <w:rsid w:val="00EA3DD2"/>
    <w:rsid w:val="00EB02D4"/>
    <w:rsid w:val="00EB2D34"/>
    <w:rsid w:val="00EB5CF8"/>
    <w:rsid w:val="00EC63B4"/>
    <w:rsid w:val="00EE5246"/>
    <w:rsid w:val="00F06113"/>
    <w:rsid w:val="00F116FE"/>
    <w:rsid w:val="00F14163"/>
    <w:rsid w:val="00F24D21"/>
    <w:rsid w:val="00F44608"/>
    <w:rsid w:val="00F53EA6"/>
    <w:rsid w:val="00F67614"/>
    <w:rsid w:val="00F7346F"/>
    <w:rsid w:val="00F77C9D"/>
    <w:rsid w:val="00F80559"/>
    <w:rsid w:val="00F80D8A"/>
    <w:rsid w:val="00F81F71"/>
    <w:rsid w:val="00F8655A"/>
    <w:rsid w:val="00F87A90"/>
    <w:rsid w:val="00F9469F"/>
    <w:rsid w:val="00F961F9"/>
    <w:rsid w:val="00FA56A2"/>
    <w:rsid w:val="00FC0FEF"/>
    <w:rsid w:val="00FF5C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E3596-213A-43CC-ADAC-963B8E84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735518"/>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5518"/>
    <w:rPr>
      <w:rFonts w:asciiTheme="majorHAnsi" w:eastAsiaTheme="majorEastAsia" w:hAnsiTheme="majorHAnsi" w:cstheme="majorBidi"/>
      <w:color w:val="1F4D78" w:themeColor="accent1" w:themeShade="7F"/>
      <w:sz w:val="24"/>
      <w:szCs w:val="24"/>
      <w:lang w:val="en-US"/>
    </w:rPr>
  </w:style>
  <w:style w:type="paragraph" w:styleId="NoSpacing">
    <w:name w:val="No Spacing"/>
    <w:uiPriority w:val="1"/>
    <w:qFormat/>
    <w:rsid w:val="00735518"/>
    <w:pPr>
      <w:spacing w:after="0" w:line="240" w:lineRule="auto"/>
    </w:pPr>
    <w:rPr>
      <w:lang w:val="en-US"/>
    </w:rPr>
  </w:style>
  <w:style w:type="character" w:customStyle="1" w:styleId="cf01">
    <w:name w:val="cf01"/>
    <w:basedOn w:val="DefaultParagraphFont"/>
    <w:rsid w:val="00735518"/>
    <w:rPr>
      <w:rFonts w:ascii="Segoe UI" w:hAnsi="Segoe UI" w:cs="Segoe UI" w:hint="default"/>
      <w:sz w:val="18"/>
      <w:szCs w:val="18"/>
    </w:rPr>
  </w:style>
  <w:style w:type="table" w:styleId="TableGrid">
    <w:name w:val="Table Grid"/>
    <w:basedOn w:val="TableNormal"/>
    <w:uiPriority w:val="39"/>
    <w:rsid w:val="00735518"/>
    <w:pPr>
      <w:spacing w:after="0" w:line="240" w:lineRule="auto"/>
    </w:pPr>
    <w:rPr>
      <w:rFonts w:eastAsiaTheme="minorEastAsia"/>
      <w:kern w:val="2"/>
      <w:sz w:val="24"/>
      <w:szCs w:val="24"/>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35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dataservices.gfz-potsdam.de/contact/showshort.php?id=escidoc:1541893&amp;contactform"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404FE-FA36-407E-B8A5-01582C8DF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2164</Words>
  <Characters>12335</Characters>
  <Application>Microsoft Office Word</Application>
  <DocSecurity>0</DocSecurity>
  <Lines>102</Lines>
  <Paragraphs>28</Paragraphs>
  <ScaleCrop>false</ScaleCrop>
  <Company>HP Inc.</Company>
  <LinksUpToDate>false</LinksUpToDate>
  <CharactersWithSpaces>14471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Jawahar  Mookkaiya</dc:creator>
  <cp:keywords/>
  <dc:description/>
  <cp:lastModifiedBy>Muthulakshmanan Kandaswamy</cp:lastModifiedBy>
  <cp:revision>2</cp:revision>
  <dcterms:created xsi:type="dcterms:W3CDTF">2025-01-20T13:05:00Z</dcterms:created>
  <dcterms:modified xsi:type="dcterms:W3CDTF">2025-01-22T15:25:00Z</dcterms:modified>
</cp:coreProperties>
</file>