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3EC43" w14:textId="77777777" w:rsidR="008A1FF9" w:rsidRPr="00856D04" w:rsidRDefault="008A1FF9" w:rsidP="008A1FF9">
      <w:pPr>
        <w:pStyle w:val="MDPI23heading3"/>
        <w:spacing w:line="480" w:lineRule="auto"/>
        <w:ind w:left="0"/>
        <w:rPr>
          <w:rFonts w:ascii="Times New Roman" w:hAnsi="Times New Roman"/>
          <w:color w:val="auto"/>
          <w:sz w:val="24"/>
          <w:szCs w:val="24"/>
        </w:rPr>
      </w:pPr>
      <w:r w:rsidRPr="00856D04">
        <w:rPr>
          <w:rFonts w:ascii="Times New Roman" w:hAnsi="Times New Roman"/>
          <w:color w:val="auto"/>
          <w:sz w:val="24"/>
          <w:szCs w:val="24"/>
        </w:rPr>
        <w:t>2.3.2 Prediction of Future Land Cover Changes Based on the PLUS Model</w:t>
      </w:r>
    </w:p>
    <w:p w14:paraId="2E2550EE" w14:textId="77777777" w:rsidR="008A1FF9" w:rsidRPr="00856D04" w:rsidRDefault="008A1FF9" w:rsidP="008A1FF9">
      <w:pPr>
        <w:spacing w:line="480" w:lineRule="auto"/>
        <w:ind w:firstLineChars="200" w:firstLine="480"/>
        <w:rPr>
          <w:rFonts w:ascii="Times New Roman" w:hAnsi="Times New Roman" w:cs="Times New Roman"/>
          <w:sz w:val="24"/>
          <w:szCs w:val="24"/>
        </w:rPr>
      </w:pPr>
      <w:r w:rsidRPr="00856D04">
        <w:rPr>
          <w:rFonts w:ascii="Times New Roman" w:hAnsi="Times New Roman" w:cs="Times New Roman"/>
          <w:sz w:val="24"/>
          <w:szCs w:val="24"/>
        </w:rPr>
        <w:t xml:space="preserve">(1) Land cover simulation driving factors. The driving factors selected for </w:t>
      </w:r>
      <w:bookmarkStart w:id="0" w:name="OLE_LINK1"/>
      <w:r w:rsidRPr="00856D04">
        <w:rPr>
          <w:rFonts w:ascii="Times New Roman" w:hAnsi="Times New Roman" w:cs="Times New Roman"/>
          <w:sz w:val="24"/>
          <w:szCs w:val="24"/>
        </w:rPr>
        <w:t>land cover change</w:t>
      </w:r>
      <w:bookmarkEnd w:id="0"/>
      <w:r w:rsidRPr="00856D04">
        <w:rPr>
          <w:rFonts w:ascii="Times New Roman" w:hAnsi="Times New Roman" w:cs="Times New Roman"/>
          <w:sz w:val="24"/>
          <w:szCs w:val="24"/>
        </w:rPr>
        <w:t xml:space="preserve"> simulation included a combination of geographic, environmental, and socioeconomic variables (Table S3; Figure S2). These included the distances to motorways, trunk roads, primary roads, secondary roads, tertiary roads, railways, cities, and water bodies. In addition, other topographic variables were also involved, such as elevation and slope, soil types, and historical average NPP, GDP, and POD, along with climate variables, including precipitation and temperature.</w:t>
      </w:r>
    </w:p>
    <w:p w14:paraId="689E8A55" w14:textId="77777777" w:rsidR="008A1FF9" w:rsidRPr="00856D04" w:rsidRDefault="008A1FF9" w:rsidP="008A1FF9">
      <w:pPr>
        <w:spacing w:line="480" w:lineRule="auto"/>
        <w:ind w:firstLineChars="200" w:firstLine="480"/>
        <w:rPr>
          <w:rFonts w:ascii="Times New Roman" w:hAnsi="Times New Roman" w:cs="Times New Roman"/>
          <w:sz w:val="24"/>
          <w:szCs w:val="24"/>
        </w:rPr>
      </w:pPr>
      <w:r w:rsidRPr="00856D04">
        <w:rPr>
          <w:rFonts w:ascii="Times New Roman" w:hAnsi="Times New Roman" w:cs="Times New Roman"/>
          <w:sz w:val="24"/>
          <w:szCs w:val="24"/>
        </w:rPr>
        <w:t>(2) LEAS land cover expansion analysis strategy. Land cover change raster units were derived from two historical land cover datasets and used in combination with selected driving factors as inputs for the LEAS module. The random forest algorithm (with the number of trees set to 4 and all other parameters at default) was employed to evaluate the contribution of each driving factor to the expansion of different land cover types, producing development probability maps. Using this LEAS-based approach, this study generated land cover development probability maps for various land cover categories in the two basins from 2011 to 2021, along with the associated contribution rates of each driving factor (Figure S3).</w:t>
      </w:r>
    </w:p>
    <w:p w14:paraId="252DD0D9" w14:textId="5AB6D1A8" w:rsidR="008A1FF9" w:rsidRPr="00856D04" w:rsidRDefault="008A1FF9" w:rsidP="008A1FF9">
      <w:pPr>
        <w:spacing w:line="480" w:lineRule="auto"/>
        <w:ind w:firstLineChars="200" w:firstLine="480"/>
        <w:rPr>
          <w:rFonts w:ascii="Times New Roman" w:eastAsia="宋体" w:hAnsi="Times New Roman" w:cs="Times New Roman"/>
          <w:sz w:val="24"/>
          <w:szCs w:val="24"/>
        </w:rPr>
      </w:pPr>
      <w:r w:rsidRPr="00856D04">
        <w:rPr>
          <w:rFonts w:ascii="Times New Roman" w:hAnsi="Times New Roman" w:cs="Times New Roman"/>
          <w:sz w:val="24"/>
          <w:szCs w:val="24"/>
        </w:rPr>
        <w:t xml:space="preserve">(3) The CARS module is an enhanced CA model that incorporates the development probability maps from the LEAS module, along with a random seed generation and threshold decay mechanism. These features enable the PLUS model to dynamically simulate land cover changes across space and time under probability constraints </w:t>
      </w:r>
      <w:r w:rsidRPr="00856D04">
        <w:rPr>
          <w:rFonts w:ascii="Times New Roman" w:eastAsia="宋体" w:hAnsi="Times New Roman" w:cs="Times New Roman"/>
          <w:sz w:val="24"/>
          <w:szCs w:val="24"/>
        </w:rPr>
        <w:fldChar w:fldCharType="begin"/>
      </w:r>
      <w:r w:rsidRPr="00856D04">
        <w:rPr>
          <w:rFonts w:ascii="Times New Roman" w:eastAsia="宋体" w:hAnsi="Times New Roman" w:cs="Times New Roman"/>
          <w:sz w:val="24"/>
          <w:szCs w:val="24"/>
        </w:rPr>
        <w:instrText xml:space="preserve"> ADDIN ZOTERO_ITEM CSL_CITATION {"citationID":"xwh2FN0m","properties":{"formattedCitation":"(Liang et al., 2021)","plainCitation":"(Liang et al., 2021)","noteIndex":0},"citationItems":[{"id":538,"uris":["http://zotero.org/users/12246729/items/84MYJ3GQ"],"itemData":{"id":538,"type":"article-journal","abstract":"Cellular Automata (CA) are widely used to model the dynamics within complex land use and land cover (LULC) systems. Past CA model research has focused on improving the technical modeling procedures, and only a few studies have sought to improve our understanding of the nonlinear relationships that underlie LULC change. Many CA models lack the ability to simulate the detailed patch evolution of multiple land use types. This study introduces a patch-generating land use simulation (PLUS) model that integrates a land expansion analysis strategy and a CA model based on multi-type random patch seeds. These were used to understand the drivers of land expansion and to investigate the landscape dynamics in Wuhan, China. The proposed model achieved a higher simulation accuracy and more similar landscape pattern metrics to the true landscape than other CA models tested. The land expansion analysis strategy also uncovered some underlying transition rules, such as that grassland is most likely to be found where it is not strongly impacted by human activities, and that deciduous forest areas tend to grow adjacent to arterial roads. We also projected the structure of land use under different optimizing scenarios for 2035 by combining the proposed model with multi-objective programming. The results indicate that the proposed model can help policymakers to manage future land use dynamics and so to realize more sustainable land use patterns for future development. Software for PLUS has been made available at https://github.com/HPSCIL/Patch-generating_Land_Use_Simulation_Model","container-title":"Computers, Environment and Urban Systems","DOI":"10.1016/j.compenvurbsys.2020.101569","ISSN":"0198-9715","journalAbbreviation":"Computers, Environment and Urban Systems","page":"101569","source":"ScienceDirect","title":"Understanding the drivers of sustainable land expansion using a patch-generating land use simulation (PLUS) model: A case study in Wuhan, China","title-short":"Understanding the drivers of sustainable land expansion using a patch-generating land use simulation (PLUS) model","volume":"85","author":[{"family":"Liang","given":"Xun"},{"family":"Guan","given":"Qingfeng"},{"family":"Clarke","given":"Keith C."},{"family":"Liu","given":"Shishi"},{"family":"Wang","given":"Bingyu"},{"family":"Yao","given":"Yao"}],"issued":{"date-parts":[["2021",1,1]]}}}],"schema":"https://github.com/citation-style-language/schema/raw/master/csl-citation.json"} </w:instrText>
      </w:r>
      <w:r w:rsidRPr="00856D04">
        <w:rPr>
          <w:rFonts w:ascii="Times New Roman" w:eastAsia="宋体" w:hAnsi="Times New Roman" w:cs="Times New Roman"/>
          <w:sz w:val="24"/>
          <w:szCs w:val="24"/>
        </w:rPr>
        <w:fldChar w:fldCharType="separate"/>
      </w:r>
      <w:r w:rsidRPr="00856D04">
        <w:rPr>
          <w:rFonts w:ascii="Times New Roman" w:hAnsi="Times New Roman" w:cs="Times New Roman"/>
          <w:sz w:val="24"/>
          <w:szCs w:val="24"/>
        </w:rPr>
        <w:t>(Liang et al., 2021)</w:t>
      </w:r>
      <w:r w:rsidRPr="00856D04">
        <w:rPr>
          <w:rFonts w:ascii="Times New Roman" w:eastAsia="宋体" w:hAnsi="Times New Roman" w:cs="Times New Roman"/>
          <w:sz w:val="24"/>
          <w:szCs w:val="24"/>
        </w:rPr>
        <w:fldChar w:fldCharType="end"/>
      </w:r>
      <w:r w:rsidRPr="00856D04">
        <w:rPr>
          <w:rFonts w:ascii="Times New Roman" w:hAnsi="Times New Roman" w:cs="Times New Roman"/>
          <w:sz w:val="24"/>
          <w:szCs w:val="24"/>
        </w:rPr>
        <w:t xml:space="preserve">. In this study, the CARS module was employed to </w:t>
      </w:r>
      <w:r w:rsidRPr="00856D04">
        <w:rPr>
          <w:rFonts w:ascii="Times New Roman" w:hAnsi="Times New Roman" w:cs="Times New Roman"/>
          <w:sz w:val="24"/>
          <w:szCs w:val="24"/>
        </w:rPr>
        <w:lastRenderedPageBreak/>
        <w:t xml:space="preserve">simulate land cover in 2021, with 2011 set as the initial year. The number of parallel processing threads was set to four, while the other parameters remained at their default values. Based on the configured parameters (Tables </w:t>
      </w:r>
      <w:r w:rsidR="000622C2" w:rsidRPr="00856D04">
        <w:rPr>
          <w:rFonts w:ascii="Times New Roman" w:hAnsi="Times New Roman" w:cs="Times New Roman"/>
          <w:sz w:val="24"/>
          <w:szCs w:val="24"/>
        </w:rPr>
        <w:t>S4–5</w:t>
      </w:r>
      <w:r w:rsidRPr="00856D04">
        <w:rPr>
          <w:rFonts w:ascii="Times New Roman" w:hAnsi="Times New Roman" w:cs="Times New Roman"/>
          <w:sz w:val="24"/>
          <w:szCs w:val="24"/>
        </w:rPr>
        <w:t>), the land cover simulation for 2021 was completed successfully</w:t>
      </w:r>
      <w:r w:rsidRPr="00856D04">
        <w:rPr>
          <w:rFonts w:ascii="Times New Roman" w:eastAsia="宋体" w:hAnsi="Times New Roman" w:cs="Times New Roman"/>
          <w:sz w:val="24"/>
          <w:szCs w:val="24"/>
        </w:rPr>
        <w:t>.</w:t>
      </w:r>
    </w:p>
    <w:p w14:paraId="69B1D2DF" w14:textId="72270920" w:rsidR="008A1FF9" w:rsidRPr="00856D04" w:rsidRDefault="008A1FF9" w:rsidP="008A1FF9">
      <w:pPr>
        <w:spacing w:line="480" w:lineRule="auto"/>
        <w:ind w:firstLineChars="200" w:firstLine="480"/>
        <w:rPr>
          <w:rFonts w:ascii="Times New Roman" w:eastAsia="宋体" w:hAnsi="Times New Roman" w:cs="Times New Roman"/>
          <w:sz w:val="24"/>
          <w:szCs w:val="24"/>
        </w:rPr>
      </w:pPr>
      <w:r w:rsidRPr="00856D04">
        <w:rPr>
          <w:rFonts w:ascii="Times New Roman" w:eastAsia="宋体" w:hAnsi="Times New Roman" w:cs="Times New Roman"/>
          <w:sz w:val="24"/>
          <w:szCs w:val="24"/>
        </w:rPr>
        <w:t xml:space="preserve">(4) Model validation. The PLUS model employed the </w:t>
      </w:r>
      <w:r w:rsidRPr="00856D04">
        <w:rPr>
          <w:rFonts w:ascii="Times New Roman" w:hAnsi="Times New Roman" w:cs="Times New Roman"/>
          <w:sz w:val="24"/>
          <w:szCs w:val="24"/>
        </w:rPr>
        <w:t>overall accuracy,</w:t>
      </w:r>
      <w:r w:rsidRPr="00856D04">
        <w:rPr>
          <w:rFonts w:ascii="Times New Roman" w:eastAsia="宋体" w:hAnsi="Times New Roman" w:cs="Times New Roman"/>
          <w:sz w:val="24"/>
          <w:szCs w:val="24"/>
        </w:rPr>
        <w:t xml:space="preserve"> Kappa coefficient, and Figure of Merit (</w:t>
      </w:r>
      <w:proofErr w:type="spellStart"/>
      <w:r w:rsidRPr="00856D04">
        <w:rPr>
          <w:rFonts w:ascii="Times New Roman" w:eastAsia="宋体" w:hAnsi="Times New Roman" w:cs="Times New Roman"/>
          <w:sz w:val="24"/>
          <w:szCs w:val="24"/>
        </w:rPr>
        <w:t>FoM</w:t>
      </w:r>
      <w:proofErr w:type="spellEnd"/>
      <w:r w:rsidRPr="00856D04">
        <w:rPr>
          <w:rFonts w:ascii="Times New Roman" w:eastAsia="宋体" w:hAnsi="Times New Roman" w:cs="Times New Roman"/>
          <w:sz w:val="24"/>
          <w:szCs w:val="24"/>
        </w:rPr>
        <w:t xml:space="preserve">) as statistical indicators to assess the agreement between simulated and actual land cover distributions </w:t>
      </w:r>
      <w:r w:rsidRPr="00856D04">
        <w:rPr>
          <w:rFonts w:ascii="Times New Roman" w:hAnsi="Times New Roman" w:cs="Times New Roman"/>
          <w:sz w:val="24"/>
          <w:szCs w:val="24"/>
        </w:rPr>
        <w:t>(Table S6)</w:t>
      </w:r>
      <w:r w:rsidRPr="00856D04">
        <w:rPr>
          <w:rFonts w:ascii="Times New Roman" w:eastAsia="宋体" w:hAnsi="Times New Roman" w:cs="Times New Roman"/>
          <w:sz w:val="24"/>
          <w:szCs w:val="24"/>
        </w:rPr>
        <w:t xml:space="preserve">. A Kappa coefficient exceeding 0.75 denoted a high simulation accuracy </w:t>
      </w:r>
      <w:r w:rsidRPr="00856D04">
        <w:rPr>
          <w:rFonts w:ascii="Times New Roman" w:eastAsia="宋体" w:hAnsi="Times New Roman" w:cs="Times New Roman"/>
          <w:sz w:val="24"/>
          <w:szCs w:val="24"/>
        </w:rPr>
        <w:fldChar w:fldCharType="begin"/>
      </w:r>
      <w:r w:rsidR="00FA0338" w:rsidRPr="00856D04">
        <w:rPr>
          <w:rFonts w:ascii="Times New Roman" w:eastAsia="宋体" w:hAnsi="Times New Roman" w:cs="Times New Roman"/>
          <w:sz w:val="24"/>
          <w:szCs w:val="24"/>
        </w:rPr>
        <w:instrText xml:space="preserve"> ADDIN ZOTERO_ITEM CSL_CITATION {"citationID":"2pC2auIv","properties":{"formattedCitation":"(Yang et al., 2021; Zhang et al., 2025)","plainCitation":"(Yang et al., 2021; Zhang et al., 2025)","noteIndex":0},"citationItems":[{"id":1709,"uris":["http://zotero.org/users/12246729/items/FKEQJY42"],"itemData":{"id":1709,"type":"article-journal","abstract":"Urban growth boundaries (UGBs) are seen as an effective tool to control urban sprawl and promote sustainable urban development. Existing methodologies related to urban boundary delineation focus mainly on increasing land intensification and compact urban development. However, it is not sufficient to focus on optimal urban development, especially in China. The delineation of UGBs should not only take into account the heterogeneity of regional natural resources but also further reconcile urban–ecological conflict. Therefore, this paper proposes a new framework for delineating UGBs in an ecologically sustainable manner. This study first uses the remote sensing ecological index (RSEI) and ecological sensitivity as a basis for ecological constraints (EC). Both the background state of the regional ecology and ecological stress from human activities are considered to be constraints on urban sprawl. These ecological constraints are then combined with a CA-Markov model to simulate future urban development. The framework is applied to the Linxia Hui Autonomous Prefecture, an ecologically fragile region in China, where UGB delineation can be used not only to reconcile ecological and land-use planning conflict but also to ensure sustainable resource development in individual zoning districts. The results suggest that a plan that only considers urban development may have a negative impact on the conservation of natural resources and ecological sustainability. The delineation of UGBs based on the proposed EC-CA-Markov model will thus help guide sustainable urban development. The conceptual and methodological advances in this study are applicable to other ecologically fragile cities and can help in the delineation of UGBs.","container-title":"Ecological Indicators","DOI":"10.1016/j.ecolind.2021.107436","ISSN":"1470-160X","journalAbbreviation":"Ecological Indicators","page":"107436","source":"ScienceDirect","title":"Incorporating ecological constraints into urban growth boundaries: A case study of ecologically fragile areas in the Upper Yellow River","title-short":"Incorporating ecological constraints into urban growth boundaries","volume":"124","author":[{"family":"Yang","given":"Xuedi"},{"family":"Bai","given":"Yongping"},{"family":"Che","given":"Lei"},{"family":"Qiao","given":"Fuwei"},{"family":"Xie","given":"Lixia"}],"issued":{"date-parts":[["2021",5,1]]}}},{"id":1705,"uris":["http://zotero.org/users/12246729/items/2DDYJR8T"],"itemData":{"id":1705,"type":"article-journal","abstract":"Studying the impact of future land use changes on regional ecosystem services (ES) is crucial for sustainable development planning in the region. However, there is a lack of research specifically targeting Henan Province under different future scenarios. Therefore, this study simulates four ES functions—water yield (WY), carbon storage (CS), habitat quality (HQ), and nutrient delivery ratio (NDR)—for the historical period in Henan Province. It also constructs a Comprehensive Ecosystem Service (CES) Index. Additionally, the study predicts the spatial and temporal distribution characteristics of various ES and CES under two different Shared Socioeconomic Pathways (SSP) scenarios for the future. The results of the study showed that: (1) The high simulation accuracy of the FLUS model indicates that the FLUS model is suitable for land use simulation in the study area. (2) Under the SSP2-4.5 scenario, the area of construction land expansion is the largest, and the HQ, CS, water production capacity, and water purification capacity of Henan Province all decrease. Under the SSP5-8.5 scenario, the area of cultivated land increased the most, and all three decreased except for the water production capacity, which increased. (3) Under the SSP2-4.5 scenario, the area of CES decline is the largest, and the severe decline in CES mainly occurs in areas where forest land is encroached upon by urban land, followed by areas encroached upon by rural settlements, and the encroachment of arable land by construction land leads to a mild decline in CES, which accounts for the largest proportion of the area. Under the SSP5-8.5 scenario, Henan Province has the largest area of CES rise, and most of it is dominated by mild rise, but the mean CES in 2050 is still lower compared to 2020. The results of the study can provide a reference basis for the formulation of sustainable development policies in Henan Province and provide new ideas for the study of the impacts of land use change on ES under different scenarios in the future.","container-title":"Ecology and Evolution","DOI":"10.1002/ece3.71111","ISSN":"2045-7758","issue":"3","language":"en","license":"© 2025 The Author(s). Ecology and Evolution published by John Wiley &amp; Sons Ltd.","note":"_eprint: https://onlinelibrary.wiley.com/doi/pdf/10.1002/ece3.71111","page":"e71111","source":"Wiley Online Library","title":"Multiscenario Land Use Change Simulation and Its Impact on Ecosystem Service Function in Henan Province Based on FLUS-InVEST Model","volume":"15","author":[{"family":"Zhang","given":"Jincai"},{"family":"Li","given":"Ling"},{"family":"Li","given":"Qingsong"},{"family":"Chen","given":"Weiqiang"},{"family":"Huang","given":"Junchang"},{"family":"Guo","given":"Yulong"},{"family":"Ji","given":"Guangxing"}],"issued":{"date-parts":[["2025"]]}}}],"schema":"https://github.com/citation-style-language/schema/raw/master/csl-citation.json"} </w:instrText>
      </w:r>
      <w:r w:rsidRPr="00856D04">
        <w:rPr>
          <w:rFonts w:ascii="Times New Roman" w:eastAsia="宋体" w:hAnsi="Times New Roman" w:cs="Times New Roman"/>
          <w:sz w:val="24"/>
          <w:szCs w:val="24"/>
        </w:rPr>
        <w:fldChar w:fldCharType="separate"/>
      </w:r>
      <w:r w:rsidR="00FA0338" w:rsidRPr="00856D04">
        <w:rPr>
          <w:rFonts w:ascii="Times New Roman" w:hAnsi="Times New Roman" w:cs="Times New Roman"/>
          <w:sz w:val="24"/>
        </w:rPr>
        <w:t>(Yang et al., 2021; Zhang et al., 2025)</w:t>
      </w:r>
      <w:r w:rsidRPr="00856D04">
        <w:rPr>
          <w:rFonts w:ascii="Times New Roman" w:eastAsia="宋体" w:hAnsi="Times New Roman" w:cs="Times New Roman"/>
          <w:sz w:val="24"/>
          <w:szCs w:val="24"/>
        </w:rPr>
        <w:fldChar w:fldCharType="end"/>
      </w:r>
      <w:r w:rsidRPr="00856D04">
        <w:rPr>
          <w:rFonts w:ascii="Times New Roman" w:eastAsia="宋体" w:hAnsi="Times New Roman" w:cs="Times New Roman"/>
          <w:sz w:val="24"/>
          <w:szCs w:val="24"/>
        </w:rPr>
        <w:t xml:space="preserve"> . Likewise, a higher </w:t>
      </w:r>
      <w:proofErr w:type="spellStart"/>
      <w:r w:rsidRPr="00856D04">
        <w:rPr>
          <w:rFonts w:ascii="Times New Roman" w:eastAsia="宋体" w:hAnsi="Times New Roman" w:cs="Times New Roman"/>
          <w:sz w:val="24"/>
          <w:szCs w:val="24"/>
        </w:rPr>
        <w:t>FoM</w:t>
      </w:r>
      <w:proofErr w:type="spellEnd"/>
      <w:r w:rsidRPr="00856D04">
        <w:rPr>
          <w:rFonts w:ascii="Times New Roman" w:eastAsia="宋体" w:hAnsi="Times New Roman" w:cs="Times New Roman"/>
          <w:sz w:val="24"/>
          <w:szCs w:val="24"/>
        </w:rPr>
        <w:t xml:space="preserve"> value indicated a better predictive performance and greater spatial precision in the simulation output </w:t>
      </w:r>
      <w:r w:rsidRPr="00856D04">
        <w:rPr>
          <w:rFonts w:ascii="Times New Roman" w:eastAsia="宋体" w:hAnsi="Times New Roman" w:cs="Times New Roman"/>
          <w:sz w:val="24"/>
          <w:szCs w:val="24"/>
        </w:rPr>
        <w:fldChar w:fldCharType="begin"/>
      </w:r>
      <w:r w:rsidR="00FA0338" w:rsidRPr="00856D04">
        <w:rPr>
          <w:rFonts w:ascii="Times New Roman" w:eastAsia="宋体" w:hAnsi="Times New Roman" w:cs="Times New Roman"/>
          <w:sz w:val="24"/>
          <w:szCs w:val="24"/>
        </w:rPr>
        <w:instrText xml:space="preserve"> ADDIN ZOTERO_ITEM CSL_CITATION {"citationID":"jYTZcuEF","properties":{"formattedCitation":"(Huang et al., 2024; Liang et al., 2021)","plainCitation":"(Huang et al., 2024; Liang et al., 2021)","noteIndex":0},"citationItems":[{"id":1713,"uris":["http://zotero.org/users/12246729/items/C6TCDVR8"],"itemData":{"id":1713,"type":"article-journal","abstract":"Urbanisation is a key aspect of land use change (LUC), and accurately modelling of urban LUC is crucial for sustainable development. Cellular automata (CA) are widely used in LUC research. However, previous studies have overlooked the significant temporal dependence and spatial heterogeneity associated with LUC. To address these gaps, this study proposes a novel model called KCLP-CA, which integrates k-means, a convolutional neural network (CNN), a long and short-term memory neural network (LSTM), and the popular patch-generation land use model (PLUS). Initially, k-means and CNN are utilised to address spatial heterogeneity, while LSTM tackles temporal dependence. The LSTM and land expansion analysis strategy (LEAS) models of PLUS are employed to obtain land use conversion probability maps. Finally, a simulation of land use dynamic change was conducted using a linear weighted fusion conversion probability map that accounts for random factors. To validate the KCLP-CA model, land use data collected from Hangzhou between 1995 and 2000 were employed. The results showed that the KCLP-CA model outperformed traditional methods, including artificial neural networks and random forest model, with the figure of merit (FoM) index increasing from 2.12% to 4.19%. Random forest analysis of drivers impacting LUC revealed that distance to water and road network density exerted the greatest influence on urban land development in Hangzhou. Incorporation of various policy planning factors affecting urban development yielded simulation results aligning more closely with reality, resulting in a FoM index increase of 1.64–1.76%. In summary, the model developed in this study combines the strengths of two sub models to deliver an accurate and effective simulation of future land use.","container-title":"Journal of Environmental Management","DOI":"10.1016/j.jenvman.2023.119828","ISSN":"0301-4797","journalAbbreviation":"Journal of Environmental Management","page":"119828","source":"ScienceDirect","title":"A cellular automata model coupled with partitioning CNN-LSTM and PLUS models for urban land change simulation","volume":"351","author":[{"family":"Huang","given":"Chen"},{"family":"Zhou","given":"Ye"},{"family":"Wu","given":"Tao"},{"family":"Zhang","given":"Mingyue"},{"family":"Qiu","given":"Yu"}],"issued":{"date-parts":[["2024",2,1]]}}},{"id":538,"uris":["http://zotero.org/users/12246729/items/84MYJ3GQ"],"itemData":{"id":538,"type":"article-journal","abstract":"Cellular Automata (CA) are widely used to model the dynamics within complex land use and land cover (LULC) systems. Past CA model research has focused on improving the technical modeling procedures, and only a few studies have sought to improve our understanding of the nonlinear relationships that underlie LULC change. Many CA models lack the ability to simulate the detailed patch evolution of multiple land use types. This study introduces a patch-generating land use simulation (PLUS) model that integrates a land expansion analysis strategy and a CA model based on multi-type random patch seeds. These were used to understand the drivers of land expansion and to investigate the landscape dynamics in Wuhan, China. The proposed model achieved a higher simulation accuracy and more similar landscape pattern metrics to the true landscape than other CA models tested. The land expansion analysis strategy also uncovered some underlying transition rules, such as that grassland is most likely to be found where it is not strongly impacted by human activities, and that deciduous forest areas tend to grow adjacent to arterial roads. We also projected the structure of land use under different optimizing scenarios for 2035 by combining the proposed model with multi-objective programming. The results indicate that the proposed model can help policymakers to manage future land use dynamics and so to realize more sustainable land use patterns for future development. Software for PLUS has been made available at https://github.com/HPSCIL/Patch-generating_Land_Use_Simulation_Model","container-title":"Computers, Environment and Urban Systems","DOI":"10.1016/j.compenvurbsys.2020.101569","ISSN":"0198-9715","journalAbbreviation":"Computers, Environment and Urban Systems","page":"101569","source":"ScienceDirect","title":"Understanding the drivers of sustainable land expansion using a patch-generating land use simulation (PLUS) model: A case study in Wuhan, China","title-short":"Understanding the drivers of sustainable land expansion using a patch-generating land use simulation (PLUS) model","volume":"85","author":[{"family":"Liang","given":"Xun"},{"family":"Guan","given":"Qingfeng"},{"family":"Clarke","given":"Keith C."},{"family":"Liu","given":"Shishi"},{"family":"Wang","given":"Bingyu"},{"family":"Yao","given":"Yao"}],"issued":{"date-parts":[["2021",1,1]]}}}],"schema":"https://github.com/citation-style-language/schema/raw/master/csl-citation.json"} </w:instrText>
      </w:r>
      <w:r w:rsidRPr="00856D04">
        <w:rPr>
          <w:rFonts w:ascii="Times New Roman" w:eastAsia="宋体" w:hAnsi="Times New Roman" w:cs="Times New Roman"/>
          <w:sz w:val="24"/>
          <w:szCs w:val="24"/>
        </w:rPr>
        <w:fldChar w:fldCharType="separate"/>
      </w:r>
      <w:r w:rsidR="00FA0338" w:rsidRPr="00856D04">
        <w:rPr>
          <w:rFonts w:ascii="Times New Roman" w:hAnsi="Times New Roman" w:cs="Times New Roman"/>
          <w:sz w:val="24"/>
        </w:rPr>
        <w:t>(Huang et al., 2024; Liang et al., 2021)</w:t>
      </w:r>
      <w:r w:rsidRPr="00856D04">
        <w:rPr>
          <w:rFonts w:ascii="Times New Roman" w:eastAsia="宋体" w:hAnsi="Times New Roman" w:cs="Times New Roman"/>
          <w:sz w:val="24"/>
          <w:szCs w:val="24"/>
        </w:rPr>
        <w:fldChar w:fldCharType="end"/>
      </w:r>
      <w:r w:rsidRPr="00856D04">
        <w:rPr>
          <w:rFonts w:ascii="Times New Roman" w:eastAsia="宋体" w:hAnsi="Times New Roman" w:cs="Times New Roman"/>
          <w:sz w:val="24"/>
          <w:szCs w:val="24"/>
        </w:rPr>
        <w:t>.</w:t>
      </w:r>
    </w:p>
    <w:p w14:paraId="560CD638" w14:textId="65F39E22" w:rsidR="00840B9D" w:rsidRPr="00856D04" w:rsidRDefault="008A1FF9" w:rsidP="008A1FF9">
      <w:pPr>
        <w:spacing w:line="480" w:lineRule="auto"/>
        <w:ind w:firstLineChars="200" w:firstLine="480"/>
        <w:rPr>
          <w:rFonts w:ascii="Times New Roman" w:eastAsia="宋体" w:hAnsi="Times New Roman" w:cs="Times New Roman"/>
          <w:sz w:val="24"/>
          <w:szCs w:val="24"/>
        </w:rPr>
      </w:pPr>
      <w:r w:rsidRPr="00856D04">
        <w:rPr>
          <w:rFonts w:ascii="Times New Roman" w:eastAsia="宋体" w:hAnsi="Times New Roman" w:cs="Times New Roman"/>
          <w:sz w:val="24"/>
          <w:szCs w:val="24"/>
        </w:rPr>
        <w:t xml:space="preserve">(5) Iterative land cover simulation under SSP-RCP scenarios. Following model validation, decadal land cover projections (2030–2100) were generated through iterative simulations under SSP-RCP scenarios. This cyclical approach initialized each target decade (e.g., 2040) with the simulated land cover from the preceding timestep (e.g., 2030). Development probability maps were </w:t>
      </w:r>
      <w:r w:rsidRPr="00856D04">
        <w:rPr>
          <w:rFonts w:ascii="Times New Roman" w:eastAsia="宋体" w:hAnsi="Times New Roman" w:cs="Times New Roman" w:hint="eastAsia"/>
          <w:sz w:val="24"/>
          <w:szCs w:val="24"/>
        </w:rPr>
        <w:t>then</w:t>
      </w:r>
      <w:r w:rsidRPr="00856D04">
        <w:rPr>
          <w:rFonts w:ascii="Times New Roman" w:eastAsia="宋体" w:hAnsi="Times New Roman" w:cs="Times New Roman"/>
          <w:sz w:val="24"/>
          <w:szCs w:val="24"/>
        </w:rPr>
        <w:t xml:space="preserve"> regenerated using the LEAS module, incorporating updated future drivers under the target SSP-RCP scenario. Scenario-specific land cover demand derived from LUH2-adjusted allocations (Section 2.3.3) was enforced, and conversion cost matrices (Table S7) and neighborhood factors (Table S8) were applied. Finally, the spatiotemporal dynamics were assessed using transition matrices (formula in Table S6) to quantify</w:t>
      </w:r>
      <w:bookmarkStart w:id="1" w:name="_Hlk205988151"/>
      <w:r w:rsidRPr="00856D04">
        <w:rPr>
          <w:rFonts w:ascii="Times New Roman" w:eastAsia="宋体" w:hAnsi="Times New Roman" w:cs="Times New Roman"/>
          <w:sz w:val="24"/>
          <w:szCs w:val="24"/>
        </w:rPr>
        <w:t xml:space="preserve"> inter-class land conversions</w:t>
      </w:r>
      <w:bookmarkEnd w:id="1"/>
      <w:r w:rsidRPr="00856D04">
        <w:rPr>
          <w:rFonts w:ascii="Times New Roman" w:eastAsia="宋体" w:hAnsi="Times New Roman" w:cs="Times New Roman"/>
          <w:sz w:val="24"/>
          <w:szCs w:val="24"/>
        </w:rPr>
        <w:t xml:space="preserve"> and spatial metrics to evaluate landscape patterns.</w:t>
      </w:r>
    </w:p>
    <w:p w14:paraId="6501CF29" w14:textId="77777777" w:rsidR="00D676AD" w:rsidRPr="00856D04" w:rsidRDefault="00D676AD" w:rsidP="008A1FF9">
      <w:pPr>
        <w:spacing w:line="480" w:lineRule="auto"/>
        <w:ind w:firstLineChars="200" w:firstLine="480"/>
        <w:rPr>
          <w:rFonts w:ascii="Times New Roman" w:eastAsia="宋体" w:hAnsi="Times New Roman" w:cs="Times New Roman"/>
          <w:sz w:val="24"/>
          <w:szCs w:val="24"/>
        </w:rPr>
      </w:pPr>
    </w:p>
    <w:p w14:paraId="545FC4C8" w14:textId="77777777" w:rsidR="00FA0338" w:rsidRPr="00856D04" w:rsidRDefault="00FA0338" w:rsidP="00FA0338">
      <w:pPr>
        <w:spacing w:beforeLines="100" w:before="312" w:afterLines="50" w:after="156"/>
        <w:rPr>
          <w:rFonts w:ascii="Times New Roman" w:eastAsia="宋体" w:hAnsi="Times New Roman" w:cs="Times New Roman"/>
          <w:b/>
          <w:sz w:val="24"/>
          <w:szCs w:val="24"/>
          <w:lang w:bidi="en-US"/>
        </w:rPr>
      </w:pPr>
      <w:r w:rsidRPr="00856D04">
        <w:rPr>
          <w:rFonts w:ascii="Times New Roman" w:eastAsia="宋体" w:hAnsi="Times New Roman" w:cs="Times New Roman"/>
          <w:b/>
          <w:sz w:val="24"/>
          <w:szCs w:val="24"/>
          <w:lang w:bidi="en-US"/>
        </w:rPr>
        <w:lastRenderedPageBreak/>
        <w:t>References</w:t>
      </w:r>
    </w:p>
    <w:p w14:paraId="53AE8F29" w14:textId="77777777" w:rsidR="00FA0338" w:rsidRPr="00856D04" w:rsidRDefault="00FA0338" w:rsidP="00D676AD">
      <w:pPr>
        <w:pStyle w:val="a7"/>
        <w:ind w:left="442" w:hanging="442"/>
        <w:rPr>
          <w:rFonts w:ascii="Times New Roman" w:hAnsi="Times New Roman" w:cs="Times New Roman"/>
          <w:szCs w:val="21"/>
        </w:rPr>
      </w:pPr>
      <w:r w:rsidRPr="00856D04">
        <w:rPr>
          <w:rFonts w:ascii="Times New Roman" w:eastAsia="宋体" w:hAnsi="Times New Roman" w:cs="Times New Roman"/>
          <w:szCs w:val="21"/>
        </w:rPr>
        <w:fldChar w:fldCharType="begin"/>
      </w:r>
      <w:r w:rsidRPr="00856D04">
        <w:rPr>
          <w:rFonts w:ascii="Times New Roman" w:eastAsia="宋体" w:hAnsi="Times New Roman" w:cs="Times New Roman"/>
          <w:szCs w:val="21"/>
        </w:rPr>
        <w:instrText xml:space="preserve"> ADDIN ZOTERO_BIBL {"uncited":[],"omitted":[],"custom":[]} CSL_BIBLIOGRAPHY </w:instrText>
      </w:r>
      <w:r w:rsidRPr="00856D04">
        <w:rPr>
          <w:rFonts w:ascii="Times New Roman" w:eastAsia="宋体" w:hAnsi="Times New Roman" w:cs="Times New Roman"/>
          <w:szCs w:val="21"/>
        </w:rPr>
        <w:fldChar w:fldCharType="separate"/>
      </w:r>
      <w:r w:rsidRPr="00856D04">
        <w:rPr>
          <w:rFonts w:ascii="Times New Roman" w:hAnsi="Times New Roman" w:cs="Times New Roman"/>
          <w:szCs w:val="21"/>
        </w:rPr>
        <w:t>Huang, C., Zhou, Y., Wu, T., Zhang, M., Qiu, Y., 2024. A cellular automata model coupled with partitioning CNN-LSTM and PLUS models for urban land change simulation. Journal of Environmental Management 351, 119828. https://doi.org/10.1016/j.jenvman.2023.119828</w:t>
      </w:r>
    </w:p>
    <w:p w14:paraId="6AB6FE3F" w14:textId="77777777" w:rsidR="00FA0338" w:rsidRPr="00856D04" w:rsidRDefault="00FA0338" w:rsidP="00D676AD">
      <w:pPr>
        <w:pStyle w:val="a7"/>
        <w:ind w:left="442" w:hanging="442"/>
        <w:rPr>
          <w:rFonts w:ascii="Times New Roman" w:hAnsi="Times New Roman" w:cs="Times New Roman"/>
          <w:szCs w:val="21"/>
        </w:rPr>
      </w:pPr>
      <w:r w:rsidRPr="00856D04">
        <w:rPr>
          <w:rFonts w:ascii="Times New Roman" w:hAnsi="Times New Roman" w:cs="Times New Roman"/>
          <w:szCs w:val="21"/>
        </w:rPr>
        <w:t>Liang, X., Guan, Q., Clarke, K.C., Liu, S., Wang, B., Yao, Y., 2021. Understanding the drivers of sustainable land expansion using a patch-generating land use simulation (PLUS) model: A case study in Wuhan, China. Computers, Environment and Urban Systems 85, 101569. https://doi.org/10.1016/j.compenvurbsys.2020.101569</w:t>
      </w:r>
    </w:p>
    <w:p w14:paraId="09449560" w14:textId="77777777" w:rsidR="00FA0338" w:rsidRPr="00856D04" w:rsidRDefault="00FA0338" w:rsidP="00D676AD">
      <w:pPr>
        <w:pStyle w:val="a7"/>
        <w:ind w:left="442" w:hanging="442"/>
        <w:rPr>
          <w:rFonts w:ascii="Times New Roman" w:hAnsi="Times New Roman" w:cs="Times New Roman"/>
          <w:szCs w:val="21"/>
        </w:rPr>
      </w:pPr>
      <w:r w:rsidRPr="00856D04">
        <w:rPr>
          <w:rFonts w:ascii="Times New Roman" w:hAnsi="Times New Roman" w:cs="Times New Roman"/>
          <w:szCs w:val="21"/>
        </w:rPr>
        <w:t>Yang, X., Bai, Y., Che, L., Qiao, F., Xie, L., 2021. Incorporating ecological constraints into urban growth boundaries: A case study of ecologically fragile areas in the Upper Yellow River. Ecological Indicators 124, 107436. https://doi.org/10.1016/j.ecolind.2021.107436</w:t>
      </w:r>
    </w:p>
    <w:p w14:paraId="2723393A" w14:textId="77777777" w:rsidR="00FA0338" w:rsidRPr="00856D04" w:rsidRDefault="00FA0338" w:rsidP="00D676AD">
      <w:pPr>
        <w:pStyle w:val="a7"/>
        <w:ind w:left="442" w:hanging="442"/>
        <w:rPr>
          <w:rFonts w:ascii="Times New Roman" w:hAnsi="Times New Roman" w:cs="Times New Roman"/>
          <w:szCs w:val="21"/>
        </w:rPr>
      </w:pPr>
      <w:r w:rsidRPr="00856D04">
        <w:rPr>
          <w:rFonts w:ascii="Times New Roman" w:hAnsi="Times New Roman" w:cs="Times New Roman"/>
          <w:szCs w:val="21"/>
        </w:rPr>
        <w:t>Zhang, J., Li, L., Li, Q., Chen, W., Huang, J., Guo, Y., Ji, G., 2025. Multiscenario Land Use Change Simulation and Its Impact on Ecosystem Service Function in Henan Province Based on FLUS-InVEST Model. Ecology and Evolution 15, e71111. https://doi.org/10.1002/ece3.71111</w:t>
      </w:r>
    </w:p>
    <w:p w14:paraId="58C2D687" w14:textId="46BD756D" w:rsidR="00FA0338" w:rsidRPr="00856D04" w:rsidRDefault="00FA0338" w:rsidP="00D676AD">
      <w:pPr>
        <w:spacing w:line="480" w:lineRule="auto"/>
        <w:ind w:left="442" w:hanging="442"/>
        <w:rPr>
          <w:rFonts w:ascii="Times New Roman" w:eastAsia="宋体" w:hAnsi="Times New Roman" w:cs="Times New Roman"/>
          <w:sz w:val="24"/>
          <w:szCs w:val="24"/>
        </w:rPr>
      </w:pPr>
      <w:r w:rsidRPr="00856D04">
        <w:rPr>
          <w:rFonts w:ascii="Times New Roman" w:eastAsia="宋体" w:hAnsi="Times New Roman" w:cs="Times New Roman"/>
          <w:szCs w:val="21"/>
        </w:rPr>
        <w:fldChar w:fldCharType="end"/>
      </w:r>
    </w:p>
    <w:sectPr w:rsidR="00FA0338" w:rsidRPr="00856D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F46A3A" w14:textId="77777777" w:rsidR="00302633" w:rsidRDefault="00302633" w:rsidP="000622C2">
      <w:r>
        <w:separator/>
      </w:r>
    </w:p>
  </w:endnote>
  <w:endnote w:type="continuationSeparator" w:id="0">
    <w:p w14:paraId="4CEF470B" w14:textId="77777777" w:rsidR="00302633" w:rsidRDefault="00302633" w:rsidP="0006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0EA699" w14:textId="77777777" w:rsidR="00302633" w:rsidRDefault="00302633" w:rsidP="000622C2">
      <w:r>
        <w:separator/>
      </w:r>
    </w:p>
  </w:footnote>
  <w:footnote w:type="continuationSeparator" w:id="0">
    <w:p w14:paraId="5FB2C718" w14:textId="77777777" w:rsidR="00302633" w:rsidRDefault="00302633" w:rsidP="000622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FF9"/>
    <w:rsid w:val="000622C2"/>
    <w:rsid w:val="0008470D"/>
    <w:rsid w:val="00302633"/>
    <w:rsid w:val="003639A1"/>
    <w:rsid w:val="00464016"/>
    <w:rsid w:val="005D3E46"/>
    <w:rsid w:val="005F0D7A"/>
    <w:rsid w:val="00840B9D"/>
    <w:rsid w:val="0085406A"/>
    <w:rsid w:val="00856D04"/>
    <w:rsid w:val="008A1FF9"/>
    <w:rsid w:val="0091005B"/>
    <w:rsid w:val="00AE0F51"/>
    <w:rsid w:val="00B33FAF"/>
    <w:rsid w:val="00C8702E"/>
    <w:rsid w:val="00D676AD"/>
    <w:rsid w:val="00FA0338"/>
    <w:rsid w:val="00FA72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5ED9BE"/>
  <w14:defaultImageDpi w14:val="32767"/>
  <w15:chartTrackingRefBased/>
  <w15:docId w15:val="{54DFF35D-2319-4333-B2F2-F539378CD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1F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DPI23heading3">
    <w:name w:val="MDPI_2.3_heading3"/>
    <w:qFormat/>
    <w:rsid w:val="008A1FF9"/>
    <w:pPr>
      <w:adjustRightInd w:val="0"/>
      <w:snapToGrid w:val="0"/>
      <w:spacing w:before="60" w:after="60" w:line="280" w:lineRule="atLeast"/>
      <w:ind w:left="2608"/>
      <w:outlineLvl w:val="2"/>
    </w:pPr>
    <w:rPr>
      <w:rFonts w:ascii="Palatino Linotype" w:eastAsia="Times New Roman" w:hAnsi="Palatino Linotype" w:cs="Times New Roman"/>
      <w:snapToGrid w:val="0"/>
      <w:color w:val="000000"/>
      <w:kern w:val="0"/>
      <w:sz w:val="20"/>
      <w:lang w:eastAsia="de-DE" w:bidi="en-US"/>
    </w:rPr>
  </w:style>
  <w:style w:type="paragraph" w:styleId="a3">
    <w:name w:val="header"/>
    <w:basedOn w:val="a"/>
    <w:link w:val="a4"/>
    <w:uiPriority w:val="99"/>
    <w:unhideWhenUsed/>
    <w:rsid w:val="000622C2"/>
    <w:pPr>
      <w:tabs>
        <w:tab w:val="center" w:pos="4153"/>
        <w:tab w:val="right" w:pos="8306"/>
      </w:tabs>
      <w:snapToGrid w:val="0"/>
      <w:jc w:val="center"/>
    </w:pPr>
    <w:rPr>
      <w:sz w:val="18"/>
      <w:szCs w:val="18"/>
    </w:rPr>
  </w:style>
  <w:style w:type="character" w:customStyle="1" w:styleId="a4">
    <w:name w:val="页眉 字符"/>
    <w:basedOn w:val="a0"/>
    <w:link w:val="a3"/>
    <w:uiPriority w:val="99"/>
    <w:rsid w:val="000622C2"/>
    <w:rPr>
      <w:sz w:val="18"/>
      <w:szCs w:val="18"/>
    </w:rPr>
  </w:style>
  <w:style w:type="paragraph" w:styleId="a5">
    <w:name w:val="footer"/>
    <w:basedOn w:val="a"/>
    <w:link w:val="a6"/>
    <w:uiPriority w:val="99"/>
    <w:unhideWhenUsed/>
    <w:rsid w:val="000622C2"/>
    <w:pPr>
      <w:tabs>
        <w:tab w:val="center" w:pos="4153"/>
        <w:tab w:val="right" w:pos="8306"/>
      </w:tabs>
      <w:snapToGrid w:val="0"/>
      <w:jc w:val="left"/>
    </w:pPr>
    <w:rPr>
      <w:sz w:val="18"/>
      <w:szCs w:val="18"/>
    </w:rPr>
  </w:style>
  <w:style w:type="character" w:customStyle="1" w:styleId="a6">
    <w:name w:val="页脚 字符"/>
    <w:basedOn w:val="a0"/>
    <w:link w:val="a5"/>
    <w:uiPriority w:val="99"/>
    <w:rsid w:val="000622C2"/>
    <w:rPr>
      <w:sz w:val="18"/>
      <w:szCs w:val="18"/>
    </w:rPr>
  </w:style>
  <w:style w:type="paragraph" w:styleId="a7">
    <w:name w:val="Bibliography"/>
    <w:basedOn w:val="a"/>
    <w:next w:val="a"/>
    <w:uiPriority w:val="37"/>
    <w:unhideWhenUsed/>
    <w:rsid w:val="00FA0338"/>
    <w:pPr>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2657</Words>
  <Characters>15841</Characters>
  <Application>Microsoft Office Word</Application>
  <DocSecurity>0</DocSecurity>
  <Lines>240</Lines>
  <Paragraphs>52</Paragraphs>
  <ScaleCrop>false</ScaleCrop>
  <Company/>
  <LinksUpToDate>false</LinksUpToDate>
  <CharactersWithSpaces>18446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yuanhe Yu</dc:creator>
  <cp:keywords/>
  <dc:description/>
  <cp:lastModifiedBy>yuanhe Yu</cp:lastModifiedBy>
  <cp:revision>7</cp:revision>
  <dcterms:created xsi:type="dcterms:W3CDTF">2025-08-13T06:36:00Z</dcterms:created>
  <dcterms:modified xsi:type="dcterms:W3CDTF">2025-08-21T15:09:00Z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id="36u1nUjm"/&gt;&lt;style id="http://www.zotero.org/styles/ecological-indicators" hasBibliography="1" bibliographyStyleHasBeenSet="1"/&gt;&lt;prefs&gt;&lt;pref name="fieldType" value="Field"/&gt;&lt;/prefs&gt;&lt;/data&gt;</vt:lpwstr>
  </property>
</Properties>
</file>