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065" w:rsidRPr="009761E1" w:rsidRDefault="003C3065" w:rsidP="003C3065">
      <w:pPr>
        <w:pStyle w:val="Heading1"/>
        <w:spacing w:line="480" w:lineRule="auto"/>
        <w:rPr>
          <w:rFonts w:ascii="Times New Roman" w:hAnsi="Times New Roman" w:cs="Times New Roman"/>
          <w:sz w:val="28"/>
          <w:szCs w:val="28"/>
        </w:rPr>
      </w:pPr>
      <w:r w:rsidRPr="009761E1">
        <w:rPr>
          <w:rFonts w:ascii="Times New Roman" w:hAnsi="Times New Roman" w:cs="Times New Roman"/>
          <w:sz w:val="28"/>
          <w:szCs w:val="28"/>
        </w:rPr>
        <w:t>Supporting Information</w:t>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Table S1. Surveyed wetland details</w:t>
      </w:r>
    </w:p>
    <w:tbl>
      <w:tblPr>
        <w:tblStyle w:val="TableGrid"/>
        <w:tblW w:w="0" w:type="auto"/>
        <w:tblLook w:val="04A0" w:firstRow="1" w:lastRow="0" w:firstColumn="1" w:lastColumn="0" w:noHBand="0" w:noVBand="1"/>
      </w:tblPr>
      <w:tblGrid>
        <w:gridCol w:w="1227"/>
        <w:gridCol w:w="1226"/>
        <w:gridCol w:w="2412"/>
        <w:gridCol w:w="1463"/>
        <w:gridCol w:w="1463"/>
        <w:gridCol w:w="1225"/>
      </w:tblGrid>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Wetland number</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Wetland type</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Wetland name</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Latitude</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Longitude</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Size (Ha)</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Alaskaivetunjarvet</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61.257005</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25.119647</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1.1</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Downstream </w:t>
            </w:r>
            <w:proofErr w:type="spellStart"/>
            <w:r w:rsidRPr="009761E1">
              <w:rPr>
                <w:rFonts w:ascii="Times New Roman" w:hAnsi="Times New Roman" w:cs="Times New Roman"/>
                <w:sz w:val="28"/>
                <w:szCs w:val="28"/>
              </w:rPr>
              <w:t>Ruuttanajarvi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61.25245</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25.09852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2.6</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3</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Tevajarvet</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61.247426</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25.09294</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0.7</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4</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Saarikonoja</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61.22831</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25.129314</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1.9</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5</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Hauki</w:t>
            </w:r>
            <w:proofErr w:type="spellEnd"/>
            <w:r w:rsidRPr="009761E1">
              <w:rPr>
                <w:rFonts w:ascii="Times New Roman" w:hAnsi="Times New Roman" w:cs="Times New Roman"/>
                <w:sz w:val="28"/>
                <w:szCs w:val="28"/>
              </w:rPr>
              <w:t xml:space="preserve"> beaver</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61.224267</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25.129017</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1.7</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Kylokkaanjarvi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61.2234345</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25.1038612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7</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Ylinen</w:t>
            </w:r>
            <w:proofErr w:type="spellEnd"/>
            <w:r w:rsidRPr="009761E1">
              <w:rPr>
                <w:rFonts w:ascii="Times New Roman" w:hAnsi="Times New Roman" w:cs="Times New Roman"/>
                <w:sz w:val="28"/>
                <w:szCs w:val="28"/>
              </w:rPr>
              <w:t xml:space="preserve"> </w:t>
            </w:r>
            <w:proofErr w:type="spellStart"/>
            <w:r w:rsidRPr="009761E1">
              <w:rPr>
                <w:rFonts w:ascii="Times New Roman" w:hAnsi="Times New Roman" w:cs="Times New Roman"/>
                <w:sz w:val="28"/>
                <w:szCs w:val="28"/>
              </w:rPr>
              <w:t>Mustajarvi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61.213949</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25.10528</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1.4</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8</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Alin</w:t>
            </w:r>
            <w:proofErr w:type="spellEnd"/>
            <w:r w:rsidRPr="009761E1">
              <w:rPr>
                <w:rFonts w:ascii="Times New Roman" w:hAnsi="Times New Roman" w:cs="Times New Roman"/>
                <w:sz w:val="28"/>
                <w:szCs w:val="28"/>
              </w:rPr>
              <w:t xml:space="preserve"> </w:t>
            </w:r>
            <w:proofErr w:type="spellStart"/>
            <w:r w:rsidRPr="009761E1">
              <w:rPr>
                <w:rFonts w:ascii="Times New Roman" w:hAnsi="Times New Roman" w:cs="Times New Roman"/>
                <w:sz w:val="28"/>
                <w:szCs w:val="28"/>
              </w:rPr>
              <w:t>Mustajarvi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61.208201</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25.114082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0.7</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9</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Peikkoplotti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61.20396</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25.135206</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0.7</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10</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Peikkoplotti</w:t>
            </w:r>
            <w:proofErr w:type="spellEnd"/>
            <w:r w:rsidRPr="009761E1">
              <w:rPr>
                <w:rFonts w:ascii="Times New Roman" w:hAnsi="Times New Roman" w:cs="Times New Roman"/>
                <w:sz w:val="28"/>
                <w:szCs w:val="28"/>
              </w:rPr>
              <w:t xml:space="preserve"> 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61.2037</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25.131316</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1.1</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11</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Saukonojan</w:t>
            </w:r>
            <w:proofErr w:type="spellEnd"/>
            <w:r w:rsidRPr="009761E1">
              <w:rPr>
                <w:rFonts w:ascii="Times New Roman" w:hAnsi="Times New Roman" w:cs="Times New Roman"/>
                <w:sz w:val="28"/>
                <w:szCs w:val="28"/>
              </w:rPr>
              <w:t xml:space="preserve"> </w:t>
            </w:r>
            <w:proofErr w:type="spellStart"/>
            <w:r w:rsidRPr="009761E1">
              <w:rPr>
                <w:rFonts w:ascii="Times New Roman" w:hAnsi="Times New Roman" w:cs="Times New Roman"/>
                <w:sz w:val="28"/>
                <w:szCs w:val="28"/>
              </w:rPr>
              <w:t>allas</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61.200987</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25.12862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1.8</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12</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Huhmari</w:t>
            </w:r>
            <w:proofErr w:type="spellEnd"/>
            <w:r w:rsidRPr="009761E1">
              <w:rPr>
                <w:rFonts w:ascii="Times New Roman" w:hAnsi="Times New Roman" w:cs="Times New Roman"/>
                <w:sz w:val="28"/>
                <w:szCs w:val="28"/>
              </w:rPr>
              <w:t xml:space="preserve"> 2</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61.195086</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25.128833</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1.2</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13</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Karvalammi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61.199863</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25.1381</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0.7</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14</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Likojarvi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61.199573</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25.151788</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lastRenderedPageBreak/>
              <w:t>15</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Syrjanalunen</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61.1936223</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25.143118</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0.9</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16</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Loytjarven</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61.1904775</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25.1899814</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3.8</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17</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Soitimenkorven</w:t>
            </w:r>
            <w:proofErr w:type="spellEnd"/>
            <w:r w:rsidRPr="009761E1">
              <w:rPr>
                <w:rFonts w:ascii="Times New Roman" w:hAnsi="Times New Roman" w:cs="Times New Roman"/>
                <w:sz w:val="28"/>
                <w:szCs w:val="28"/>
              </w:rPr>
              <w:t xml:space="preserve"> </w:t>
            </w:r>
            <w:proofErr w:type="spellStart"/>
            <w:r w:rsidRPr="009761E1">
              <w:rPr>
                <w:rFonts w:ascii="Times New Roman" w:hAnsi="Times New Roman" w:cs="Times New Roman"/>
                <w:sz w:val="28"/>
                <w:szCs w:val="28"/>
              </w:rPr>
              <w:t>tekoallas</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61.198529</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25.19944</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4.1</w:t>
            </w:r>
          </w:p>
        </w:tc>
      </w:tr>
      <w:tr w:rsidR="003C3065" w:rsidRPr="009761E1" w:rsidTr="00C45982">
        <w:trPr>
          <w:trHeight w:val="320"/>
        </w:trPr>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18</w:t>
            </w:r>
          </w:p>
        </w:tc>
        <w:tc>
          <w:tcPr>
            <w:tcW w:w="1293"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2558" w:type="dxa"/>
            <w:noWrap/>
            <w:hideMark/>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Rieskalammi</w:t>
            </w:r>
            <w:proofErr w:type="spellEnd"/>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61.192769</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25.206158</w:t>
            </w:r>
          </w:p>
        </w:tc>
        <w:tc>
          <w:tcPr>
            <w:tcW w:w="1292"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2.1</w:t>
            </w:r>
          </w:p>
        </w:tc>
      </w:tr>
    </w:tbl>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Table S2. A summary of </w:t>
      </w:r>
      <w:proofErr w:type="spellStart"/>
      <w:r w:rsidRPr="009761E1">
        <w:rPr>
          <w:rFonts w:ascii="Times New Roman" w:hAnsi="Times New Roman" w:cs="Times New Roman"/>
          <w:sz w:val="28"/>
          <w:szCs w:val="28"/>
        </w:rPr>
        <w:t>physico</w:t>
      </w:r>
      <w:proofErr w:type="spellEnd"/>
      <w:r w:rsidRPr="009761E1">
        <w:rPr>
          <w:rFonts w:ascii="Times New Roman" w:hAnsi="Times New Roman" w:cs="Times New Roman"/>
          <w:sz w:val="28"/>
          <w:szCs w:val="28"/>
        </w:rPr>
        <w:t xml:space="preserve">-chemical characteristics per wetland type, mean ± SE (range) with t and p values from linear models that tested differences between each waterbody type. </w:t>
      </w:r>
    </w:p>
    <w:tbl>
      <w:tblPr>
        <w:tblStyle w:val="TableGrid"/>
        <w:tblW w:w="0" w:type="auto"/>
        <w:tblLook w:val="06A0" w:firstRow="1" w:lastRow="0" w:firstColumn="1" w:lastColumn="0" w:noHBand="1" w:noVBand="1"/>
      </w:tblPr>
      <w:tblGrid>
        <w:gridCol w:w="2254"/>
        <w:gridCol w:w="2254"/>
        <w:gridCol w:w="2254"/>
        <w:gridCol w:w="2254"/>
      </w:tblGrid>
      <w:tr w:rsidR="003C3065" w:rsidRPr="009761E1" w:rsidTr="00C45982">
        <w:trPr>
          <w:trHeight w:val="300"/>
        </w:trPr>
        <w:tc>
          <w:tcPr>
            <w:tcW w:w="2254" w:type="dxa"/>
            <w:vAlign w:val="center"/>
          </w:tcPr>
          <w:p w:rsidR="003C3065" w:rsidRPr="009761E1" w:rsidRDefault="003C3065" w:rsidP="00C45982">
            <w:pPr>
              <w:jc w:val="center"/>
              <w:rPr>
                <w:rFonts w:ascii="Times New Roman" w:hAnsi="Times New Roman" w:cs="Times New Roman"/>
                <w:sz w:val="28"/>
                <w:szCs w:val="28"/>
              </w:rPr>
            </w:pP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Beaver</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Control</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t and p-value</w:t>
            </w:r>
          </w:p>
        </w:tc>
      </w:tr>
      <w:tr w:rsidR="003C3065" w:rsidRPr="009761E1" w:rsidTr="00C45982">
        <w:trPr>
          <w:trHeight w:val="300"/>
        </w:trPr>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Size (ha.)</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2.1 ± 0.6 (0.7 - 4.1)</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1.2 ± 0.2 (0.5 - 2.5)</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-2.11, 0.051</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Alkalinity (</w:t>
            </w:r>
            <w:proofErr w:type="spellStart"/>
            <w:r w:rsidRPr="009761E1">
              <w:rPr>
                <w:rFonts w:ascii="Times New Roman" w:hAnsi="Times New Roman" w:cs="Times New Roman"/>
                <w:sz w:val="28"/>
                <w:szCs w:val="28"/>
              </w:rPr>
              <w:t>mmol</w:t>
            </w:r>
            <w:proofErr w:type="spellEnd"/>
            <w:r w:rsidRPr="009761E1">
              <w:rPr>
                <w:rFonts w:ascii="Times New Roman" w:hAnsi="Times New Roman" w:cs="Times New Roman"/>
                <w:sz w:val="28"/>
                <w:szCs w:val="28"/>
              </w:rPr>
              <w:t>/L)</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0.16 ± 0.02 (0.04 – 0.23)</w:t>
            </w:r>
          </w:p>
          <w:p w:rsidR="003C3065" w:rsidRPr="009761E1" w:rsidRDefault="003C3065" w:rsidP="00C45982">
            <w:pPr>
              <w:jc w:val="center"/>
              <w:rPr>
                <w:rFonts w:ascii="Times New Roman" w:hAnsi="Times New Roman" w:cs="Times New Roman"/>
                <w:sz w:val="28"/>
                <w:szCs w:val="28"/>
              </w:rPr>
            </w:pP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0.08 ± 0.03 (0.00 – 0.23)</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-2.14, 0.048*</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Chlorophyll A (</w:t>
            </w:r>
            <w:proofErr w:type="spellStart"/>
            <w:r w:rsidRPr="009761E1">
              <w:rPr>
                <w:rFonts w:ascii="Times New Roman" w:hAnsi="Times New Roman" w:cs="Times New Roman"/>
                <w:sz w:val="28"/>
                <w:szCs w:val="28"/>
              </w:rPr>
              <w:t>ug</w:t>
            </w:r>
            <w:proofErr w:type="spellEnd"/>
            <w:r w:rsidRPr="009761E1">
              <w:rPr>
                <w:rFonts w:ascii="Times New Roman" w:hAnsi="Times New Roman" w:cs="Times New Roman"/>
                <w:sz w:val="28"/>
                <w:szCs w:val="28"/>
              </w:rPr>
              <w:t>/L)</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12.2 ± 4.6 (1.3 – 41.4)</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22.8 ± 10.1 (1.1 – 90.1)</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0.40, 0.697</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lastRenderedPageBreak/>
              <w:t>Dissolved organic carbon (mg/L)</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13.6 ± 2.5 (6.6 – 26.6)</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13.6 ± 5.5 (2.3 – 27.2)</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-0.23, 0.818</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pH</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6.3 ± 0.1 (5.4 – 6.8)</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5.8 ± 0.2 (4.8 – 6.7)</w:t>
            </w:r>
          </w:p>
          <w:p w:rsidR="003C3065" w:rsidRPr="009761E1" w:rsidRDefault="003C3065" w:rsidP="00C45982">
            <w:pPr>
              <w:jc w:val="center"/>
              <w:rPr>
                <w:rFonts w:ascii="Times New Roman" w:hAnsi="Times New Roman" w:cs="Times New Roman"/>
                <w:sz w:val="28"/>
                <w:szCs w:val="28"/>
              </w:rPr>
            </w:pP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-1.74, 0.101</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Total nitrogen (</w:t>
            </w:r>
            <w:proofErr w:type="spellStart"/>
            <w:r w:rsidRPr="009761E1">
              <w:rPr>
                <w:rFonts w:ascii="Times New Roman" w:hAnsi="Times New Roman" w:cs="Times New Roman"/>
                <w:sz w:val="28"/>
                <w:szCs w:val="28"/>
              </w:rPr>
              <w:t>ug</w:t>
            </w:r>
            <w:proofErr w:type="spellEnd"/>
            <w:r w:rsidRPr="009761E1">
              <w:rPr>
                <w:rFonts w:ascii="Times New Roman" w:hAnsi="Times New Roman" w:cs="Times New Roman"/>
                <w:sz w:val="28"/>
                <w:szCs w:val="28"/>
              </w:rPr>
              <w:t>/L)</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607.0 ± 88.3 (241.0 – 1021.0)</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565.7 ± 79.7 (190.0 – 925.0)</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-0.36, 0.722</w:t>
            </w:r>
          </w:p>
        </w:tc>
      </w:tr>
      <w:tr w:rsidR="003C3065" w:rsidRPr="009761E1" w:rsidTr="00C45982">
        <w:trPr>
          <w:trHeight w:val="300"/>
        </w:trPr>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Total phosphorus (</w:t>
            </w:r>
            <w:proofErr w:type="spellStart"/>
            <w:r w:rsidRPr="009761E1">
              <w:rPr>
                <w:rFonts w:ascii="Times New Roman" w:hAnsi="Times New Roman" w:cs="Times New Roman"/>
                <w:sz w:val="28"/>
                <w:szCs w:val="28"/>
              </w:rPr>
              <w:t>ug</w:t>
            </w:r>
            <w:proofErr w:type="spellEnd"/>
            <w:r w:rsidRPr="009761E1">
              <w:rPr>
                <w:rFonts w:ascii="Times New Roman" w:hAnsi="Times New Roman" w:cs="Times New Roman"/>
                <w:sz w:val="28"/>
                <w:szCs w:val="28"/>
              </w:rPr>
              <w:t>/L)</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24.8 ± 4.4 (12.0 – 46.0)</w:t>
            </w:r>
          </w:p>
        </w:tc>
        <w:tc>
          <w:tcPr>
            <w:tcW w:w="2254" w:type="dxa"/>
            <w:vAlign w:val="center"/>
          </w:tcPr>
          <w:p w:rsidR="003C3065" w:rsidRPr="009761E1" w:rsidRDefault="003C3065" w:rsidP="00C45982">
            <w:pPr>
              <w:spacing w:line="480" w:lineRule="auto"/>
              <w:jc w:val="center"/>
              <w:rPr>
                <w:rFonts w:ascii="Times New Roman" w:hAnsi="Times New Roman" w:cs="Times New Roman"/>
                <w:sz w:val="28"/>
                <w:szCs w:val="28"/>
              </w:rPr>
            </w:pPr>
            <w:r w:rsidRPr="009761E1">
              <w:rPr>
                <w:rFonts w:ascii="Times New Roman" w:hAnsi="Times New Roman" w:cs="Times New Roman"/>
                <w:sz w:val="28"/>
                <w:szCs w:val="28"/>
              </w:rPr>
              <w:t>27.7 ± 8.5 (7.0 – 93.0)</w:t>
            </w:r>
          </w:p>
        </w:tc>
        <w:tc>
          <w:tcPr>
            <w:tcW w:w="2254" w:type="dxa"/>
            <w:vAlign w:val="center"/>
          </w:tcPr>
          <w:p w:rsidR="003C3065" w:rsidRPr="009761E1" w:rsidRDefault="003C3065" w:rsidP="00C45982">
            <w:pPr>
              <w:jc w:val="center"/>
              <w:rPr>
                <w:rFonts w:ascii="Times New Roman" w:hAnsi="Times New Roman" w:cs="Times New Roman"/>
                <w:sz w:val="28"/>
                <w:szCs w:val="28"/>
              </w:rPr>
            </w:pPr>
            <w:r w:rsidRPr="009761E1">
              <w:rPr>
                <w:rFonts w:ascii="Times New Roman" w:hAnsi="Times New Roman" w:cs="Times New Roman"/>
                <w:sz w:val="28"/>
                <w:szCs w:val="28"/>
              </w:rPr>
              <w:t>-0.33, 0.747</w:t>
            </w:r>
          </w:p>
        </w:tc>
      </w:tr>
    </w:tbl>
    <w:p w:rsidR="003C3065" w:rsidRPr="009761E1" w:rsidRDefault="003C3065" w:rsidP="003C3065">
      <w:pPr>
        <w:spacing w:line="480" w:lineRule="auto"/>
        <w:ind w:firstLine="720"/>
        <w:rPr>
          <w:rFonts w:ascii="Times New Roman" w:hAnsi="Times New Roman" w:cs="Times New Roman"/>
          <w:sz w:val="28"/>
          <w:szCs w:val="28"/>
        </w:rPr>
      </w:pPr>
    </w:p>
    <w:p w:rsidR="003C3065" w:rsidRPr="009761E1" w:rsidRDefault="003C3065" w:rsidP="003C3065">
      <w:pPr>
        <w:spacing w:line="480" w:lineRule="auto"/>
        <w:ind w:firstLine="720"/>
        <w:jc w:val="center"/>
        <w:rPr>
          <w:rFonts w:ascii="Times New Roman" w:hAnsi="Times New Roman" w:cs="Times New Roman"/>
          <w:sz w:val="28"/>
          <w:szCs w:val="28"/>
        </w:rPr>
      </w:pPr>
      <w:r w:rsidRPr="009761E1">
        <w:rPr>
          <w:rFonts w:ascii="Times New Roman" w:hAnsi="Times New Roman" w:cs="Times New Roman"/>
          <w:noProof/>
          <w:sz w:val="28"/>
          <w:szCs w:val="28"/>
          <w:lang w:eastAsia="en-IN"/>
        </w:rPr>
        <w:drawing>
          <wp:inline distT="0" distB="0" distL="0" distR="0" wp14:anchorId="2CF133AE" wp14:editId="3C5874E0">
            <wp:extent cx="4624252" cy="38535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a:extLst>
                        <a:ext uri="{28A0092B-C50C-407E-A947-70E740481C1C}">
                          <a14:useLocalDpi xmlns:a14="http://schemas.microsoft.com/office/drawing/2010/main" val="0"/>
                        </a:ext>
                      </a:extLst>
                    </a:blip>
                    <a:stretch>
                      <a:fillRect/>
                    </a:stretch>
                  </pic:blipFill>
                  <pic:spPr>
                    <a:xfrm>
                      <a:off x="0" y="0"/>
                      <a:ext cx="4627246" cy="3856038"/>
                    </a:xfrm>
                    <a:prstGeom prst="rect">
                      <a:avLst/>
                    </a:prstGeom>
                  </pic:spPr>
                </pic:pic>
              </a:graphicData>
            </a:graphic>
          </wp:inline>
        </w:drawing>
      </w:r>
    </w:p>
    <w:p w:rsidR="003C3065" w:rsidRPr="009761E1" w:rsidRDefault="003C3065" w:rsidP="003C3065">
      <w:pPr>
        <w:keepNext/>
        <w:spacing w:line="480" w:lineRule="auto"/>
        <w:rPr>
          <w:rFonts w:ascii="Times New Roman" w:hAnsi="Times New Roman" w:cs="Times New Roman"/>
          <w:sz w:val="28"/>
          <w:szCs w:val="28"/>
        </w:rPr>
      </w:pPr>
      <w:r w:rsidRPr="009761E1">
        <w:rPr>
          <w:rFonts w:ascii="Times New Roman" w:hAnsi="Times New Roman" w:cs="Times New Roman"/>
          <w:sz w:val="28"/>
          <w:szCs w:val="28"/>
        </w:rPr>
        <w:lastRenderedPageBreak/>
        <w:t>Figure S1. Principal components analysis (PCA) of site-level environmental data collected in beaver (blue) and control wetlands (orange). Ellipses cover 95% of the variation in scores for each wetland type on the PCA axes shown.</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Table S3. Taxa inventory per taxonomic group per site</w:t>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w:t>
      </w:r>
      <w:proofErr w:type="gramStart"/>
      <w:r w:rsidRPr="009761E1">
        <w:rPr>
          <w:rFonts w:ascii="Times New Roman" w:hAnsi="Times New Roman" w:cs="Times New Roman"/>
          <w:sz w:val="28"/>
          <w:szCs w:val="28"/>
        </w:rPr>
        <w:t>attached</w:t>
      </w:r>
      <w:proofErr w:type="gramEnd"/>
      <w:r w:rsidRPr="009761E1">
        <w:rPr>
          <w:rFonts w:ascii="Times New Roman" w:hAnsi="Times New Roman" w:cs="Times New Roman"/>
          <w:sz w:val="28"/>
          <w:szCs w:val="28"/>
        </w:rPr>
        <w:t xml:space="preserve"> excel file]</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i/>
          <w:iCs/>
          <w:sz w:val="28"/>
          <w:szCs w:val="28"/>
        </w:rPr>
      </w:pPr>
      <w:r w:rsidRPr="009761E1">
        <w:rPr>
          <w:rFonts w:ascii="Times New Roman" w:hAnsi="Times New Roman" w:cs="Times New Roman"/>
          <w:sz w:val="28"/>
          <w:szCs w:val="28"/>
        </w:rPr>
        <w:t>Table S4. List of indicator species per wetland type for each taxonomic group.</w:t>
      </w:r>
    </w:p>
    <w:tbl>
      <w:tblPr>
        <w:tblStyle w:val="TableGrid"/>
        <w:tblW w:w="0" w:type="auto"/>
        <w:tblLook w:val="04A0" w:firstRow="1" w:lastRow="0" w:firstColumn="1" w:lastColumn="0" w:noHBand="0" w:noVBand="1"/>
      </w:tblPr>
      <w:tblGrid>
        <w:gridCol w:w="2515"/>
        <w:gridCol w:w="2851"/>
        <w:gridCol w:w="1160"/>
        <w:gridCol w:w="1160"/>
        <w:gridCol w:w="1330"/>
      </w:tblGrid>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Group</w:t>
            </w:r>
          </w:p>
        </w:tc>
        <w:tc>
          <w:tcPr>
            <w:tcW w:w="3160"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Species</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Wetland type</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Indicator value</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Probability</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Aquatic plants</w:t>
            </w: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Carex</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rostrata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0.5593</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Lysimachia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thyrsiflora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0.387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Hippuris</w:t>
            </w:r>
            <w:proofErr w:type="spellEnd"/>
            <w:r w:rsidRPr="009761E1">
              <w:rPr>
                <w:rFonts w:ascii="Times New Roman" w:hAnsi="Times New Roman" w:cs="Times New Roman"/>
                <w:i/>
                <w:iCs/>
                <w:sz w:val="28"/>
                <w:szCs w:val="28"/>
              </w:rPr>
              <w:t xml:space="preserve"> vulgaris</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0.3287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Calamagrostis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arundinacea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0.2507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Lemna</w:t>
            </w:r>
            <w:proofErr w:type="spellEnd"/>
            <w:r w:rsidRPr="009761E1">
              <w:rPr>
                <w:rFonts w:ascii="Times New Roman" w:hAnsi="Times New Roman" w:cs="Times New Roman"/>
                <w:i/>
                <w:iCs/>
                <w:sz w:val="28"/>
                <w:szCs w:val="28"/>
              </w:rPr>
              <w:t xml:space="preserve"> minor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0.2347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Typha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latifolia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0.2222</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Potamogeton</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berchtoldii</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0.2089</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Utricularia</w:t>
            </w:r>
            <w:proofErr w:type="spellEnd"/>
            <w:r w:rsidRPr="009761E1">
              <w:rPr>
                <w:rFonts w:ascii="Times New Roman" w:hAnsi="Times New Roman" w:cs="Times New Roman"/>
                <w:i/>
                <w:iCs/>
                <w:sz w:val="28"/>
                <w:szCs w:val="28"/>
              </w:rPr>
              <w:t xml:space="preserve"> vulgaris</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0.1854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Cicuta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virosa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0.1648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Utricularia</w:t>
            </w:r>
            <w:proofErr w:type="spellEnd"/>
            <w:r w:rsidRPr="009761E1">
              <w:rPr>
                <w:rFonts w:ascii="Times New Roman" w:hAnsi="Times New Roman" w:cs="Times New Roman"/>
                <w:i/>
                <w:iCs/>
                <w:sz w:val="28"/>
                <w:szCs w:val="28"/>
              </w:rPr>
              <w:t xml:space="preserve"> intermedia</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0.1423</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Equisetum fluviatile</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0.1159</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Utricularia</w:t>
            </w:r>
            <w:proofErr w:type="spellEnd"/>
            <w:r w:rsidRPr="009761E1">
              <w:rPr>
                <w:rFonts w:ascii="Times New Roman" w:hAnsi="Times New Roman" w:cs="Times New Roman"/>
                <w:i/>
                <w:iCs/>
                <w:sz w:val="28"/>
                <w:szCs w:val="28"/>
              </w:rPr>
              <w:t xml:space="preserve"> minor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0.0995</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0.027</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Sparganium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glomeratum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0.0978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Caltha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palustris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0.0927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Carex</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echinata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0.0876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Drepanocladus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aduncus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0.0833</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Calamagrostis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purpurea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0.0826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Glyceria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fluitans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0.0774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Callitriche </w:t>
            </w:r>
            <w:proofErr w:type="spellStart"/>
            <w:r w:rsidRPr="009761E1">
              <w:rPr>
                <w:rFonts w:ascii="Times New Roman" w:hAnsi="Times New Roman" w:cs="Times New Roman"/>
                <w:i/>
                <w:iCs/>
                <w:sz w:val="28"/>
                <w:szCs w:val="28"/>
              </w:rPr>
              <w:t>hamulata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0.0756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Scirpus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sylvaticus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0.0756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Scutellaria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galericulata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0.0692</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Calliergonella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cuspidata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0.0633</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Betula</w:t>
            </w:r>
            <w:proofErr w:type="spellEnd"/>
            <w:r w:rsidRPr="009761E1">
              <w:rPr>
                <w:rFonts w:ascii="Times New Roman" w:hAnsi="Times New Roman" w:cs="Times New Roman"/>
                <w:i/>
                <w:iCs/>
                <w:sz w:val="28"/>
                <w:szCs w:val="28"/>
              </w:rPr>
              <w:t xml:space="preserve"> spp.</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0.0631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0.004</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Agrostis</w:t>
            </w:r>
            <w:proofErr w:type="spellEnd"/>
            <w:r w:rsidRPr="009761E1">
              <w:rPr>
                <w:rFonts w:ascii="Times New Roman" w:hAnsi="Times New Roman" w:cs="Times New Roman"/>
                <w:i/>
                <w:iCs/>
                <w:sz w:val="28"/>
                <w:szCs w:val="28"/>
              </w:rPr>
              <w:t xml:space="preserve"> stolonifera</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0.0554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Salix </w:t>
            </w:r>
            <w:proofErr w:type="spellStart"/>
            <w:r w:rsidRPr="009761E1">
              <w:rPr>
                <w:rFonts w:ascii="Times New Roman" w:hAnsi="Times New Roman" w:cs="Times New Roman"/>
                <w:i/>
                <w:iCs/>
                <w:sz w:val="28"/>
                <w:szCs w:val="28"/>
              </w:rPr>
              <w:t>cinerea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0.0522</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Deschampsia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cespitosa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0.0444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0.004</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Phalaris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arundinacea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0.0431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0.006</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Salix </w:t>
            </w:r>
            <w:proofErr w:type="spellStart"/>
            <w:r w:rsidRPr="009761E1">
              <w:rPr>
                <w:rFonts w:ascii="Times New Roman" w:hAnsi="Times New Roman" w:cs="Times New Roman"/>
                <w:i/>
                <w:iCs/>
                <w:sz w:val="28"/>
                <w:szCs w:val="28"/>
              </w:rPr>
              <w:t>phylicifolia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Sparganium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erectum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agg</w:t>
            </w:r>
            <w:proofErr w:type="spellEnd"/>
            <w:r w:rsidRPr="009761E1">
              <w:rPr>
                <w:rFonts w:ascii="Times New Roman" w:hAnsi="Times New Roman" w:cs="Times New Roman"/>
                <w:i/>
                <w:iCs/>
                <w:sz w:val="28"/>
                <w:szCs w:val="28"/>
              </w:rPr>
              <w:t>.</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0.004</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Eleocharis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palustris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0.0378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0.009</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Alisma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plantago-aquatica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0.0356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Iris </w:t>
            </w:r>
            <w:proofErr w:type="spellStart"/>
            <w:r w:rsidRPr="009761E1">
              <w:rPr>
                <w:rFonts w:ascii="Times New Roman" w:hAnsi="Times New Roman" w:cs="Times New Roman"/>
                <w:i/>
                <w:iCs/>
                <w:sz w:val="28"/>
                <w:szCs w:val="28"/>
              </w:rPr>
              <w:t>pseudacorus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0.0356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0.007</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Bidens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cernua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0.0311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Callitriche </w:t>
            </w:r>
            <w:proofErr w:type="spellStart"/>
            <w:r w:rsidRPr="009761E1">
              <w:rPr>
                <w:rFonts w:ascii="Times New Roman" w:hAnsi="Times New Roman" w:cs="Times New Roman"/>
                <w:i/>
                <w:iCs/>
                <w:sz w:val="28"/>
                <w:szCs w:val="28"/>
              </w:rPr>
              <w:t>stagnalis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0.0311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0.016</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Juncus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filiformis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0.0311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Equisetum </w:t>
            </w:r>
            <w:proofErr w:type="spellStart"/>
            <w:r w:rsidRPr="009761E1">
              <w:rPr>
                <w:rFonts w:ascii="Times New Roman" w:hAnsi="Times New Roman" w:cs="Times New Roman"/>
                <w:i/>
                <w:iCs/>
                <w:sz w:val="28"/>
                <w:szCs w:val="28"/>
              </w:rPr>
              <w:t>sylvaticum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0.0267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Lythrum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salicaria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0.0267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0.033</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Carex</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lasiocarpa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0.6364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Sphagnum </w:t>
            </w:r>
            <w:proofErr w:type="spellStart"/>
            <w:r w:rsidRPr="009761E1">
              <w:rPr>
                <w:rFonts w:ascii="Times New Roman" w:hAnsi="Times New Roman" w:cs="Times New Roman"/>
                <w:i/>
                <w:iCs/>
                <w:sz w:val="28"/>
                <w:szCs w:val="28"/>
              </w:rPr>
              <w:t>auriculatum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0.5385</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Vaccinium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oxycoccos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0.4469</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Menyanthes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trifoliata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0.2995</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Nuphar</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lutea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0.242</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Carex</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limosa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0.2411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Peucedanum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palustre</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0.2198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Phragmites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australis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0.2123</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Sphagnum </w:t>
            </w:r>
            <w:proofErr w:type="spellStart"/>
            <w:r w:rsidRPr="009761E1">
              <w:rPr>
                <w:rFonts w:ascii="Times New Roman" w:hAnsi="Times New Roman" w:cs="Times New Roman"/>
                <w:i/>
                <w:iCs/>
                <w:sz w:val="28"/>
                <w:szCs w:val="28"/>
              </w:rPr>
              <w:t>capillifolium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0.196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Andromeda </w:t>
            </w:r>
            <w:proofErr w:type="spellStart"/>
            <w:r w:rsidRPr="009761E1">
              <w:rPr>
                <w:rFonts w:ascii="Times New Roman" w:hAnsi="Times New Roman" w:cs="Times New Roman"/>
                <w:i/>
                <w:iCs/>
                <w:sz w:val="28"/>
                <w:szCs w:val="28"/>
              </w:rPr>
              <w:t>polifolia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0.1805</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Rhynchospora</w:t>
            </w:r>
            <w:proofErr w:type="spellEnd"/>
            <w:r w:rsidRPr="009761E1">
              <w:rPr>
                <w:rFonts w:ascii="Times New Roman" w:hAnsi="Times New Roman" w:cs="Times New Roman"/>
                <w:i/>
                <w:iCs/>
                <w:sz w:val="28"/>
                <w:szCs w:val="28"/>
              </w:rPr>
              <w:t xml:space="preserve"> alba</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0.1724</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Drosera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rotundifolia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0.1269</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Scheuchzeria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palustris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0.1156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Fontinalis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antipyretica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0.1067</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Rhododendron </w:t>
            </w:r>
            <w:proofErr w:type="spellStart"/>
            <w:r w:rsidRPr="009761E1">
              <w:rPr>
                <w:rFonts w:ascii="Times New Roman" w:hAnsi="Times New Roman" w:cs="Times New Roman"/>
                <w:i/>
                <w:iCs/>
                <w:sz w:val="28"/>
                <w:szCs w:val="28"/>
              </w:rPr>
              <w:t>tomentosum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0.0986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Nymphaea candida</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0.0918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Sphagnum </w:t>
            </w:r>
            <w:proofErr w:type="spellStart"/>
            <w:r w:rsidRPr="009761E1">
              <w:rPr>
                <w:rFonts w:ascii="Times New Roman" w:hAnsi="Times New Roman" w:cs="Times New Roman"/>
                <w:i/>
                <w:iCs/>
                <w:sz w:val="28"/>
                <w:szCs w:val="28"/>
              </w:rPr>
              <w:t>cuspidatum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0.0618</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Vaccinium</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uliginosum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0.0515</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0.008</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 xml:space="preserve">Sphagnum </w:t>
            </w:r>
            <w:proofErr w:type="spellStart"/>
            <w:r w:rsidRPr="009761E1">
              <w:rPr>
                <w:rFonts w:ascii="Times New Roman" w:hAnsi="Times New Roman" w:cs="Times New Roman"/>
                <w:i/>
                <w:iCs/>
                <w:sz w:val="28"/>
                <w:szCs w:val="28"/>
              </w:rPr>
              <w:t>magellanicum</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0.0311</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0.018</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Carex</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pauciflora</w:t>
            </w:r>
            <w:proofErr w:type="spellEnd"/>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0.0253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0.047</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Beetles</w:t>
            </w: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Haliplus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ruficollis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0.516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Hygrotus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inaequalis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0.499</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Rhantus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exsoletus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0.467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Hydroporus</w:t>
            </w:r>
            <w:proofErr w:type="spellEnd"/>
            <w:r w:rsidRPr="009761E1">
              <w:rPr>
                <w:rFonts w:ascii="Times New Roman" w:hAnsi="Times New Roman" w:cs="Times New Roman"/>
                <w:i/>
                <w:iCs/>
                <w:sz w:val="28"/>
                <w:szCs w:val="28"/>
              </w:rPr>
              <w:t xml:space="preserve"> dorsalis </w:t>
            </w:r>
            <w:proofErr w:type="spellStart"/>
            <w:r w:rsidRPr="009761E1">
              <w:rPr>
                <w:rFonts w:ascii="Times New Roman" w:hAnsi="Times New Roman" w:cs="Times New Roman"/>
                <w:i/>
                <w:iCs/>
                <w:sz w:val="28"/>
                <w:szCs w:val="28"/>
              </w:rPr>
              <w:t>s.s.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0.415</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Psyllobora</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vigintiduopunctata</w:t>
            </w:r>
            <w:proofErr w:type="spellEnd"/>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0.407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0.040</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Ilybius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ater</w:t>
            </w:r>
            <w:proofErr w:type="spellEnd"/>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0.392</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Haliplus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heydeni</w:t>
            </w:r>
            <w:proofErr w:type="spellEnd"/>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0.385</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Ilybius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fuliginosus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0.333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Hydroporus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tristis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0.747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Enochrus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affinis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0.442</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Hydroporus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neglectus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0.434</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Hydroporus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striola</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0.373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Contacyphon</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kongsbergensis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0.363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Graphoderus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zonatus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verrucifer</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0.307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0.035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sz w:val="28"/>
                <w:szCs w:val="28"/>
              </w:rPr>
              <w:t>Microcrustacea</w:t>
            </w:r>
            <w:proofErr w:type="spellEnd"/>
          </w:p>
        </w:tc>
        <w:tc>
          <w:tcPr>
            <w:tcW w:w="3160" w:type="dxa"/>
            <w:noWrap/>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i/>
                <w:iCs/>
                <w:sz w:val="28"/>
                <w:szCs w:val="28"/>
              </w:rPr>
              <w:t>Eucyclops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0.382  </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sz w:val="28"/>
                <w:szCs w:val="28"/>
              </w:rPr>
            </w:pPr>
            <w:proofErr w:type="spellStart"/>
            <w:r w:rsidRPr="009761E1">
              <w:rPr>
                <w:rFonts w:ascii="Times New Roman" w:hAnsi="Times New Roman" w:cs="Times New Roman"/>
                <w:i/>
                <w:iCs/>
                <w:sz w:val="28"/>
                <w:szCs w:val="28"/>
              </w:rPr>
              <w:t>Sida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0.384    </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True flies</w:t>
            </w: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Simulium</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0.597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Conchapelopia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0.516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Phaenopsectra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0.509</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Microtendipes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0.479</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Psectrotanypus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0.461</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Stempellinella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0.416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r w:rsidRPr="009761E1">
              <w:rPr>
                <w:rFonts w:ascii="Times New Roman" w:hAnsi="Times New Roman" w:cs="Times New Roman"/>
                <w:i/>
                <w:iCs/>
                <w:sz w:val="28"/>
                <w:szCs w:val="28"/>
              </w:rPr>
              <w:t>Anopheles</w:t>
            </w:r>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0.403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Eukiefferiella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0.376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Monopelopia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0.376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Nanocladius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0.376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Diamesa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0.375</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Arctopelopia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Dicrotendipes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0.36</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Rheocricotopus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0.341</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Tanypus</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0.305</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Prionocera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0.303</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Notiphila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0.244</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Tipula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0.24</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Trissopelopia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0.24</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0.04</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Bryophaenocladius</w:t>
            </w:r>
            <w:proofErr w:type="spellEnd"/>
            <w:r w:rsidRPr="009761E1">
              <w:rPr>
                <w:rFonts w:ascii="Times New Roman" w:hAnsi="Times New Roman" w:cs="Times New Roman"/>
                <w:sz w:val="28"/>
                <w:szCs w:val="28"/>
              </w:rPr>
              <w:t xml:space="preserve"> spp.</w:t>
            </w:r>
            <w:r w:rsidRPr="009761E1">
              <w:rPr>
                <w:rFonts w:ascii="Times New Roman" w:hAnsi="Times New Roman" w:cs="Times New Roman"/>
                <w:i/>
                <w:iCs/>
                <w:sz w:val="28"/>
                <w:szCs w:val="28"/>
              </w:rPr>
              <w:t xml:space="preserve">   </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0.335</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0.010</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p>
        </w:tc>
        <w:tc>
          <w:tcPr>
            <w:tcW w:w="3160" w:type="dxa"/>
            <w:noWrap/>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Smittia</w:t>
            </w:r>
            <w:proofErr w:type="spellEnd"/>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0.282   </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0.025</w:t>
            </w:r>
          </w:p>
        </w:tc>
      </w:tr>
      <w:tr w:rsidR="003C3065" w:rsidRPr="009761E1" w:rsidTr="00C45982">
        <w:trPr>
          <w:trHeight w:val="320"/>
        </w:trPr>
        <w:tc>
          <w:tcPr>
            <w:tcW w:w="2037"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May/Stone/Caddisflies</w:t>
            </w:r>
          </w:p>
        </w:tc>
        <w:tc>
          <w:tcPr>
            <w:tcW w:w="3160"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i/>
                <w:iCs/>
                <w:sz w:val="28"/>
                <w:szCs w:val="28"/>
              </w:rPr>
              <w:t>Leuctra</w:t>
            </w:r>
            <w:r w:rsidRPr="009761E1">
              <w:rPr>
                <w:rFonts w:ascii="Times New Roman" w:hAnsi="Times New Roman" w:cs="Times New Roman"/>
                <w:sz w:val="28"/>
                <w:szCs w:val="28"/>
              </w:rPr>
              <w:t xml:space="preserve"> spp.</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Beaver</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0.547</w:t>
            </w:r>
          </w:p>
        </w:tc>
        <w:tc>
          <w:tcPr>
            <w:tcW w:w="1271" w:type="dxa"/>
            <w:noWrap/>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0.025</w:t>
            </w:r>
          </w:p>
        </w:tc>
      </w:tr>
      <w:tr w:rsidR="003C3065" w:rsidRPr="009761E1" w:rsidTr="00C45982">
        <w:trPr>
          <w:trHeight w:val="320"/>
        </w:trPr>
        <w:tc>
          <w:tcPr>
            <w:tcW w:w="2037"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Fishes</w:t>
            </w:r>
          </w:p>
        </w:tc>
        <w:tc>
          <w:tcPr>
            <w:tcW w:w="3160" w:type="dxa"/>
            <w:noWrap/>
            <w:hideMark/>
          </w:tcPr>
          <w:p w:rsidR="003C3065" w:rsidRPr="009761E1" w:rsidRDefault="003C3065" w:rsidP="00C45982">
            <w:pPr>
              <w:spacing w:line="480" w:lineRule="auto"/>
              <w:rPr>
                <w:rFonts w:ascii="Times New Roman" w:hAnsi="Times New Roman" w:cs="Times New Roman"/>
                <w:i/>
                <w:iCs/>
                <w:sz w:val="28"/>
                <w:szCs w:val="28"/>
              </w:rPr>
            </w:pPr>
            <w:proofErr w:type="spellStart"/>
            <w:r w:rsidRPr="009761E1">
              <w:rPr>
                <w:rFonts w:ascii="Times New Roman" w:hAnsi="Times New Roman" w:cs="Times New Roman"/>
                <w:i/>
                <w:iCs/>
                <w:sz w:val="28"/>
                <w:szCs w:val="28"/>
              </w:rPr>
              <w:t>Carassius</w:t>
            </w:r>
            <w:proofErr w:type="spellEnd"/>
            <w:r w:rsidRPr="009761E1">
              <w:rPr>
                <w:rFonts w:ascii="Times New Roman" w:hAnsi="Times New Roman" w:cs="Times New Roman"/>
                <w:i/>
                <w:iCs/>
                <w:sz w:val="28"/>
                <w:szCs w:val="28"/>
              </w:rPr>
              <w:t xml:space="preserve"> </w:t>
            </w:r>
            <w:proofErr w:type="spellStart"/>
            <w:r w:rsidRPr="009761E1">
              <w:rPr>
                <w:rFonts w:ascii="Times New Roman" w:hAnsi="Times New Roman" w:cs="Times New Roman"/>
                <w:i/>
                <w:iCs/>
                <w:sz w:val="28"/>
                <w:szCs w:val="28"/>
              </w:rPr>
              <w:t>carassius</w:t>
            </w:r>
            <w:proofErr w:type="spellEnd"/>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Control</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0.1176</w:t>
            </w:r>
          </w:p>
        </w:tc>
        <w:tc>
          <w:tcPr>
            <w:tcW w:w="1271" w:type="dxa"/>
            <w:noWrap/>
            <w:hideMark/>
          </w:tcPr>
          <w:p w:rsidR="003C3065" w:rsidRPr="009761E1" w:rsidRDefault="003C3065" w:rsidP="00C45982">
            <w:pPr>
              <w:spacing w:line="480" w:lineRule="auto"/>
              <w:rPr>
                <w:rFonts w:ascii="Times New Roman" w:hAnsi="Times New Roman" w:cs="Times New Roman"/>
                <w:sz w:val="28"/>
                <w:szCs w:val="28"/>
              </w:rPr>
            </w:pPr>
            <w:r w:rsidRPr="009761E1">
              <w:rPr>
                <w:rFonts w:ascii="Times New Roman" w:hAnsi="Times New Roman" w:cs="Times New Roman"/>
                <w:sz w:val="28"/>
                <w:szCs w:val="28"/>
              </w:rPr>
              <w:t>0.005</w:t>
            </w:r>
          </w:p>
        </w:tc>
      </w:tr>
    </w:tbl>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drawing>
          <wp:inline distT="0" distB="0" distL="0" distR="0" wp14:anchorId="288886F9" wp14:editId="18AED0E2">
            <wp:extent cx="5727700" cy="2291080"/>
            <wp:effectExtent l="0" t="0" r="0" b="0"/>
            <wp:docPr id="1518892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92744" name="Picture 1518892744"/>
                    <pic:cNvPicPr/>
                  </pic:nvPicPr>
                  <pic:blipFill>
                    <a:blip r:embed="rId6"/>
                    <a:stretch>
                      <a:fillRect/>
                    </a:stretch>
                  </pic:blipFill>
                  <pic:spPr>
                    <a:xfrm>
                      <a:off x="0" y="0"/>
                      <a:ext cx="5727700" cy="2291080"/>
                    </a:xfrm>
                    <a:prstGeom prst="rect">
                      <a:avLst/>
                    </a:prstGeom>
                  </pic:spPr>
                </pic:pic>
              </a:graphicData>
            </a:graphic>
          </wp:inline>
        </w:drawing>
      </w:r>
    </w:p>
    <w:p w:rsidR="003C3065" w:rsidRPr="009761E1" w:rsidRDefault="003C3065" w:rsidP="003C3065">
      <w:pPr>
        <w:spacing w:line="480" w:lineRule="auto"/>
        <w:ind w:left="720"/>
        <w:rPr>
          <w:rFonts w:ascii="Times New Roman" w:hAnsi="Times New Roman" w:cs="Times New Roman"/>
          <w:sz w:val="28"/>
          <w:szCs w:val="28"/>
        </w:rPr>
      </w:pPr>
      <w:r w:rsidRPr="009761E1">
        <w:rPr>
          <w:rFonts w:ascii="Times New Roman" w:hAnsi="Times New Roman" w:cs="Times New Roman"/>
          <w:sz w:val="28"/>
          <w:szCs w:val="28"/>
        </w:rPr>
        <w:t xml:space="preserve">Figure S2. Error plots comparing taxa richness per sample for beaver (blue) and control wetlands (orange) for a) aquatic plants, b) beetles, c) segmented worms, d) </w:t>
      </w:r>
      <w:proofErr w:type="spellStart"/>
      <w:r w:rsidRPr="009761E1">
        <w:rPr>
          <w:rFonts w:ascii="Times New Roman" w:hAnsi="Times New Roman" w:cs="Times New Roman"/>
          <w:sz w:val="28"/>
          <w:szCs w:val="28"/>
        </w:rPr>
        <w:t>microcrustacea</w:t>
      </w:r>
      <w:proofErr w:type="spellEnd"/>
      <w:r w:rsidRPr="009761E1">
        <w:rPr>
          <w:rFonts w:ascii="Times New Roman" w:hAnsi="Times New Roman" w:cs="Times New Roman"/>
          <w:sz w:val="28"/>
          <w:szCs w:val="28"/>
        </w:rPr>
        <w:t xml:space="preserve">, e) true flies, f) may/stone/caddisflies, g) amphibians, h) fish, </w:t>
      </w:r>
      <w:proofErr w:type="spellStart"/>
      <w:r w:rsidRPr="009761E1">
        <w:rPr>
          <w:rFonts w:ascii="Times New Roman" w:hAnsi="Times New Roman" w:cs="Times New Roman"/>
          <w:sz w:val="28"/>
          <w:szCs w:val="28"/>
        </w:rPr>
        <w:t>i</w:t>
      </w:r>
      <w:proofErr w:type="spellEnd"/>
      <w:r w:rsidRPr="009761E1">
        <w:rPr>
          <w:rFonts w:ascii="Times New Roman" w:hAnsi="Times New Roman" w:cs="Times New Roman"/>
          <w:sz w:val="28"/>
          <w:szCs w:val="28"/>
        </w:rPr>
        <w:t>) birds and j) mammals. Coloured points represent the mean of the data, error bars are equal to one standard deviation, and dots show individual data points. Z test statistics and p values are outputs from generalised linear mixed models that tested differences between waterbody types per taxonomic group.</w:t>
      </w:r>
    </w:p>
    <w:p w:rsidR="003C3065" w:rsidRPr="009761E1" w:rsidRDefault="003C3065" w:rsidP="003C3065">
      <w:pPr>
        <w:spacing w:line="480" w:lineRule="auto"/>
        <w:ind w:left="720"/>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rPr>
        <w:lastRenderedPageBreak/>
        <w:t xml:space="preserve"> </w:t>
      </w:r>
      <w:r w:rsidRPr="009761E1">
        <w:rPr>
          <w:rFonts w:ascii="Times New Roman" w:hAnsi="Times New Roman" w:cs="Times New Roman"/>
          <w:noProof/>
          <w:sz w:val="28"/>
          <w:szCs w:val="28"/>
          <w:lang w:eastAsia="en-IN"/>
        </w:rPr>
        <w:drawing>
          <wp:inline distT="0" distB="0" distL="0" distR="0" wp14:anchorId="05901A17" wp14:editId="04458960">
            <wp:extent cx="5727700" cy="2291080"/>
            <wp:effectExtent l="0" t="0" r="0" b="0"/>
            <wp:docPr id="77522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25246" name="Picture 775225246"/>
                    <pic:cNvPicPr/>
                  </pic:nvPicPr>
                  <pic:blipFill>
                    <a:blip r:embed="rId7"/>
                    <a:stretch>
                      <a:fillRect/>
                    </a:stretch>
                  </pic:blipFill>
                  <pic:spPr>
                    <a:xfrm>
                      <a:off x="0" y="0"/>
                      <a:ext cx="5727700" cy="2291080"/>
                    </a:xfrm>
                    <a:prstGeom prst="rect">
                      <a:avLst/>
                    </a:prstGeom>
                  </pic:spPr>
                </pic:pic>
              </a:graphicData>
            </a:graphic>
          </wp:inline>
        </w:drawing>
      </w:r>
    </w:p>
    <w:p w:rsidR="003C3065" w:rsidRPr="009761E1" w:rsidRDefault="003C3065" w:rsidP="003C3065">
      <w:pPr>
        <w:spacing w:line="480" w:lineRule="auto"/>
        <w:ind w:left="720"/>
        <w:rPr>
          <w:rFonts w:ascii="Times New Roman" w:hAnsi="Times New Roman" w:cs="Times New Roman"/>
          <w:sz w:val="28"/>
          <w:szCs w:val="28"/>
        </w:rPr>
      </w:pPr>
      <w:r w:rsidRPr="009761E1">
        <w:rPr>
          <w:rFonts w:ascii="Times New Roman" w:hAnsi="Times New Roman" w:cs="Times New Roman"/>
          <w:sz w:val="28"/>
          <w:szCs w:val="28"/>
        </w:rPr>
        <w:t xml:space="preserve">Figure S3. Error plots comparing taxa richness per site for beaver (blue) and control wetlands (orange) for a) aquatic plants, b) beetles, c) segmented worms, d) </w:t>
      </w:r>
      <w:proofErr w:type="spellStart"/>
      <w:r w:rsidRPr="009761E1">
        <w:rPr>
          <w:rFonts w:ascii="Times New Roman" w:hAnsi="Times New Roman" w:cs="Times New Roman"/>
          <w:sz w:val="28"/>
          <w:szCs w:val="28"/>
        </w:rPr>
        <w:t>microcrustacea</w:t>
      </w:r>
      <w:proofErr w:type="spellEnd"/>
      <w:r w:rsidRPr="009761E1">
        <w:rPr>
          <w:rFonts w:ascii="Times New Roman" w:hAnsi="Times New Roman" w:cs="Times New Roman"/>
          <w:sz w:val="28"/>
          <w:szCs w:val="28"/>
        </w:rPr>
        <w:t xml:space="preserve">, e) true flies, f) may/stone/caddisflies, g) amphibians, h) fish, </w:t>
      </w:r>
      <w:proofErr w:type="spellStart"/>
      <w:r w:rsidRPr="009761E1">
        <w:rPr>
          <w:rFonts w:ascii="Times New Roman" w:hAnsi="Times New Roman" w:cs="Times New Roman"/>
          <w:sz w:val="28"/>
          <w:szCs w:val="28"/>
        </w:rPr>
        <w:t>i</w:t>
      </w:r>
      <w:proofErr w:type="spellEnd"/>
      <w:r w:rsidRPr="009761E1">
        <w:rPr>
          <w:rFonts w:ascii="Times New Roman" w:hAnsi="Times New Roman" w:cs="Times New Roman"/>
          <w:sz w:val="28"/>
          <w:szCs w:val="28"/>
        </w:rPr>
        <w:t>) birds and j) mammals. Coloured points represent the mean of the data, error bars are equal to one standard deviation, and dots show individual data points. T statistics and p values are outputs from generalised linear models with quasi-</w:t>
      </w:r>
      <w:proofErr w:type="spellStart"/>
      <w:r w:rsidRPr="009761E1">
        <w:rPr>
          <w:rFonts w:ascii="Times New Roman" w:hAnsi="Times New Roman" w:cs="Times New Roman"/>
          <w:sz w:val="28"/>
          <w:szCs w:val="28"/>
        </w:rPr>
        <w:t>poisson</w:t>
      </w:r>
      <w:proofErr w:type="spellEnd"/>
      <w:r w:rsidRPr="009761E1">
        <w:rPr>
          <w:rFonts w:ascii="Times New Roman" w:hAnsi="Times New Roman" w:cs="Times New Roman"/>
          <w:sz w:val="28"/>
          <w:szCs w:val="28"/>
        </w:rPr>
        <w:t xml:space="preserve"> family that tested differences between waterbody types per taxonomic group.</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pStyle w:val="Heading2"/>
        <w:spacing w:line="480" w:lineRule="auto"/>
        <w:rPr>
          <w:rFonts w:ascii="Times New Roman" w:hAnsi="Times New Roman" w:cs="Times New Roman"/>
          <w:sz w:val="28"/>
          <w:szCs w:val="28"/>
        </w:rPr>
      </w:pPr>
      <w:r w:rsidRPr="009761E1">
        <w:rPr>
          <w:rFonts w:ascii="Times New Roman" w:hAnsi="Times New Roman" w:cs="Times New Roman"/>
          <w:sz w:val="28"/>
          <w:szCs w:val="28"/>
        </w:rPr>
        <w:t>Occupancy plots</w:t>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7AB3D102" wp14:editId="5F662F36">
            <wp:extent cx="5727700" cy="5727700"/>
            <wp:effectExtent l="0" t="0" r="0" b="0"/>
            <wp:docPr id="37360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01121" name="Picture 373601121"/>
                    <pic:cNvPicPr/>
                  </pic:nvPicPr>
                  <pic:blipFill>
                    <a:blip r:embed="rId8"/>
                    <a:stretch>
                      <a:fillRect/>
                    </a:stretch>
                  </pic:blipFill>
                  <pic:spPr>
                    <a:xfrm>
                      <a:off x="0" y="0"/>
                      <a:ext cx="5727700" cy="5727700"/>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S4. Error plots comparing site occupancy (presence across 10 samples) of aquatic plant species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6E2E23A0" wp14:editId="7B19985F">
            <wp:extent cx="5727700" cy="5727700"/>
            <wp:effectExtent l="0" t="0" r="0" b="0"/>
            <wp:docPr id="2047056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56163" name=""/>
                    <pic:cNvPicPr/>
                  </pic:nvPicPr>
                  <pic:blipFill>
                    <a:blip r:embed="rId9"/>
                    <a:stretch>
                      <a:fillRect/>
                    </a:stretch>
                  </pic:blipFill>
                  <pic:spPr>
                    <a:xfrm>
                      <a:off x="0" y="0"/>
                      <a:ext cx="5727700" cy="5727700"/>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S5. Error plots comparing site occupancy (presence across 10 samples) of beetle species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rPr>
          <w:rFonts w:ascii="Times New Roman" w:hAnsi="Times New Roman" w:cs="Times New Roman"/>
          <w:sz w:val="28"/>
          <w:szCs w:val="28"/>
        </w:rPr>
      </w:pPr>
    </w:p>
    <w:p w:rsidR="003C3065" w:rsidRPr="009761E1" w:rsidRDefault="003C3065" w:rsidP="003C3065">
      <w:pPr>
        <w:rPr>
          <w:rFonts w:ascii="Times New Roman" w:hAnsi="Times New Roman" w:cs="Times New Roman"/>
          <w:sz w:val="28"/>
          <w:szCs w:val="28"/>
        </w:rPr>
      </w:pPr>
    </w:p>
    <w:p w:rsidR="003C3065" w:rsidRPr="009761E1" w:rsidRDefault="003C3065" w:rsidP="003C3065">
      <w:pPr>
        <w:rPr>
          <w:rFonts w:ascii="Times New Roman" w:hAnsi="Times New Roman" w:cs="Times New Roman"/>
          <w:sz w:val="28"/>
          <w:szCs w:val="28"/>
        </w:rPr>
      </w:pPr>
      <w:r w:rsidRPr="009761E1">
        <w:rPr>
          <w:rFonts w:ascii="Times New Roman" w:hAnsi="Times New Roman" w:cs="Times New Roman"/>
          <w:noProof/>
          <w:sz w:val="28"/>
          <w:szCs w:val="28"/>
          <w:lang w:eastAsia="en-IN"/>
        </w:rPr>
        <w:drawing>
          <wp:inline distT="0" distB="0" distL="0" distR="0" wp14:anchorId="1FF78068" wp14:editId="7505CE0D">
            <wp:extent cx="5727700" cy="4295775"/>
            <wp:effectExtent l="0" t="0" r="0" b="0"/>
            <wp:docPr id="1864388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88152" name="Picture 1864388152"/>
                    <pic:cNvPicPr/>
                  </pic:nvPicPr>
                  <pic:blipFill>
                    <a:blip r:embed="rId10"/>
                    <a:stretch>
                      <a:fillRect/>
                    </a:stretch>
                  </pic:blipFill>
                  <pic:spPr>
                    <a:xfrm>
                      <a:off x="0" y="0"/>
                      <a:ext cx="5727700" cy="4295775"/>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S6. Error plots comparing site occupancy (presence across 10 samples) of segmented worm genera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7ABEB25E" wp14:editId="00CDC4DA">
            <wp:extent cx="5727700" cy="4582160"/>
            <wp:effectExtent l="0" t="0" r="0" b="2540"/>
            <wp:docPr id="7682276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27674" name="Picture 768227674"/>
                    <pic:cNvPicPr/>
                  </pic:nvPicPr>
                  <pic:blipFill>
                    <a:blip r:embed="rId11"/>
                    <a:stretch>
                      <a:fillRect/>
                    </a:stretch>
                  </pic:blipFill>
                  <pic:spPr>
                    <a:xfrm>
                      <a:off x="0" y="0"/>
                      <a:ext cx="5727700" cy="4582160"/>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S7. Error plots comparing site occupancy (presence across 10 samples) of </w:t>
      </w:r>
      <w:proofErr w:type="spellStart"/>
      <w:r w:rsidRPr="009761E1">
        <w:rPr>
          <w:rFonts w:ascii="Times New Roman" w:hAnsi="Times New Roman" w:cs="Times New Roman"/>
          <w:sz w:val="28"/>
          <w:szCs w:val="28"/>
        </w:rPr>
        <w:t>microcrustacea</w:t>
      </w:r>
      <w:proofErr w:type="spellEnd"/>
      <w:r w:rsidRPr="009761E1">
        <w:rPr>
          <w:rFonts w:ascii="Times New Roman" w:hAnsi="Times New Roman" w:cs="Times New Roman"/>
          <w:sz w:val="28"/>
          <w:szCs w:val="28"/>
        </w:rPr>
        <w:t xml:space="preserve"> genera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710586AE" wp14:editId="7C0CB6D9">
            <wp:extent cx="5727700" cy="5727700"/>
            <wp:effectExtent l="0" t="0" r="0" b="0"/>
            <wp:docPr id="993924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24429" name="Picture 993924429"/>
                    <pic:cNvPicPr/>
                  </pic:nvPicPr>
                  <pic:blipFill>
                    <a:blip r:embed="rId12"/>
                    <a:stretch>
                      <a:fillRect/>
                    </a:stretch>
                  </pic:blipFill>
                  <pic:spPr>
                    <a:xfrm>
                      <a:off x="0" y="0"/>
                      <a:ext cx="5727700" cy="5727700"/>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S8. Error plots comparing site occupancy (presence across 10 samples) of true fly genera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0ECF8EF5" wp14:editId="4BAC04AD">
            <wp:extent cx="5727700" cy="4773295"/>
            <wp:effectExtent l="0" t="0" r="0" b="1905"/>
            <wp:docPr id="12659822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82226" name="Picture 1265982226"/>
                    <pic:cNvPicPr/>
                  </pic:nvPicPr>
                  <pic:blipFill>
                    <a:blip r:embed="rId13"/>
                    <a:stretch>
                      <a:fillRect/>
                    </a:stretch>
                  </pic:blipFill>
                  <pic:spPr>
                    <a:xfrm>
                      <a:off x="0" y="0"/>
                      <a:ext cx="5727700" cy="4773295"/>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S9. Error plots comparing site occupancy (presence across 10 samples) of may/stone/caddisfly genera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genera. </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213C391E" wp14:editId="1E67E654">
            <wp:extent cx="5727700" cy="4909185"/>
            <wp:effectExtent l="0" t="0" r="0" b="5715"/>
            <wp:docPr id="72604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47552" name="Picture 726047552"/>
                    <pic:cNvPicPr/>
                  </pic:nvPicPr>
                  <pic:blipFill>
                    <a:blip r:embed="rId14"/>
                    <a:stretch>
                      <a:fillRect/>
                    </a:stretch>
                  </pic:blipFill>
                  <pic:spPr>
                    <a:xfrm>
                      <a:off x="0" y="0"/>
                      <a:ext cx="5727700" cy="4909185"/>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S10. Error plots comparing site occupancy (presence across 10 samples) of amphibian species between beaver (blue) and control (orange) wetlands. Coloured points represent the mean of the data, error bars are equal to one standard error and dots show individual data points. </w:t>
      </w:r>
      <w:bookmarkStart w:id="0" w:name="OLE_LINK10"/>
      <w:r w:rsidRPr="009761E1">
        <w:rPr>
          <w:rFonts w:ascii="Times New Roman" w:hAnsi="Times New Roman" w:cs="Times New Roman"/>
          <w:sz w:val="28"/>
          <w:szCs w:val="28"/>
        </w:rPr>
        <w:t xml:space="preserve">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 xml:space="preserve">-Hochberg corrected non-parametric Wilcoxon tests that tested differences between waterbody types per species. </w:t>
      </w:r>
      <w:bookmarkEnd w:id="0"/>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jc w:val="center"/>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12FBE15C" wp14:editId="64014CC7">
            <wp:extent cx="5727700" cy="4773295"/>
            <wp:effectExtent l="0" t="0" r="0" b="1905"/>
            <wp:docPr id="330785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85727" name="Picture 330785727"/>
                    <pic:cNvPicPr/>
                  </pic:nvPicPr>
                  <pic:blipFill>
                    <a:blip r:embed="rId15"/>
                    <a:stretch>
                      <a:fillRect/>
                    </a:stretch>
                  </pic:blipFill>
                  <pic:spPr>
                    <a:xfrm>
                      <a:off x="0" y="0"/>
                      <a:ext cx="5727700" cy="4773295"/>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S11. Error plots comparing site occupancy (presence across 10 samples) of fish species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-Hochberg corrected non-parametric Wilcoxon tests that tested differences between waterbody types per species.</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20EB5DA3" wp14:editId="00740CE9">
            <wp:extent cx="5727700" cy="4773295"/>
            <wp:effectExtent l="0" t="0" r="0" b="1905"/>
            <wp:docPr id="142171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1832" name="Picture 142171832"/>
                    <pic:cNvPicPr/>
                  </pic:nvPicPr>
                  <pic:blipFill>
                    <a:blip r:embed="rId16"/>
                    <a:stretch>
                      <a:fillRect/>
                    </a:stretch>
                  </pic:blipFill>
                  <pic:spPr>
                    <a:xfrm>
                      <a:off x="0" y="0"/>
                      <a:ext cx="5727700" cy="4773295"/>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S12. Error plots comparing site occupancy (presence across 10 samples) of bird species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-Hochberg corrected non-parametric Wilcoxon tests that tested differences between waterbody types per species.</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spacing w:line="480" w:lineRule="auto"/>
        <w:jc w:val="center"/>
        <w:rPr>
          <w:rFonts w:ascii="Times New Roman" w:hAnsi="Times New Roman" w:cs="Times New Roman"/>
          <w:sz w:val="28"/>
          <w:szCs w:val="28"/>
        </w:rPr>
      </w:pPr>
      <w:r w:rsidRPr="009761E1">
        <w:rPr>
          <w:rFonts w:ascii="Times New Roman" w:hAnsi="Times New Roman" w:cs="Times New Roman"/>
          <w:noProof/>
          <w:sz w:val="28"/>
          <w:szCs w:val="28"/>
          <w:lang w:eastAsia="en-IN"/>
        </w:rPr>
        <w:lastRenderedPageBreak/>
        <w:drawing>
          <wp:inline distT="0" distB="0" distL="0" distR="0" wp14:anchorId="7F200030" wp14:editId="09B41E77">
            <wp:extent cx="5727700" cy="4582160"/>
            <wp:effectExtent l="0" t="0" r="0" b="2540"/>
            <wp:docPr id="439175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75283" name="Picture 439175283"/>
                    <pic:cNvPicPr/>
                  </pic:nvPicPr>
                  <pic:blipFill>
                    <a:blip r:embed="rId17"/>
                    <a:stretch>
                      <a:fillRect/>
                    </a:stretch>
                  </pic:blipFill>
                  <pic:spPr>
                    <a:xfrm>
                      <a:off x="0" y="0"/>
                      <a:ext cx="5727700" cy="4582160"/>
                    </a:xfrm>
                    <a:prstGeom prst="rect">
                      <a:avLst/>
                    </a:prstGeom>
                  </pic:spPr>
                </pic:pic>
              </a:graphicData>
            </a:graphic>
          </wp:inline>
        </w:drawing>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Figure S13. Error plots comparing site occupancy (presence across 10 samples) of mammal species between beaver (blue) and control (orange) wetlands. Coloured points represent the mean of the data, error bars are equal to one standard error and dots show individual data points. P values are outputs from </w:t>
      </w:r>
      <w:proofErr w:type="spellStart"/>
      <w:r w:rsidRPr="009761E1">
        <w:rPr>
          <w:rFonts w:ascii="Times New Roman" w:hAnsi="Times New Roman" w:cs="Times New Roman"/>
          <w:sz w:val="28"/>
          <w:szCs w:val="28"/>
        </w:rPr>
        <w:t>Benjamini</w:t>
      </w:r>
      <w:proofErr w:type="spellEnd"/>
      <w:r w:rsidRPr="009761E1">
        <w:rPr>
          <w:rFonts w:ascii="Times New Roman" w:hAnsi="Times New Roman" w:cs="Times New Roman"/>
          <w:sz w:val="28"/>
          <w:szCs w:val="28"/>
        </w:rPr>
        <w:t>-Hochberg corrected non-parametric Wilcoxon tests that tested differences between waterbody types per species.</w:t>
      </w:r>
    </w:p>
    <w:p w:rsidR="003C3065" w:rsidRPr="009761E1" w:rsidRDefault="003C3065" w:rsidP="003C3065">
      <w:pPr>
        <w:spacing w:line="480" w:lineRule="auto"/>
        <w:rPr>
          <w:rFonts w:ascii="Times New Roman" w:hAnsi="Times New Roman" w:cs="Times New Roman"/>
          <w:sz w:val="28"/>
          <w:szCs w:val="28"/>
        </w:rPr>
      </w:pPr>
      <w:r w:rsidRPr="009761E1">
        <w:rPr>
          <w:rFonts w:ascii="Times New Roman" w:hAnsi="Times New Roman" w:cs="Times New Roman"/>
          <w:sz w:val="28"/>
          <w:szCs w:val="28"/>
        </w:rPr>
        <w:br w:type="page"/>
      </w:r>
    </w:p>
    <w:p w:rsidR="003C3065" w:rsidRPr="009761E1" w:rsidRDefault="003C3065" w:rsidP="003C3065">
      <w:pPr>
        <w:pStyle w:val="Heading1"/>
        <w:spacing w:line="480" w:lineRule="auto"/>
        <w:rPr>
          <w:rFonts w:ascii="Times New Roman" w:hAnsi="Times New Roman" w:cs="Times New Roman"/>
          <w:sz w:val="28"/>
          <w:szCs w:val="28"/>
        </w:rPr>
      </w:pPr>
      <w:r w:rsidRPr="009761E1">
        <w:rPr>
          <w:rFonts w:ascii="Times New Roman" w:hAnsi="Times New Roman" w:cs="Times New Roman"/>
          <w:sz w:val="28"/>
          <w:szCs w:val="28"/>
        </w:rPr>
        <w:lastRenderedPageBreak/>
        <w:fldChar w:fldCharType="begin"/>
      </w:r>
      <w:r w:rsidRPr="009761E1">
        <w:rPr>
          <w:rFonts w:ascii="Times New Roman" w:hAnsi="Times New Roman" w:cs="Times New Roman"/>
          <w:sz w:val="28"/>
          <w:szCs w:val="28"/>
        </w:rPr>
        <w:instrText xml:space="preserve"> ADDIN ZOTERO_ITEM CSL_CITATION {"citationID":"x3KWrwoJ","properties":{"formattedCitation":"(Sellers {\\i{}et al.}, 2018)","plainCitation":"(Sellers et al., 2018)","dontUpdate":true,"noteIndex":0},"citationItems":[{"id":3899,"uris":["http://zotero.org/users/9749297/items/3MB7TCHP"],"itemData":{"id":3899,"type":"article-journal","abstract":"Efficient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hAnsi="Times New Roman" w:cs="Times New Roman"/>
          <w:sz w:val="28"/>
          <w:szCs w:val="28"/>
        </w:rPr>
        <w:fldChar w:fldCharType="end"/>
      </w:r>
      <w:proofErr w:type="spellStart"/>
      <w:proofErr w:type="gramStart"/>
      <w:r w:rsidRPr="009761E1">
        <w:rPr>
          <w:rFonts w:ascii="Times New Roman" w:hAnsi="Times New Roman" w:cs="Times New Roman"/>
          <w:sz w:val="28"/>
          <w:szCs w:val="28"/>
        </w:rPr>
        <w:t>eDNA</w:t>
      </w:r>
      <w:proofErr w:type="spellEnd"/>
      <w:proofErr w:type="gramEnd"/>
      <w:r w:rsidRPr="009761E1">
        <w:rPr>
          <w:rFonts w:ascii="Times New Roman" w:hAnsi="Times New Roman" w:cs="Times New Roman"/>
          <w:sz w:val="28"/>
          <w:szCs w:val="28"/>
        </w:rPr>
        <w:t xml:space="preserve"> Methods</w:t>
      </w:r>
    </w:p>
    <w:p w:rsidR="003C3065" w:rsidRPr="009761E1" w:rsidRDefault="003C3065" w:rsidP="003C3065">
      <w:pPr>
        <w:pStyle w:val="Heading2"/>
        <w:spacing w:line="480" w:lineRule="auto"/>
        <w:rPr>
          <w:rFonts w:ascii="Times New Roman" w:hAnsi="Times New Roman" w:cs="Times New Roman"/>
          <w:sz w:val="28"/>
          <w:szCs w:val="28"/>
        </w:rPr>
      </w:pPr>
      <w:r w:rsidRPr="009761E1">
        <w:rPr>
          <w:rFonts w:ascii="Times New Roman" w:hAnsi="Times New Roman" w:cs="Times New Roman"/>
          <w:sz w:val="28"/>
          <w:szCs w:val="28"/>
        </w:rPr>
        <w:t xml:space="preserve">Field Sampling and </w:t>
      </w:r>
      <w:proofErr w:type="spellStart"/>
      <w:proofErr w:type="gramStart"/>
      <w:r w:rsidRPr="009761E1">
        <w:rPr>
          <w:rFonts w:ascii="Times New Roman" w:hAnsi="Times New Roman" w:cs="Times New Roman"/>
          <w:sz w:val="28"/>
          <w:szCs w:val="28"/>
        </w:rPr>
        <w:t>eDNA</w:t>
      </w:r>
      <w:proofErr w:type="spellEnd"/>
      <w:proofErr w:type="gramEnd"/>
      <w:r w:rsidRPr="009761E1">
        <w:rPr>
          <w:rFonts w:ascii="Times New Roman" w:hAnsi="Times New Roman" w:cs="Times New Roman"/>
          <w:sz w:val="28"/>
          <w:szCs w:val="28"/>
        </w:rPr>
        <w:t xml:space="preserve"> Capture</w:t>
      </w:r>
    </w:p>
    <w:p w:rsidR="003C3065" w:rsidRPr="009761E1" w:rsidRDefault="003C3065" w:rsidP="003C3065">
      <w:pPr>
        <w:shd w:val="clear" w:color="auto" w:fill="FFFFFF" w:themeFill="background1"/>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Shoreline water samples were collected for </w:t>
      </w:r>
      <w:proofErr w:type="spellStart"/>
      <w:proofErr w:type="gramStart"/>
      <w:r w:rsidRPr="009761E1">
        <w:rPr>
          <w:rFonts w:ascii="Times New Roman" w:eastAsia="Calibri" w:hAnsi="Times New Roman" w:cs="Times New Roman"/>
          <w:sz w:val="28"/>
          <w:szCs w:val="28"/>
        </w:rPr>
        <w:t>eDNA</w:t>
      </w:r>
      <w:proofErr w:type="spellEnd"/>
      <w:proofErr w:type="gramEnd"/>
      <w:r w:rsidRPr="009761E1">
        <w:rPr>
          <w:rFonts w:ascii="Times New Roman" w:eastAsia="Calibri" w:hAnsi="Times New Roman" w:cs="Times New Roman"/>
          <w:sz w:val="28"/>
          <w:szCs w:val="28"/>
        </w:rPr>
        <w:t xml:space="preserve"> analysis from all 18 wetlands. Each individual sample consisted of 1.5 L of surface water collected from five points within a roughly 20 m zone, parallel to the shoreline. Samples were collected at 10 roughly equidistant points, determined by accessibility, around the perimeter of each wetland in sterile Whirl-Pak® bags, resulting in 180 samples in total. One 1.5 L bag of UV filtered and distilled water was carried into the field alongside samples for each wetland. Samples and blanks were placed in ice-filled insulated cool boxes lined with site-specific sterile plastic bag liners. Fresh gloves were used for each sample. Samples were transported to the field station for filtering. Lab surfaces were sterilised using 10% bleach solution before filtering. During filtering, sterile equipment was kept out of contact with contaminated surfaces and equipment and gloves replaced between samples. All samples and field blanks, were manually pumped through 0.45 </w:t>
      </w:r>
      <w:proofErr w:type="spellStart"/>
      <w:r w:rsidRPr="009761E1">
        <w:rPr>
          <w:rFonts w:ascii="Times New Roman" w:eastAsia="Calibri" w:hAnsi="Times New Roman" w:cs="Times New Roman"/>
          <w:sz w:val="28"/>
          <w:szCs w:val="28"/>
        </w:rPr>
        <w:t>μm</w:t>
      </w:r>
      <w:proofErr w:type="spellEnd"/>
      <w:r w:rsidRPr="009761E1">
        <w:rPr>
          <w:rFonts w:ascii="Times New Roman" w:eastAsia="Calibri" w:hAnsi="Times New Roman" w:cs="Times New Roman"/>
          <w:sz w:val="28"/>
          <w:szCs w:val="28"/>
        </w:rPr>
        <w:t xml:space="preserve"> PVDF </w:t>
      </w:r>
      <w:proofErr w:type="spellStart"/>
      <w:r w:rsidRPr="009761E1">
        <w:rPr>
          <w:rFonts w:ascii="Times New Roman" w:eastAsia="Calibri" w:hAnsi="Times New Roman" w:cs="Times New Roman"/>
          <w:sz w:val="28"/>
          <w:szCs w:val="28"/>
        </w:rPr>
        <w:t>Sterivex</w:t>
      </w:r>
      <w:proofErr w:type="spellEnd"/>
      <w:r w:rsidRPr="009761E1">
        <w:rPr>
          <w:rFonts w:ascii="Times New Roman" w:eastAsia="Calibri" w:hAnsi="Times New Roman" w:cs="Times New Roman"/>
          <w:sz w:val="28"/>
          <w:szCs w:val="28"/>
        </w:rPr>
        <w:t xml:space="preserve"> filter units (</w:t>
      </w:r>
      <w:proofErr w:type="spellStart"/>
      <w:r w:rsidRPr="009761E1">
        <w:rPr>
          <w:rFonts w:ascii="Times New Roman" w:eastAsia="Calibri" w:hAnsi="Times New Roman" w:cs="Times New Roman"/>
          <w:sz w:val="28"/>
          <w:szCs w:val="28"/>
        </w:rPr>
        <w:t>micrometer</w:t>
      </w:r>
      <w:proofErr w:type="spellEnd"/>
      <w:r w:rsidRPr="009761E1">
        <w:rPr>
          <w:rFonts w:ascii="Times New Roman" w:eastAsia="Calibri" w:hAnsi="Times New Roman" w:cs="Times New Roman"/>
          <w:sz w:val="28"/>
          <w:szCs w:val="28"/>
        </w:rPr>
        <w:t xml:space="preserve">), using sterile 60 ml syringes until the filter clogged, then the filtered volume was recorded. Volumes ranged from 70 to 750 ml between samples. Air was then forced through the filter to remove any excess liquid water from the capsule. Each </w:t>
      </w:r>
      <w:proofErr w:type="spellStart"/>
      <w:r w:rsidRPr="009761E1">
        <w:rPr>
          <w:rFonts w:ascii="Times New Roman" w:eastAsia="Calibri" w:hAnsi="Times New Roman" w:cs="Times New Roman"/>
          <w:sz w:val="28"/>
          <w:szCs w:val="28"/>
        </w:rPr>
        <w:t>Sterivex</w:t>
      </w:r>
      <w:proofErr w:type="spellEnd"/>
      <w:r w:rsidRPr="009761E1">
        <w:rPr>
          <w:rFonts w:ascii="Times New Roman" w:eastAsia="Calibri" w:hAnsi="Times New Roman" w:cs="Times New Roman"/>
          <w:sz w:val="28"/>
          <w:szCs w:val="28"/>
        </w:rPr>
        <w:t xml:space="preserve"> filter was then filled with 1 ml of pre-aliquoted </w:t>
      </w:r>
      <w:proofErr w:type="spellStart"/>
      <w:r w:rsidRPr="009761E1">
        <w:rPr>
          <w:rFonts w:ascii="Times New Roman" w:eastAsia="Calibri" w:hAnsi="Times New Roman" w:cs="Times New Roman"/>
          <w:sz w:val="28"/>
          <w:szCs w:val="28"/>
        </w:rPr>
        <w:t>Longmires</w:t>
      </w:r>
      <w:proofErr w:type="spellEnd"/>
      <w:r w:rsidRPr="009761E1">
        <w:rPr>
          <w:rFonts w:ascii="Times New Roman" w:eastAsia="Calibri" w:hAnsi="Times New Roman" w:cs="Times New Roman"/>
          <w:sz w:val="28"/>
          <w:szCs w:val="28"/>
        </w:rPr>
        <w:t xml:space="preserve"> buffer solution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{"citationID":"Xpgh88o1","properties":{"formattedCitation":"(Longmire et al. 1997)","plainCitation":"(Longmire et al. 1997)","noteIndex":0},"citationItems":[{"id":3906,"uris":["http://zotero.org/users/9749297/items/2PUCRGXV"],"itemData":{"id":3906,"type":"article-journal","ISSN":"0149-175X","issue":"1997","language":"en","source":"agris.fao.org","title":"Use of \"Lysis Buffer\" in DNA isolation and its implication for museum collections","URL":"https://agris.fao.org/search/en/providers/122376/records/647472d3bf943c8c7982c5fb","volume":"163","author":[{"family":"Longmire","given":"Jonathan L."},{"family":"Maltbie","given":"Mary"},{"family":"Baker","given":"Robert J."}],"accessed":{"date-parts":[["2024",11,1]]},"issued":{"date-parts":[["1997"]]}}}],"schema":"https://github.com/citation-style-language/schema/raw/master/csl-citation.json"}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(Longmire et al. 1997)</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before sealing with a screw cap and </w:t>
      </w:r>
      <w:proofErr w:type="spellStart"/>
      <w:r w:rsidRPr="009761E1">
        <w:rPr>
          <w:rFonts w:ascii="Times New Roman" w:eastAsia="Calibri" w:hAnsi="Times New Roman" w:cs="Times New Roman"/>
          <w:sz w:val="28"/>
          <w:szCs w:val="28"/>
        </w:rPr>
        <w:t>parafilm</w:t>
      </w:r>
      <w:proofErr w:type="spellEnd"/>
      <w:r w:rsidRPr="009761E1">
        <w:rPr>
          <w:rFonts w:ascii="Times New Roman" w:eastAsia="Calibri" w:hAnsi="Times New Roman" w:cs="Times New Roman"/>
          <w:sz w:val="28"/>
          <w:szCs w:val="28"/>
        </w:rPr>
        <w:t xml:space="preserve">. </w:t>
      </w:r>
      <w:r w:rsidRPr="009761E1">
        <w:rPr>
          <w:rFonts w:ascii="Times New Roman" w:eastAsia="Calibri" w:hAnsi="Times New Roman" w:cs="Times New Roman"/>
          <w:sz w:val="28"/>
          <w:szCs w:val="28"/>
        </w:rPr>
        <w:lastRenderedPageBreak/>
        <w:t xml:space="preserve">Filter units were stored at room temperature at </w:t>
      </w:r>
      <w:proofErr w:type="spellStart"/>
      <w:r w:rsidRPr="009761E1">
        <w:rPr>
          <w:rFonts w:ascii="Times New Roman" w:eastAsia="Calibri" w:hAnsi="Times New Roman" w:cs="Times New Roman"/>
          <w:sz w:val="28"/>
          <w:szCs w:val="28"/>
        </w:rPr>
        <w:t>Lammi</w:t>
      </w:r>
      <w:proofErr w:type="spellEnd"/>
      <w:r w:rsidRPr="009761E1">
        <w:rPr>
          <w:rFonts w:ascii="Times New Roman" w:eastAsia="Calibri" w:hAnsi="Times New Roman" w:cs="Times New Roman"/>
          <w:sz w:val="28"/>
          <w:szCs w:val="28"/>
        </w:rPr>
        <w:t xml:space="preserve"> and -20</w:t>
      </w:r>
      <w:r w:rsidRPr="009761E1">
        <w:rPr>
          <w:rFonts w:ascii="Times New Roman" w:eastAsia="Calibri" w:hAnsi="Times New Roman" w:cs="Times New Roman"/>
          <w:sz w:val="28"/>
          <w:szCs w:val="28"/>
          <w:vertAlign w:val="superscript"/>
        </w:rPr>
        <w:t>o</w:t>
      </w:r>
      <w:r w:rsidRPr="009761E1">
        <w:rPr>
          <w:rFonts w:ascii="Times New Roman" w:eastAsia="Calibri" w:hAnsi="Times New Roman" w:cs="Times New Roman"/>
          <w:sz w:val="28"/>
          <w:szCs w:val="28"/>
        </w:rPr>
        <w:t xml:space="preserve">C on arrival in the UK. </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pStyle w:val="Heading2"/>
        <w:spacing w:line="480" w:lineRule="auto"/>
        <w:rPr>
          <w:rFonts w:ascii="Times New Roman" w:hAnsi="Times New Roman" w:cs="Times New Roman"/>
          <w:sz w:val="28"/>
          <w:szCs w:val="28"/>
        </w:rPr>
      </w:pPr>
      <w:r w:rsidRPr="009761E1">
        <w:rPr>
          <w:rFonts w:ascii="Times New Roman" w:hAnsi="Times New Roman" w:cs="Times New Roman"/>
          <w:sz w:val="28"/>
          <w:szCs w:val="28"/>
        </w:rPr>
        <w:t>DNA Extraction, Library Preparation and Sequencing</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DNA was extracted from </w:t>
      </w:r>
      <w:proofErr w:type="spellStart"/>
      <w:r w:rsidRPr="009761E1">
        <w:rPr>
          <w:rFonts w:ascii="Times New Roman" w:eastAsia="Calibri" w:hAnsi="Times New Roman" w:cs="Times New Roman"/>
          <w:sz w:val="28"/>
          <w:szCs w:val="28"/>
        </w:rPr>
        <w:t>Sterivex</w:t>
      </w:r>
      <w:proofErr w:type="spellEnd"/>
      <w:r w:rsidRPr="009761E1">
        <w:rPr>
          <w:rFonts w:ascii="Times New Roman" w:eastAsia="Calibri" w:hAnsi="Times New Roman" w:cs="Times New Roman"/>
          <w:sz w:val="28"/>
          <w:szCs w:val="28"/>
        </w:rPr>
        <w:t xml:space="preserve"> filters using a modified version of the Modular Universal DNA (</w:t>
      </w:r>
      <w:proofErr w:type="spellStart"/>
      <w:r w:rsidRPr="009761E1">
        <w:rPr>
          <w:rFonts w:ascii="Times New Roman" w:eastAsia="Calibri" w:hAnsi="Times New Roman" w:cs="Times New Roman"/>
          <w:sz w:val="28"/>
          <w:szCs w:val="28"/>
        </w:rPr>
        <w:t>MuDNA</w:t>
      </w:r>
      <w:proofErr w:type="spellEnd"/>
      <w:r w:rsidRPr="009761E1">
        <w:rPr>
          <w:rFonts w:ascii="Times New Roman" w:eastAsia="Calibri" w:hAnsi="Times New Roman" w:cs="Times New Roman"/>
          <w:sz w:val="28"/>
          <w:szCs w:val="28"/>
        </w:rPr>
        <w:t xml:space="preserve">) extraction protocol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{"citationID":"rl2jxNtM","properties":{"formattedCitation":"(Sellers et al. 2018)","plainCitation":"(Sellers et al. 2018)","noteIndex":0},"citationItems":[{"id":3899,"uris":["http://zotero.org/users/9749297/items/3MB7TCHP"],"itemData":{"id":3899,"type":"article-journal","abstract":"Efficient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(Sellers et al.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in a dedicated </w:t>
      </w:r>
      <w:proofErr w:type="spellStart"/>
      <w:r w:rsidRPr="009761E1">
        <w:rPr>
          <w:rFonts w:ascii="Times New Roman" w:eastAsia="Calibri" w:hAnsi="Times New Roman" w:cs="Times New Roman"/>
          <w:sz w:val="28"/>
          <w:szCs w:val="28"/>
        </w:rPr>
        <w:t>eDNA</w:t>
      </w:r>
      <w:proofErr w:type="spellEnd"/>
      <w:r w:rsidRPr="009761E1">
        <w:rPr>
          <w:rFonts w:ascii="Times New Roman" w:eastAsia="Calibri" w:hAnsi="Times New Roman" w:cs="Times New Roman"/>
          <w:sz w:val="28"/>
          <w:szCs w:val="28"/>
        </w:rPr>
        <w:t xml:space="preserve"> lab at the University of Hull. The Longmire’s solution was pushed from the filter into a 2 ml </w:t>
      </w:r>
      <w:proofErr w:type="spellStart"/>
      <w:r w:rsidRPr="009761E1">
        <w:rPr>
          <w:rFonts w:ascii="Times New Roman" w:eastAsia="Calibri" w:hAnsi="Times New Roman" w:cs="Times New Roman"/>
          <w:sz w:val="28"/>
          <w:szCs w:val="28"/>
        </w:rPr>
        <w:t>eppendorf</w:t>
      </w:r>
      <w:proofErr w:type="spellEnd"/>
      <w:r w:rsidRPr="009761E1">
        <w:rPr>
          <w:rFonts w:ascii="Times New Roman" w:eastAsia="Calibri" w:hAnsi="Times New Roman" w:cs="Times New Roman"/>
          <w:sz w:val="28"/>
          <w:szCs w:val="28"/>
        </w:rPr>
        <w:t xml:space="preserve"> tube and centrifuged at 6000 g for 30 minutes. Supernatant was discarded and the pellet </w:t>
      </w:r>
      <w:proofErr w:type="spellStart"/>
      <w:r w:rsidRPr="009761E1">
        <w:rPr>
          <w:rFonts w:ascii="Times New Roman" w:eastAsia="Calibri" w:hAnsi="Times New Roman" w:cs="Times New Roman"/>
          <w:sz w:val="28"/>
          <w:szCs w:val="28"/>
        </w:rPr>
        <w:t>resuspended</w:t>
      </w:r>
      <w:proofErr w:type="spellEnd"/>
      <w:r w:rsidRPr="009761E1">
        <w:rPr>
          <w:rFonts w:ascii="Times New Roman" w:eastAsia="Calibri" w:hAnsi="Times New Roman" w:cs="Times New Roman"/>
          <w:sz w:val="28"/>
          <w:szCs w:val="28"/>
        </w:rPr>
        <w:t xml:space="preserve"> in 60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Lysis Solution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{"citationID":"BSWzVx0B","properties":{"formattedCitation":"(Sellers et al. 2018)","plainCitation":"(Sellers et al. 2018)","noteIndex":0},"citationItems":[{"id":3899,"uris":["http://zotero.org/users/9749297/items/3MB7TCHP"],"itemData":{"id":3899,"type":"article-journal","abstract":"Efficient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(Sellers et al.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by </w:t>
      </w:r>
      <w:proofErr w:type="spellStart"/>
      <w:r w:rsidRPr="009761E1">
        <w:rPr>
          <w:rFonts w:ascii="Times New Roman" w:eastAsia="Calibri" w:hAnsi="Times New Roman" w:cs="Times New Roman"/>
          <w:sz w:val="28"/>
          <w:szCs w:val="28"/>
        </w:rPr>
        <w:t>vortexing</w:t>
      </w:r>
      <w:proofErr w:type="spellEnd"/>
      <w:r w:rsidRPr="009761E1">
        <w:rPr>
          <w:rFonts w:ascii="Times New Roman" w:eastAsia="Calibri" w:hAnsi="Times New Roman" w:cs="Times New Roman"/>
          <w:sz w:val="28"/>
          <w:szCs w:val="28"/>
        </w:rPr>
        <w:t xml:space="preserve">. To remove the remaining DNA from the filter, a mixture of 660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Lysis Solution, 180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6% SDS and 60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10 mg/ml Proteinase K was added, and placed in a rotating incubator overnight at 55</w:t>
      </w:r>
      <w:r w:rsidRPr="009761E1">
        <w:rPr>
          <w:rFonts w:ascii="Times New Roman" w:eastAsia="Calibri" w:hAnsi="Times New Roman" w:cs="Times New Roman"/>
          <w:sz w:val="28"/>
          <w:szCs w:val="28"/>
          <w:vertAlign w:val="superscript"/>
        </w:rPr>
        <w:t>o</w:t>
      </w:r>
      <w:r w:rsidRPr="009761E1">
        <w:rPr>
          <w:rFonts w:ascii="Times New Roman" w:eastAsia="Calibri" w:hAnsi="Times New Roman" w:cs="Times New Roman"/>
          <w:sz w:val="28"/>
          <w:szCs w:val="28"/>
        </w:rPr>
        <w:t xml:space="preserve">C. The Inhibitor Removal Step of the </w:t>
      </w:r>
      <w:proofErr w:type="spellStart"/>
      <w:r w:rsidRPr="009761E1">
        <w:rPr>
          <w:rFonts w:ascii="Times New Roman" w:eastAsia="Calibri" w:hAnsi="Times New Roman" w:cs="Times New Roman"/>
          <w:sz w:val="28"/>
          <w:szCs w:val="28"/>
        </w:rPr>
        <w:t>MuDNA</w:t>
      </w:r>
      <w:proofErr w:type="spellEnd"/>
      <w:r w:rsidRPr="009761E1">
        <w:rPr>
          <w:rFonts w:ascii="Times New Roman" w:eastAsia="Calibri" w:hAnsi="Times New Roman" w:cs="Times New Roman"/>
          <w:sz w:val="28"/>
          <w:szCs w:val="28"/>
        </w:rPr>
        <w:t xml:space="preserve">: Water protocol was then followed. The lysis mixture was pulled from the filter unit and 300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w:t>
      </w:r>
      <w:proofErr w:type="spellStart"/>
      <w:r w:rsidRPr="009761E1">
        <w:rPr>
          <w:rFonts w:ascii="Times New Roman" w:eastAsia="Calibri" w:hAnsi="Times New Roman" w:cs="Times New Roman"/>
          <w:sz w:val="28"/>
          <w:szCs w:val="28"/>
        </w:rPr>
        <w:t>Flocculant</w:t>
      </w:r>
      <w:proofErr w:type="spellEnd"/>
      <w:r w:rsidRPr="009761E1">
        <w:rPr>
          <w:rFonts w:ascii="Times New Roman" w:eastAsia="Calibri" w:hAnsi="Times New Roman" w:cs="Times New Roman"/>
          <w:sz w:val="28"/>
          <w:szCs w:val="28"/>
        </w:rPr>
        <w:t xml:space="preserve"> Solution (0.3x volume,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{"citationID":"0I1LES9h","properties":{"formattedCitation":"(Sellers {\\i{}et al.}, 2018)","plainCitation":"(Sellers et al., 2018)","dontUpdate":true,"noteIndex":0},"citationItems":[{"id":3899,"uris":["http://zotero.org/users/9749297/items/3MB7TCHP"],"itemData":{"id":3899,"type":"article-journal","abstract":"Efficient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 xml:space="preserve">Sellers </w:t>
      </w:r>
      <w:r w:rsidRPr="009761E1">
        <w:rPr>
          <w:rFonts w:ascii="Times New Roman" w:hAnsi="Times New Roman" w:cs="Times New Roman"/>
          <w:i/>
          <w:iCs/>
          <w:sz w:val="28"/>
          <w:szCs w:val="28"/>
        </w:rPr>
        <w:t>et al.</w:t>
      </w:r>
      <w:r w:rsidRPr="009761E1">
        <w:rPr>
          <w:rFonts w:ascii="Times New Roman" w:hAnsi="Times New Roman" w:cs="Times New Roman"/>
          <w:sz w:val="28"/>
          <w:szCs w:val="28"/>
        </w:rPr>
        <w:t xml:space="preserve">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added before </w:t>
      </w:r>
      <w:proofErr w:type="spellStart"/>
      <w:r w:rsidRPr="009761E1">
        <w:rPr>
          <w:rFonts w:ascii="Times New Roman" w:eastAsia="Calibri" w:hAnsi="Times New Roman" w:cs="Times New Roman"/>
          <w:sz w:val="28"/>
          <w:szCs w:val="28"/>
        </w:rPr>
        <w:t>vortexing</w:t>
      </w:r>
      <w:proofErr w:type="spellEnd"/>
      <w:r w:rsidRPr="009761E1">
        <w:rPr>
          <w:rFonts w:ascii="Times New Roman" w:eastAsia="Calibri" w:hAnsi="Times New Roman" w:cs="Times New Roman"/>
          <w:sz w:val="28"/>
          <w:szCs w:val="28"/>
        </w:rPr>
        <w:t xml:space="preserve"> and incubating on ice for 10 minutes, centrifuging at 10,000 g for 2 minutes and transferring the supernatant to a new 2 ml tube. The Silica Binding and Wash steps of the </w:t>
      </w:r>
      <w:proofErr w:type="spellStart"/>
      <w:r w:rsidRPr="009761E1">
        <w:rPr>
          <w:rFonts w:ascii="Times New Roman" w:eastAsia="Calibri" w:hAnsi="Times New Roman" w:cs="Times New Roman"/>
          <w:sz w:val="28"/>
          <w:szCs w:val="28"/>
        </w:rPr>
        <w:t>MuDNA</w:t>
      </w:r>
      <w:proofErr w:type="spellEnd"/>
      <w:r w:rsidRPr="009761E1">
        <w:rPr>
          <w:rFonts w:ascii="Times New Roman" w:eastAsia="Calibri" w:hAnsi="Times New Roman" w:cs="Times New Roman"/>
          <w:sz w:val="28"/>
          <w:szCs w:val="28"/>
        </w:rPr>
        <w:t xml:space="preserve"> protocol: Water were followed as in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{"citationID":"LTUuc23v","properties":{"formattedCitation":"(Sellers {\\i{}et al.}, 2018)","plainCitation":"(Sellers et al., 2018)","dontUpdate":true,"noteIndex":0},"citationItems":[{"id":3899,"uris":["http://zotero.org/users/9749297/items/3MB7TCHP"],"itemData":{"id":3899,"type":"article-journal","abstract":"Efficient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 xml:space="preserve">Sellers </w:t>
      </w:r>
      <w:r w:rsidRPr="009761E1">
        <w:rPr>
          <w:rFonts w:ascii="Times New Roman" w:hAnsi="Times New Roman" w:cs="Times New Roman"/>
          <w:i/>
          <w:iCs/>
          <w:sz w:val="28"/>
          <w:szCs w:val="28"/>
        </w:rPr>
        <w:t>et al.</w:t>
      </w:r>
      <w:r w:rsidRPr="009761E1">
        <w:rPr>
          <w:rFonts w:ascii="Times New Roman" w:hAnsi="Times New Roman" w:cs="Times New Roman"/>
          <w:sz w:val="28"/>
          <w:szCs w:val="28"/>
        </w:rPr>
        <w:t xml:space="preserve">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but the Wash step was repeated once more. DNA was eluted in 200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Elution Buffer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{"citationID":"5pnt49oM","properties":{"formattedCitation":"(Sellers et al. 2018)","plainCitation":"(Sellers et al. 2018)","noteIndex":0},"citationItems":[{"id":3899,"uris":["http://zotero.org/users/9749297/items/3MB7TCHP"],"itemData":{"id":3899,"type":"article-journal","abstract":"Efficient DNA extraction is fundamental to molecular studies. However, commercial kits are expensive when a large number of samples need to be processed. Here we present a simple, modular and adaptable DNA extraction ‘toolkit’ for the isolation of high purity DNA from multiple sample types (modular universal DNA extraction method or Mu-DNA). We compare the performance of our method to that of widely used commercial kits across a range of soil, stool, tissue and water samples. Mu-DNA produced DNA extractions of similar or higher yield and purity to that of the commercial kits. As a proof of principle, we carried out replicate fish metabarcoding of aquatic eDNA extractions, which confirmed that the species detection efficiency of our method is similar to that of the most frequently used commercial kit. Our results demonstrate the reliability of Mu-DNA along with its modular adaptability to challenging sample types and sample collection methods. Mu-DNA can substantially reduce the costs and increase the scope of experiments in molecular studies.","container-title":"Metabarcoding and Metagenomics","DOI":"10.3897/mbmg.2.24556","ISSN":"2534-9708","language":"en","license":"2018 Graham S. Sellers, Cristina Di Muri, Africa Gómez, Bernd Hänfling","note":"publisher: Pensoft Publishers","page":"e24556","source":"mbmg.pensoft.net","title":"Mu-DNA: a modular universal DNA extraction method adaptable for a wide range of sample types","title-short":"Mu-DNA","volume":"2","author":[{"family":"Sellers","given":"Graham S."},{"family":"Muri","given":"Cristina Di"},{"family":"Gómez","given":"Africa"},{"family":"Hänfling","given":"Bernd"}],"issued":{"date-parts":[["2018",7,5]]}}}],"schema":"https://github.com/citation-style-language/schema/raw/master/csl-citation.json"}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(Sellers et al.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Extraction blanks of sterile Longmire’s buffer solution in an unused </w:t>
      </w:r>
      <w:proofErr w:type="spellStart"/>
      <w:r w:rsidRPr="009761E1">
        <w:rPr>
          <w:rFonts w:ascii="Times New Roman" w:eastAsia="Calibri" w:hAnsi="Times New Roman" w:cs="Times New Roman"/>
          <w:sz w:val="28"/>
          <w:szCs w:val="28"/>
        </w:rPr>
        <w:t>Sterivex</w:t>
      </w:r>
      <w:proofErr w:type="spellEnd"/>
      <w:r w:rsidRPr="009761E1">
        <w:rPr>
          <w:rFonts w:ascii="Times New Roman" w:eastAsia="Calibri" w:hAnsi="Times New Roman" w:cs="Times New Roman"/>
          <w:sz w:val="28"/>
          <w:szCs w:val="28"/>
        </w:rPr>
        <w:t xml:space="preserve"> filter were processed under the same </w:t>
      </w:r>
      <w:r w:rsidRPr="009761E1">
        <w:rPr>
          <w:rFonts w:ascii="Times New Roman" w:eastAsia="Calibri" w:hAnsi="Times New Roman" w:cs="Times New Roman"/>
          <w:sz w:val="28"/>
          <w:szCs w:val="28"/>
        </w:rPr>
        <w:lastRenderedPageBreak/>
        <w:t xml:space="preserve">conditions to detect any contamination during the extraction stage. </w:t>
      </w:r>
      <w:proofErr w:type="spellStart"/>
      <w:proofErr w:type="gramStart"/>
      <w:r w:rsidRPr="009761E1">
        <w:rPr>
          <w:rFonts w:ascii="Times New Roman" w:eastAsia="Calibri" w:hAnsi="Times New Roman" w:cs="Times New Roman"/>
          <w:sz w:val="28"/>
          <w:szCs w:val="28"/>
        </w:rPr>
        <w:t>eDNA</w:t>
      </w:r>
      <w:proofErr w:type="spellEnd"/>
      <w:proofErr w:type="gramEnd"/>
      <w:r w:rsidRPr="009761E1">
        <w:rPr>
          <w:rFonts w:ascii="Times New Roman" w:eastAsia="Calibri" w:hAnsi="Times New Roman" w:cs="Times New Roman"/>
          <w:sz w:val="28"/>
          <w:szCs w:val="28"/>
        </w:rPr>
        <w:t xml:space="preserve"> samples were stored at -20</w:t>
      </w:r>
      <w:r w:rsidRPr="009761E1">
        <w:rPr>
          <w:rFonts w:ascii="Times New Roman" w:eastAsia="Calibri" w:hAnsi="Times New Roman" w:cs="Times New Roman"/>
          <w:sz w:val="28"/>
          <w:szCs w:val="28"/>
          <w:vertAlign w:val="superscript"/>
        </w:rPr>
        <w:t>o</w:t>
      </w:r>
      <w:r w:rsidRPr="009761E1">
        <w:rPr>
          <w:rFonts w:ascii="Times New Roman" w:eastAsia="Calibri" w:hAnsi="Times New Roman" w:cs="Times New Roman"/>
          <w:sz w:val="28"/>
          <w:szCs w:val="28"/>
        </w:rPr>
        <w:t xml:space="preserve">C. </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DNA extractions were PCR-amplified in two-step protocols. Vertebrate-specific primers that amplify a 106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fragment of the mitochondrial 12S ribosomal RNA region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{"citationID":"n7nGtGos","properties":{"formattedCitation":"(Riaz et al. 2011; Kelly et al. 2014)","plainCitation":"(Riaz et al. 2011; Kelly et al. 2014)","noteIndex":0},"citationItems":[{"id":3936,"uris":["http://zotero.org/users/9749297/items/2YKIXRZB"],"itemData":{"id":3936,"type":"article-journal","abstract":"Using non-conventional markers, DNA metabarcoding allows biodiversity assessment from complex substrates. In this article, we present ecoPrimers, a software for identifying new barcode markers and their associated PCR primers. ecoPrimers scans whole genomes to find such markers without a priori knowledge. ecoPrimers optimizes two quality indices measuring taxonomical range and discrimination to select the most efficient markers from a set of reference sequences, according to specific experimental constraints such as marker length or specifically targeted taxa. The key step of the algorithm is the identification of conserved regions among reference sequences for anchoring primers. We propose an efficient algorithm based on data mining, that allows the analysis of huge sets of sequences. We evaluate the efficiency of ecoPrimers by running it on three different sequence sets: mitochondrial, chloroplast and bacterial genomes. Identified barcode markers correspond either to barcode regions already in use for plants or animals, or to new potential barcodes. Results from empirical experiments carried out on a promising new barcode for analyzing vertebrate diversity fully agree with expectations based on bioinformatics analysis. These tests demonstrate the efficiency of ecoPrimers for inferring new barcodes fitting with diverse experimental contexts. ecoPrimers is available as an open source project at: http://www.grenoble.prabi.fr/trac/ecoPrimers.","container-title":"Nucleic Acids Research","DOI":"10.1093/nar/gkr732","ISSN":"0305-1048","issue":"21","journalAbbreviation":"Nucleic Acids Research","page":"e145","source":"Silverchair","title":"ecoPrimers: inference of new DNA barcode markers from whole genome sequence analysis","title-short":"ecoPrimers","volume":"39","author":[{"family":"Riaz","given":"Tiayyba"},{"family":"Shehzad","given":"Wasim"},{"family":"Viari","given":"Alain"},{"family":"Pompanon","given":"François"},{"family":"Taberlet","given":"Pierre"},{"family":"Coissac","given":"Eric"}],"issued":{"date-parts":[["2011",11,1]]}}},{"id":1967,"uris":["http://zotero.org/users/9749297/items/BICNGHJD"],"itemData":{"id":1967,"type":"article-journal","container-title":"Science","DOI":"10.1126/science.1251156","ISSN":"10959203","issue":"6191","note":"PMID: 24970068\nISBN: 1095-9203 (Electronic) 0036-8075 (Linking)","page":"1455-1456","title":"Harnessing DNA to improve environmental management","volume":"344","author":[{"family":"Kelly","given":"Ryan P."},{"family":"Port","given":"Jesse A."},{"family":"Yamahara","given":"Kevan M."},{"family":"Martone","given":"Rebecca G."},{"family":"Lowell","given":"Natalie"},{"family":"Thomsen","given":"Philip Francis"},{"family":"Mach","given":"Megan E."},{"family":"Bennett","given":"Meredith"},{"family":"Prahler","given":"Erin"},{"family":"Caldwell","given":"Margaret R."},{"family":"Crowder","given":"Larry B."}],"issued":{"date-parts":[["2014"]]}}}],"schema":"https://github.com/citation-style-language/schema/raw/master/csl-citation.json"}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w:t>
      </w:r>
      <w:proofErr w:type="spellStart"/>
      <w:r w:rsidRPr="009761E1">
        <w:rPr>
          <w:rFonts w:ascii="Times New Roman" w:hAnsi="Times New Roman" w:cs="Times New Roman"/>
          <w:sz w:val="28"/>
          <w:szCs w:val="28"/>
        </w:rPr>
        <w:t>Riaz</w:t>
      </w:r>
      <w:proofErr w:type="spellEnd"/>
      <w:r w:rsidRPr="009761E1">
        <w:rPr>
          <w:rFonts w:ascii="Times New Roman" w:hAnsi="Times New Roman" w:cs="Times New Roman"/>
          <w:sz w:val="28"/>
          <w:szCs w:val="28"/>
        </w:rPr>
        <w:t xml:space="preserve"> et al. 2011; Kelly et al. 2014)</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and primers that target </w:t>
      </w:r>
      <w:r w:rsidRPr="009761E1">
        <w:rPr>
          <w:rFonts w:ascii="Times New Roman" w:eastAsiaTheme="minorEastAsia" w:hAnsi="Times New Roman" w:cs="Times New Roman"/>
          <w:sz w:val="28"/>
          <w:szCs w:val="28"/>
        </w:rPr>
        <w:t xml:space="preserve">a 141bp region of the COI in benthic invertebrates (fwhF2/EPTDr2n) </w:t>
      </w:r>
      <w:r w:rsidRPr="009761E1">
        <w:rPr>
          <w:rFonts w:ascii="Times New Roman" w:eastAsiaTheme="minorEastAsia" w:hAnsi="Times New Roman" w:cs="Times New Roman"/>
          <w:sz w:val="28"/>
          <w:szCs w:val="28"/>
        </w:rPr>
        <w:fldChar w:fldCharType="begin"/>
      </w:r>
      <w:r w:rsidRPr="009761E1">
        <w:rPr>
          <w:rFonts w:ascii="Times New Roman" w:eastAsiaTheme="minorEastAsia" w:hAnsi="Times New Roman" w:cs="Times New Roman"/>
          <w:sz w:val="28"/>
          <w:szCs w:val="28"/>
        </w:rPr>
        <w:instrText xml:space="preserve"> ADDIN ZOTERO_ITEM CSL_CITATION {"citationID":"R59U2Qcj","properties":{"formattedCitation":"(Leese et al. 2021)","plainCitation":"(Leese et al. 2021)","noteIndex":0},"citationItems":[{"id":4007,"uris":["http://zotero.org/users/9749297/items/EIN79PWK"],"itemData":{"id":4007,"type":"article-journal","abstract":"DNA metabarcoding of freshwater communities typically relies on PCR amplification of a fragment of the mitochondrial cytochrome c oxidase I (COI) gene with degenerate primers. The advantage of COI is its taxonomic resolution and the availability of an extensive reference database. However, when universal primers are used on environmental DNA (eDNA) isolated from water, benthic invertebrate read and OTU numbers are typically “watered down,” that is, under represented, compared to whole specimen “bulk samples” due to greater co-amplification of abundant nontarget taxa (e.g., fungi, algae, and bacteria). Because benthic stream invertebrate taxa are of prime importance for regulatory biomonitoring, more effective ways to capture their diversity via eDNA isolated from water are important. In this study, we aimed to improve benthic invertebrate assessment from eDNA by minimizing nontarget amplification. Therefore, we generated eDNA data using universal primers BF2/BR2 on samples collected throughout 15 months from a German Long-Term Ecological Research site (Rhine-Main-Observatory, Kinzig River) to identify most abundant nontarget taxa. Based on these data, we designed a new reverse primer (EPTDr2n) with 3’-specificity toward benthic invertebrate taxa and validated its specificity in silico together with universal forward primer fwhF2 using available data from GenBank and BOLD. We then performed in situ tests using 20 Kinzig River eDNA samples. We found that the percentage of target reads was much higher for the new primer combination compared to two universal benthic invertebrate primer pairs, BF2/BR2 and fwhF2/fwhR2n (99.6% versus 25.89% and 39.04%, respectively). Likewise, the number of detected benthic invertebrate species was substantially higher (305 versus 113 and 185) and exceeded the number of 153 species identified by expert taxonomists at nearby sites across two decades of sampling. While few taxa, such as flatworms, were not detected, we show that the optimized primer avoids the nontarget amplification bias and thus significantly improves benthic invertebrate detection from eDNA.","container-title":"Environmental DNA","DOI":"10.1002/edn3.177","ISSN":"2637-4943","issue":"1","language":"en","license":"© 2020 The Authors. Environmental DNA published by John Wiley &amp; Sons Ltd","note":"_eprint: https://onlinelibrary.wiley.com/doi/pdf/10.1002/edn3.177","page":"261-276","source":"Wiley Online Library","title":"Improved freshwater macroinvertebrate detection from environmental DNA through minimized nontarget amplification","volume":"3","author":[{"family":"Leese","given":"Florian"},{"family":"Sander","given":"Mandy"},{"family":"Buchner","given":"Dominik"},{"family":"Elbrecht","given":"Vasco"},{"family":"Haase","given":"Peter"},{"family":"Zizka","given":"Vera M. A."}],"issued":{"date-parts":[["2021"]]}}}],"schema":"https://github.com/citation-style-language/schema/raw/master/csl-citation.json"} </w:instrText>
      </w:r>
      <w:r w:rsidRPr="009761E1">
        <w:rPr>
          <w:rFonts w:ascii="Times New Roman" w:eastAsiaTheme="minorEastAsia" w:hAnsi="Times New Roman" w:cs="Times New Roman"/>
          <w:sz w:val="28"/>
          <w:szCs w:val="28"/>
        </w:rPr>
        <w:fldChar w:fldCharType="separate"/>
      </w:r>
      <w:r w:rsidRPr="009761E1">
        <w:rPr>
          <w:rFonts w:ascii="Times New Roman" w:eastAsiaTheme="minorEastAsia" w:hAnsi="Times New Roman" w:cs="Times New Roman"/>
          <w:noProof/>
          <w:sz w:val="28"/>
          <w:szCs w:val="28"/>
        </w:rPr>
        <w:t>(Leese et al. 2021)</w:t>
      </w:r>
      <w:r w:rsidRPr="009761E1">
        <w:rPr>
          <w:rFonts w:ascii="Times New Roman" w:eastAsiaTheme="minorEastAsia" w:hAnsi="Times New Roman" w:cs="Times New Roman"/>
          <w:sz w:val="28"/>
          <w:szCs w:val="28"/>
        </w:rPr>
        <w:fldChar w:fldCharType="end"/>
      </w:r>
      <w:r w:rsidRPr="009761E1">
        <w:rPr>
          <w:rFonts w:ascii="Times New Roman" w:eastAsiaTheme="minorEastAsia" w:hAnsi="Times New Roman" w:cs="Times New Roman"/>
          <w:sz w:val="28"/>
          <w:szCs w:val="28"/>
        </w:rPr>
        <w:t xml:space="preserve"> </w:t>
      </w:r>
      <w:r w:rsidRPr="009761E1">
        <w:rPr>
          <w:rFonts w:ascii="Times New Roman" w:eastAsia="Calibri" w:hAnsi="Times New Roman" w:cs="Times New Roman"/>
          <w:sz w:val="28"/>
          <w:szCs w:val="28"/>
        </w:rPr>
        <w:t xml:space="preserve">were used. </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For vertebrates, eight nucleotide long Multiplex Identification (MID) Tags were included in both first and second round PCRs for unique sample identification following a nested tagging approach described in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{"citationID":"RNjCzcBa","properties":{"formattedCitation":"(Kitson et al. 2019)","plainCitation":"(Kitson et al. 2019)","noteIndex":0},"citationItems":[{"id":3934,"uris":["http://zotero.org/users/9749297/items/6U9WJLPV"],"itemData":{"id":3934,"type":"article-journal","abstract":"Determining the host–parasitoid interactions and parasitism rates for invasive species entering novel environments is an important first step in assessing potential routes for biocontrol and integrated pest management. Conventional insect rearing techniques followed by taxonomic identification are widely used to obtain such data, but this can be time-consuming and prone to biases. Here, we present a next-generation sequencing approach for use in ecological studies which allows for individual-level metadata tracking of large numbers of invertebrate samples through the use of hierarchically organised molecular identification tags. We demonstrate its utility using a sample data set examining both species identity and levels of parasitism in late larval stages of the oak processionary moth (Thaumetopoea processionea—Linn. 1758), an invasive species recently established in the United Kingdom. Overall, we find that there are two main species exploiting the late larval stages of oak processionary moth in the United Kingdom with the main parasitoid (Carcelia iliaca—Ratzeburg, 1840) parasitising 45.7% of caterpillars, while a rare secondary parasitoid (Compsilura concinnata—Meigen, 1824) was also detected in 0.4% of caterpillars. Using this approach on all life stages of the oak processionary moth may demonstrate additional parasitoid diversity. We discuss the wider potential of nested tagging DNA metabarcoding for constructing large, highly resolved species interaction networks.","container-title":"Molecular Ecology","DOI":"10.1111/mec.14518","ISSN":"1365-294X","issue":"2","language":"en","license":"© 2018 John Wiley &amp; Sons Ltd","note":"_eprint: https://onlinelibrary.wiley.com/doi/pdf/10.1111/mec.14518","page":"471-483","source":"Wiley Online Library","title":"Detecting host–parasitoid interactions in an invasive Lepidopteran using nested tagging DNA metabarcoding","volume":"28","author":[{"family":"Kitson","given":"James J. N."},{"family":"Hahn","given":"Christoph"},{"family":"Sands","given":"Richard J."},{"family":"Straw","given":"Nigel A."},{"family":"Evans","given":"Darren M."},{"family":"Lunt","given":"David H."}],"issued":{"date-parts":[["2019"]]}}}],"schema":"https://github.com/citation-style-language/schema/raw/master/csl-citation.json"}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w:t>
      </w:r>
      <w:proofErr w:type="spellStart"/>
      <w:r w:rsidRPr="009761E1">
        <w:rPr>
          <w:rFonts w:ascii="Times New Roman" w:hAnsi="Times New Roman" w:cs="Times New Roman"/>
          <w:sz w:val="28"/>
          <w:szCs w:val="28"/>
        </w:rPr>
        <w:t>Kitson</w:t>
      </w:r>
      <w:proofErr w:type="spellEnd"/>
      <w:r w:rsidRPr="009761E1">
        <w:rPr>
          <w:rFonts w:ascii="Times New Roman" w:hAnsi="Times New Roman" w:cs="Times New Roman"/>
          <w:sz w:val="28"/>
          <w:szCs w:val="28"/>
        </w:rPr>
        <w:t xml:space="preserve"> et al. 2019)</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Twenty-four unique MID tags were used for the forward and another 24 for the reverse primers. First round PCR primers also included heterogeneity spacers, sequencing primers and pre-adapters. Samples were processed in sub-libraries consisting of 24 samples including one field (filtration) blank, one extraction blank, one PCR negative and one positive control (DNA from the African cichlid, zebra </w:t>
      </w:r>
      <w:proofErr w:type="spellStart"/>
      <w:r w:rsidRPr="009761E1">
        <w:rPr>
          <w:rFonts w:ascii="Times New Roman" w:eastAsia="Calibri" w:hAnsi="Times New Roman" w:cs="Times New Roman"/>
          <w:sz w:val="28"/>
          <w:szCs w:val="28"/>
        </w:rPr>
        <w:t>mbuna</w:t>
      </w:r>
      <w:proofErr w:type="spellEnd"/>
      <w:r w:rsidRPr="009761E1">
        <w:rPr>
          <w:rFonts w:ascii="Times New Roman" w:eastAsia="Calibri" w:hAnsi="Times New Roman" w:cs="Times New Roman"/>
          <w:sz w:val="28"/>
          <w:szCs w:val="28"/>
        </w:rPr>
        <w:t xml:space="preserve">, </w:t>
      </w:r>
      <w:proofErr w:type="spellStart"/>
      <w:r w:rsidRPr="009761E1">
        <w:rPr>
          <w:rFonts w:ascii="Times New Roman" w:eastAsia="Calibri" w:hAnsi="Times New Roman" w:cs="Times New Roman"/>
          <w:i/>
          <w:iCs/>
          <w:sz w:val="28"/>
          <w:szCs w:val="28"/>
        </w:rPr>
        <w:t>Maylandia</w:t>
      </w:r>
      <w:proofErr w:type="spellEnd"/>
      <w:r w:rsidRPr="009761E1">
        <w:rPr>
          <w:rFonts w:ascii="Times New Roman" w:eastAsia="Calibri" w:hAnsi="Times New Roman" w:cs="Times New Roman"/>
          <w:i/>
          <w:iCs/>
          <w:sz w:val="28"/>
          <w:szCs w:val="28"/>
        </w:rPr>
        <w:t xml:space="preserve"> zebra</w:t>
      </w:r>
      <w:r w:rsidRPr="009761E1">
        <w:rPr>
          <w:rFonts w:ascii="Times New Roman" w:eastAsia="Calibri" w:hAnsi="Times New Roman" w:cs="Times New Roman"/>
          <w:sz w:val="28"/>
          <w:szCs w:val="28"/>
        </w:rPr>
        <w:t>, at 0.05 ng/</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First round PCRs were performed in triplicate, in final reaction volumes of 25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with 12.5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Q5® High-Fidelity 2x Master Mix (New England </w:t>
      </w:r>
      <w:proofErr w:type="spellStart"/>
      <w:r w:rsidRPr="009761E1">
        <w:rPr>
          <w:rFonts w:ascii="Times New Roman" w:eastAsia="Calibri" w:hAnsi="Times New Roman" w:cs="Times New Roman"/>
          <w:sz w:val="28"/>
          <w:szCs w:val="28"/>
        </w:rPr>
        <w:t>Biolabs</w:t>
      </w:r>
      <w:proofErr w:type="spellEnd"/>
      <w:r w:rsidRPr="009761E1">
        <w:rPr>
          <w:rFonts w:ascii="Times New Roman" w:eastAsia="Calibri" w:hAnsi="Times New Roman" w:cs="Times New Roman"/>
          <w:sz w:val="28"/>
          <w:szCs w:val="28"/>
        </w:rPr>
        <w:t xml:space="preserve">), 0.5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w:t>
      </w:r>
      <w:proofErr w:type="spellStart"/>
      <w:r w:rsidRPr="009761E1">
        <w:rPr>
          <w:rFonts w:ascii="Times New Roman" w:eastAsia="Calibri" w:hAnsi="Times New Roman" w:cs="Times New Roman"/>
          <w:sz w:val="28"/>
          <w:szCs w:val="28"/>
        </w:rPr>
        <w:t>Thermo</w:t>
      </w:r>
      <w:proofErr w:type="spellEnd"/>
      <w:r w:rsidRPr="009761E1">
        <w:rPr>
          <w:rFonts w:ascii="Times New Roman" w:eastAsia="Calibri" w:hAnsi="Times New Roman" w:cs="Times New Roman"/>
          <w:sz w:val="28"/>
          <w:szCs w:val="28"/>
        </w:rPr>
        <w:t xml:space="preserve"> Scientific Bovine Serum Albumin (Fisher Scientific UK Ltd.), 7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Molecular Grade Water (Fisher Scientific UK Ltd.), 1.5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each 10 </w:t>
      </w:r>
      <w:proofErr w:type="spellStart"/>
      <w:r w:rsidRPr="009761E1">
        <w:rPr>
          <w:rFonts w:ascii="Times New Roman" w:eastAsia="Calibri" w:hAnsi="Times New Roman" w:cs="Times New Roman"/>
          <w:sz w:val="28"/>
          <w:szCs w:val="28"/>
        </w:rPr>
        <w:t>μM</w:t>
      </w:r>
      <w:proofErr w:type="spellEnd"/>
      <w:r w:rsidRPr="009761E1">
        <w:rPr>
          <w:rFonts w:ascii="Times New Roman" w:eastAsia="Calibri" w:hAnsi="Times New Roman" w:cs="Times New Roman"/>
          <w:sz w:val="28"/>
          <w:szCs w:val="28"/>
        </w:rPr>
        <w:t xml:space="preserve"> tagged primer, and 2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template DNA. PCR were performed in a </w:t>
      </w:r>
      <w:proofErr w:type="spellStart"/>
      <w:r w:rsidRPr="009761E1">
        <w:rPr>
          <w:rFonts w:ascii="Times New Roman" w:eastAsia="Calibri" w:hAnsi="Times New Roman" w:cs="Times New Roman"/>
          <w:sz w:val="28"/>
          <w:szCs w:val="28"/>
        </w:rPr>
        <w:t>Veriti</w:t>
      </w:r>
      <w:proofErr w:type="spellEnd"/>
      <w:r w:rsidRPr="009761E1">
        <w:rPr>
          <w:rFonts w:ascii="Times New Roman" w:eastAsia="Calibri" w:hAnsi="Times New Roman" w:cs="Times New Roman"/>
          <w:sz w:val="28"/>
          <w:szCs w:val="28"/>
        </w:rPr>
        <w:t xml:space="preserve"> </w:t>
      </w:r>
      <w:r w:rsidRPr="009761E1">
        <w:rPr>
          <w:rFonts w:ascii="Times New Roman" w:eastAsia="Calibri" w:hAnsi="Times New Roman" w:cs="Times New Roman"/>
          <w:sz w:val="28"/>
          <w:szCs w:val="28"/>
        </w:rPr>
        <w:lastRenderedPageBreak/>
        <w:t xml:space="preserve">Thermocycler (Applied Biosystems) with the following profile: 98°C for 5 mins, 35 cycles of 98°C for 10 s, 58°C for 20 s and 72°C for 30 s, 72°C for 7 mins then held at 4°C. Triplicate PCR products were pooled, and 2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run on 2% agarose gels to check amplification. Sub-libraries were then pooled according to band strength (no/very faint band = 20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faint band = 15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bright band = 10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very bright band = 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on a gel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{"citationID":"bmYBVtzL","properties":{"formattedCitation":"(Alberdi et al. 2018)","plainCitation":"(Alberdi et al. 2018)","noteIndex":0},"citationItems":[{"id":3933,"uris":["http://zotero.org/users/9749297/items/P9CJ4GFF"],"itemData":{"id":3933,"type":"article-journal","abstract":"Metabarcoding of environmental samples has many challenges and limitations that require carefully considered laboratory and analysis workflows to ensure reliable results. We explore how decisions regarding study design, laboratory set-up, and bioinformatic processing affect the final results, and provide guidelines for reliable study of environmental samples. We evaluate the performance of four primer sets targeting COI and 16S regions characterizing arthropod diversity in bat faecal samples, and investigate how metabarcoding results are affected by parameters including: (1) number of PCR replicates per sample, (2) sequencing depth, (3) PCR replicate processing strategy (i.e. either additively, by combining the sequences obtained from the PCR replicates, or restrictively, by only retaining sequences that occur in multiple PCR replicates for each sample), (4) minimum copy number for sequences to be retained, (5) chimera removal, and (6) similarity thresholds for Operational Taxonomic Unit (OTU) clustering. Lastly, we measure within- and between-taxa dissimilarities when using sequences from public databases to determine the most appropriate thresholds for OTU clustering and taxonomy assignment. Our results show that the use of multiple primer sets reduces taxonomic biases and increases taxonomic coverage. Taxonomic profiles resulting from each primer set are principally affected by how many PCR replicates are carried out per sample and how sequences are filtered across them, the sequence copy number threshold and the OTU clustering threshold. We also report considerable diversity differences between PCR replicates from each sample. Sequencing depth increases the dissimilarity between PCR replicates unless the bioinformatic strategies to remove allegedly artefactual sequences are adjusted according to the number of analysed sequences. Finally, we show that the appropriate identity thresholds for OTU clustering and taxonomy assignment differ between markers. Metabarcoding of complex environmental samples ideally requires (1) investigation of whether more than one primer sets targeting the same taxonomic group is needed to offset primer biases, (2) more than one PCR replicate per sample, (3) bioinformatic processing of sequences that balance diversity detection with removal of artefactual sequences, and (4) empirical selection of OTU clustering and taxonomy assignment thresholds tailored to each marker and the obtained taxa.","container-title":"Methods in Ecology and Evolution","DOI":"10.1111/2041-210X.12849","ISSN":"2041-210X","issue":"1","language":"en","license":"© 2017 The Authors. Methods in Ecology and Evolution © 2017 British Ecological Society","note":"_eprint: https://onlinelibrary.wiley.com/doi/pdf/10.1111/2041-210X.12849","page":"134-147","source":"Wiley Online Library","title":"Scrutinizing key steps for reliable metabarcoding of environmental samples","volume":"9","author":[{"family":"Alberdi","given":"Antton"},{"family":"Aizpurua","given":"Ostaizka"},{"family":"Gilbert","given":"M. Thomas P."},{"family":"Bohmann","given":"Kristine"}],"issued":{"date-parts":[["2018"]]}}}],"schema":"https://github.com/citation-style-language/schema/raw/master/csl-citation.json"}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w:t>
      </w:r>
      <w:proofErr w:type="spellStart"/>
      <w:r w:rsidRPr="009761E1">
        <w:rPr>
          <w:rFonts w:ascii="Times New Roman" w:hAnsi="Times New Roman" w:cs="Times New Roman"/>
          <w:sz w:val="28"/>
          <w:szCs w:val="28"/>
        </w:rPr>
        <w:t>Alberdi</w:t>
      </w:r>
      <w:proofErr w:type="spellEnd"/>
      <w:r w:rsidRPr="009761E1">
        <w:rPr>
          <w:rFonts w:ascii="Times New Roman" w:hAnsi="Times New Roman" w:cs="Times New Roman"/>
          <w:sz w:val="28"/>
          <w:szCs w:val="28"/>
        </w:rPr>
        <w:t xml:space="preserve"> et al. 2018)</w:t>
      </w:r>
      <w:r w:rsidRPr="009761E1">
        <w:rPr>
          <w:rFonts w:ascii="Times New Roman" w:eastAsia="Calibri" w:hAnsi="Times New Roman" w:cs="Times New Roman"/>
          <w:sz w:val="28"/>
          <w:szCs w:val="28"/>
        </w:rPr>
        <w:fldChar w:fldCharType="end"/>
      </w:r>
      <w:r w:rsidRPr="009761E1">
        <w:rPr>
          <w:rFonts w:ascii="Times New Roman" w:hAnsi="Times New Roman" w:cs="Times New Roman"/>
          <w:sz w:val="28"/>
          <w:szCs w:val="28"/>
        </w:rPr>
        <w:t xml:space="preserve"> b</w:t>
      </w:r>
      <w:r w:rsidRPr="009761E1">
        <w:rPr>
          <w:rFonts w:ascii="Times New Roman" w:eastAsia="Calibri" w:hAnsi="Times New Roman" w:cs="Times New Roman"/>
          <w:sz w:val="28"/>
          <w:szCs w:val="28"/>
        </w:rPr>
        <w:t xml:space="preserve">efore a double-size selection bead purification step. Ratios of 0.9x and 0.15x Mag-BIND </w:t>
      </w:r>
      <w:proofErr w:type="spellStart"/>
      <w:r w:rsidRPr="009761E1">
        <w:rPr>
          <w:rFonts w:ascii="Times New Roman" w:eastAsia="Calibri" w:hAnsi="Times New Roman" w:cs="Times New Roman"/>
          <w:sz w:val="28"/>
          <w:szCs w:val="28"/>
        </w:rPr>
        <w:t>RxnPure</w:t>
      </w:r>
      <w:proofErr w:type="spellEnd"/>
      <w:r w:rsidRPr="009761E1">
        <w:rPr>
          <w:rFonts w:ascii="Times New Roman" w:eastAsia="Calibri" w:hAnsi="Times New Roman" w:cs="Times New Roman"/>
          <w:sz w:val="28"/>
          <w:szCs w:val="28"/>
        </w:rPr>
        <w:t xml:space="preserve"> Plus magnetic beads (Omega Bio-</w:t>
      </w:r>
      <w:proofErr w:type="spellStart"/>
      <w:r w:rsidRPr="009761E1">
        <w:rPr>
          <w:rFonts w:ascii="Times New Roman" w:eastAsia="Calibri" w:hAnsi="Times New Roman" w:cs="Times New Roman"/>
          <w:sz w:val="28"/>
          <w:szCs w:val="28"/>
        </w:rPr>
        <w:t>tek</w:t>
      </w:r>
      <w:proofErr w:type="spellEnd"/>
      <w:r w:rsidRPr="009761E1">
        <w:rPr>
          <w:rFonts w:ascii="Times New Roman" w:eastAsia="Calibri" w:hAnsi="Times New Roman" w:cs="Times New Roman"/>
          <w:sz w:val="28"/>
          <w:szCs w:val="28"/>
        </w:rPr>
        <w:t xml:space="preserve">) to 100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each sub-library were used for purification, and sub-libraries eluted in 25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Elution Buffer (1xTE). </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Two replicates of each sub-library were performed for second round PCR, with one unique forward and one unique reverse MID tag per sub-library (i.e. 10 in total). Second round PCRs were carried in 50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reaction volumes, with 25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Q5® High-Fidelity 2x Master Mix (New England </w:t>
      </w:r>
      <w:proofErr w:type="spellStart"/>
      <w:r w:rsidRPr="009761E1">
        <w:rPr>
          <w:rFonts w:ascii="Times New Roman" w:eastAsia="Calibri" w:hAnsi="Times New Roman" w:cs="Times New Roman"/>
          <w:sz w:val="28"/>
          <w:szCs w:val="28"/>
        </w:rPr>
        <w:t>Biolabs</w:t>
      </w:r>
      <w:proofErr w:type="spellEnd"/>
      <w:r w:rsidRPr="009761E1">
        <w:rPr>
          <w:rFonts w:ascii="Times New Roman" w:eastAsia="Calibri" w:hAnsi="Times New Roman" w:cs="Times New Roman"/>
          <w:sz w:val="28"/>
          <w:szCs w:val="28"/>
        </w:rPr>
        <w:t xml:space="preserve">), 13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Molecular Grade Water (Fisher Scientific UK Ltd.), 3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each 10 </w:t>
      </w:r>
      <w:proofErr w:type="spellStart"/>
      <w:r w:rsidRPr="009761E1">
        <w:rPr>
          <w:rFonts w:ascii="Times New Roman" w:eastAsia="Calibri" w:hAnsi="Times New Roman" w:cs="Times New Roman"/>
          <w:sz w:val="28"/>
          <w:szCs w:val="28"/>
        </w:rPr>
        <w:t>μM</w:t>
      </w:r>
      <w:proofErr w:type="spellEnd"/>
      <w:r w:rsidRPr="009761E1">
        <w:rPr>
          <w:rFonts w:ascii="Times New Roman" w:eastAsia="Calibri" w:hAnsi="Times New Roman" w:cs="Times New Roman"/>
          <w:sz w:val="28"/>
          <w:szCs w:val="28"/>
        </w:rPr>
        <w:t xml:space="preserve"> tagged primer, and 4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template DNA. PCRs were carried out on a </w:t>
      </w:r>
      <w:proofErr w:type="spellStart"/>
      <w:r w:rsidRPr="009761E1">
        <w:rPr>
          <w:rFonts w:ascii="Times New Roman" w:eastAsia="Calibri" w:hAnsi="Times New Roman" w:cs="Times New Roman"/>
          <w:sz w:val="28"/>
          <w:szCs w:val="28"/>
        </w:rPr>
        <w:t>Veriti</w:t>
      </w:r>
      <w:proofErr w:type="spellEnd"/>
      <w:r w:rsidRPr="009761E1">
        <w:rPr>
          <w:rFonts w:ascii="Times New Roman" w:eastAsia="Calibri" w:hAnsi="Times New Roman" w:cs="Times New Roman"/>
          <w:sz w:val="28"/>
          <w:szCs w:val="28"/>
        </w:rPr>
        <w:t xml:space="preserve"> Thermocycler (Applied Biosystems) with the following </w:t>
      </w:r>
      <w:proofErr w:type="spellStart"/>
      <w:r w:rsidRPr="009761E1">
        <w:rPr>
          <w:rFonts w:ascii="Times New Roman" w:eastAsia="Calibri" w:hAnsi="Times New Roman" w:cs="Times New Roman"/>
          <w:sz w:val="28"/>
          <w:szCs w:val="28"/>
        </w:rPr>
        <w:t>thermocycling</w:t>
      </w:r>
      <w:proofErr w:type="spellEnd"/>
      <w:r w:rsidRPr="009761E1">
        <w:rPr>
          <w:rFonts w:ascii="Times New Roman" w:eastAsia="Calibri" w:hAnsi="Times New Roman" w:cs="Times New Roman"/>
          <w:sz w:val="28"/>
          <w:szCs w:val="28"/>
        </w:rPr>
        <w:t xml:space="preserve"> profile: 95°C for 3 mins, 10 cycles of 98°C for 20 s and 72°C for 1 min, 72°C for 5 mins then held at 4°C.  Duplicates were pooled and PCR products checked on a 2% agarose gel before a second bead clean, with ratios of 0.7x and 0.15x Mag-BIND </w:t>
      </w:r>
      <w:proofErr w:type="spellStart"/>
      <w:r w:rsidRPr="009761E1">
        <w:rPr>
          <w:rFonts w:ascii="Times New Roman" w:eastAsia="Calibri" w:hAnsi="Times New Roman" w:cs="Times New Roman"/>
          <w:sz w:val="28"/>
          <w:szCs w:val="28"/>
        </w:rPr>
        <w:t>RxnPure</w:t>
      </w:r>
      <w:proofErr w:type="spellEnd"/>
      <w:r w:rsidRPr="009761E1">
        <w:rPr>
          <w:rFonts w:ascii="Times New Roman" w:eastAsia="Calibri" w:hAnsi="Times New Roman" w:cs="Times New Roman"/>
          <w:sz w:val="28"/>
          <w:szCs w:val="28"/>
        </w:rPr>
        <w:t xml:space="preserve"> Plus magnetic beads (Omega Bio-</w:t>
      </w:r>
      <w:proofErr w:type="spellStart"/>
      <w:r w:rsidRPr="009761E1">
        <w:rPr>
          <w:rFonts w:ascii="Times New Roman" w:eastAsia="Calibri" w:hAnsi="Times New Roman" w:cs="Times New Roman"/>
          <w:sz w:val="28"/>
          <w:szCs w:val="28"/>
        </w:rPr>
        <w:t>tek</w:t>
      </w:r>
      <w:proofErr w:type="spellEnd"/>
      <w:r w:rsidRPr="009761E1">
        <w:rPr>
          <w:rFonts w:ascii="Times New Roman" w:eastAsia="Calibri" w:hAnsi="Times New Roman" w:cs="Times New Roman"/>
          <w:sz w:val="28"/>
          <w:szCs w:val="28"/>
        </w:rPr>
        <w:t xml:space="preserve">) to 50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of each sub-</w:t>
      </w:r>
      <w:r w:rsidRPr="009761E1">
        <w:rPr>
          <w:rFonts w:ascii="Times New Roman" w:eastAsia="Calibri" w:hAnsi="Times New Roman" w:cs="Times New Roman"/>
          <w:sz w:val="28"/>
          <w:szCs w:val="28"/>
        </w:rPr>
        <w:lastRenderedPageBreak/>
        <w:t xml:space="preserve">library. Sub-libraries were eluted in 25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and quantified on a Qubit™ 3.0 </w:t>
      </w:r>
      <w:proofErr w:type="spellStart"/>
      <w:r w:rsidRPr="009761E1">
        <w:rPr>
          <w:rFonts w:ascii="Times New Roman" w:eastAsia="Calibri" w:hAnsi="Times New Roman" w:cs="Times New Roman"/>
          <w:sz w:val="28"/>
          <w:szCs w:val="28"/>
        </w:rPr>
        <w:t>fluorometer</w:t>
      </w:r>
      <w:proofErr w:type="spellEnd"/>
      <w:r w:rsidRPr="009761E1">
        <w:rPr>
          <w:rFonts w:ascii="Times New Roman" w:eastAsia="Calibri" w:hAnsi="Times New Roman" w:cs="Times New Roman"/>
          <w:sz w:val="28"/>
          <w:szCs w:val="28"/>
        </w:rPr>
        <w:t xml:space="preserve"> using a dsDNA HS Assay Kit (Invitrogen) then normalised by pooling according to sample size and library concentration, and bead cleaned as for the PCR2 protocol. The library was diluted to 4 </w:t>
      </w:r>
      <w:proofErr w:type="spellStart"/>
      <w:r w:rsidRPr="009761E1">
        <w:rPr>
          <w:rFonts w:ascii="Times New Roman" w:eastAsia="Calibri" w:hAnsi="Times New Roman" w:cs="Times New Roman"/>
          <w:sz w:val="28"/>
          <w:szCs w:val="28"/>
        </w:rPr>
        <w:t>nM</w:t>
      </w:r>
      <w:proofErr w:type="spellEnd"/>
      <w:r w:rsidRPr="009761E1">
        <w:rPr>
          <w:rFonts w:ascii="Times New Roman" w:eastAsia="Calibri" w:hAnsi="Times New Roman" w:cs="Times New Roman"/>
          <w:sz w:val="28"/>
          <w:szCs w:val="28"/>
        </w:rPr>
        <w:t xml:space="preserve"> based on Qubit™ concentration, then quantified by qPCR using the </w:t>
      </w:r>
      <w:proofErr w:type="spellStart"/>
      <w:r w:rsidRPr="009761E1">
        <w:rPr>
          <w:rFonts w:ascii="Times New Roman" w:eastAsia="Calibri" w:hAnsi="Times New Roman" w:cs="Times New Roman"/>
          <w:sz w:val="28"/>
          <w:szCs w:val="28"/>
        </w:rPr>
        <w:t>NEBNext</w:t>
      </w:r>
      <w:proofErr w:type="spellEnd"/>
      <w:r w:rsidRPr="009761E1">
        <w:rPr>
          <w:rFonts w:ascii="Times New Roman" w:eastAsia="Calibri" w:hAnsi="Times New Roman" w:cs="Times New Roman"/>
          <w:sz w:val="28"/>
          <w:szCs w:val="28"/>
        </w:rPr>
        <w:t xml:space="preserve"> Library Quant Kit for Illumina (New England </w:t>
      </w:r>
      <w:proofErr w:type="spellStart"/>
      <w:r w:rsidRPr="009761E1">
        <w:rPr>
          <w:rFonts w:ascii="Times New Roman" w:eastAsia="Calibri" w:hAnsi="Times New Roman" w:cs="Times New Roman"/>
          <w:sz w:val="28"/>
          <w:szCs w:val="28"/>
        </w:rPr>
        <w:t>Biolabs</w:t>
      </w:r>
      <w:proofErr w:type="spellEnd"/>
      <w:r w:rsidRPr="009761E1">
        <w:rPr>
          <w:rFonts w:ascii="Times New Roman" w:eastAsia="Calibri" w:hAnsi="Times New Roman" w:cs="Times New Roman"/>
          <w:sz w:val="28"/>
          <w:szCs w:val="28"/>
        </w:rPr>
        <w:t xml:space="preserve">) on a </w:t>
      </w:r>
      <w:proofErr w:type="spellStart"/>
      <w:r w:rsidRPr="009761E1">
        <w:rPr>
          <w:rFonts w:ascii="Times New Roman" w:eastAsia="Calibri" w:hAnsi="Times New Roman" w:cs="Times New Roman"/>
          <w:sz w:val="28"/>
          <w:szCs w:val="28"/>
        </w:rPr>
        <w:t>StepOne</w:t>
      </w:r>
      <w:proofErr w:type="spellEnd"/>
      <w:r w:rsidRPr="009761E1">
        <w:rPr>
          <w:rFonts w:ascii="Times New Roman" w:eastAsia="Calibri" w:hAnsi="Times New Roman" w:cs="Times New Roman"/>
          <w:sz w:val="28"/>
          <w:szCs w:val="28"/>
        </w:rPr>
        <w:t xml:space="preserve"> Thermocycler (Applied Biosystems). The final library was adjusted to 4 </w:t>
      </w:r>
      <w:proofErr w:type="spellStart"/>
      <w:r w:rsidRPr="009761E1">
        <w:rPr>
          <w:rFonts w:ascii="Times New Roman" w:eastAsia="Calibri" w:hAnsi="Times New Roman" w:cs="Times New Roman"/>
          <w:sz w:val="28"/>
          <w:szCs w:val="28"/>
        </w:rPr>
        <w:t>nM</w:t>
      </w:r>
      <w:proofErr w:type="spellEnd"/>
      <w:r w:rsidRPr="009761E1">
        <w:rPr>
          <w:rFonts w:ascii="Times New Roman" w:eastAsia="Calibri" w:hAnsi="Times New Roman" w:cs="Times New Roman"/>
          <w:sz w:val="28"/>
          <w:szCs w:val="28"/>
        </w:rPr>
        <w:t xml:space="preserve"> based on qPCR results and denatured and diluted according to the Illumina </w:t>
      </w:r>
      <w:proofErr w:type="spellStart"/>
      <w:r w:rsidRPr="009761E1">
        <w:rPr>
          <w:rFonts w:ascii="Times New Roman" w:eastAsia="Calibri" w:hAnsi="Times New Roman" w:cs="Times New Roman"/>
          <w:sz w:val="28"/>
          <w:szCs w:val="28"/>
        </w:rPr>
        <w:t>MiSeq</w:t>
      </w:r>
      <w:proofErr w:type="spellEnd"/>
      <w:r w:rsidRPr="009761E1">
        <w:rPr>
          <w:rFonts w:ascii="Times New Roman" w:eastAsia="Calibri" w:hAnsi="Times New Roman" w:cs="Times New Roman"/>
          <w:sz w:val="28"/>
          <w:szCs w:val="28"/>
        </w:rPr>
        <w:t xml:space="preserve"> library preparation guide. The final libraries were sequenced at 13 </w:t>
      </w:r>
      <w:proofErr w:type="spellStart"/>
      <w:r w:rsidRPr="009761E1">
        <w:rPr>
          <w:rFonts w:ascii="Times New Roman" w:eastAsia="Calibri" w:hAnsi="Times New Roman" w:cs="Times New Roman"/>
          <w:sz w:val="28"/>
          <w:szCs w:val="28"/>
        </w:rPr>
        <w:t>pM</w:t>
      </w:r>
      <w:proofErr w:type="spellEnd"/>
      <w:r w:rsidRPr="009761E1">
        <w:rPr>
          <w:rFonts w:ascii="Times New Roman" w:eastAsia="Calibri" w:hAnsi="Times New Roman" w:cs="Times New Roman"/>
          <w:sz w:val="28"/>
          <w:szCs w:val="28"/>
        </w:rPr>
        <w:t xml:space="preserve"> on an Illumina </w:t>
      </w:r>
      <w:proofErr w:type="spellStart"/>
      <w:r w:rsidRPr="009761E1">
        <w:rPr>
          <w:rFonts w:ascii="Times New Roman" w:eastAsia="Calibri" w:hAnsi="Times New Roman" w:cs="Times New Roman"/>
          <w:sz w:val="28"/>
          <w:szCs w:val="28"/>
        </w:rPr>
        <w:t>MiSeq</w:t>
      </w:r>
      <w:proofErr w:type="spellEnd"/>
      <w:r w:rsidRPr="009761E1">
        <w:rPr>
          <w:rFonts w:ascii="Times New Roman" w:eastAsia="Calibri" w:hAnsi="Times New Roman" w:cs="Times New Roman"/>
          <w:sz w:val="28"/>
          <w:szCs w:val="28"/>
        </w:rPr>
        <w:t xml:space="preserve"> using 2 x 300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V3 chemistry (Illumina).</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To amplify invertebrate data for sequencing, the following changes were made to library preparation methods. No MID tags were included in PCR 1 where QIAGEN Multiplex PCR </w:t>
      </w:r>
      <w:proofErr w:type="gramStart"/>
      <w:r w:rsidRPr="009761E1">
        <w:rPr>
          <w:rFonts w:ascii="Times New Roman" w:eastAsia="Calibri" w:hAnsi="Times New Roman" w:cs="Times New Roman"/>
          <w:sz w:val="28"/>
          <w:szCs w:val="28"/>
        </w:rPr>
        <w:t>Plus</w:t>
      </w:r>
      <w:proofErr w:type="gramEnd"/>
      <w:r w:rsidRPr="009761E1">
        <w:rPr>
          <w:rFonts w:ascii="Times New Roman" w:eastAsia="Calibri" w:hAnsi="Times New Roman" w:cs="Times New Roman"/>
          <w:sz w:val="28"/>
          <w:szCs w:val="28"/>
        </w:rPr>
        <w:t xml:space="preserve"> Kits were used in place of the Master Mix. DNA extracted from </w:t>
      </w:r>
      <w:proofErr w:type="spellStart"/>
      <w:r w:rsidRPr="009761E1">
        <w:rPr>
          <w:rFonts w:ascii="Times New Roman" w:eastAsia="Calibri" w:hAnsi="Times New Roman" w:cs="Times New Roman"/>
          <w:i/>
          <w:iCs/>
          <w:sz w:val="28"/>
          <w:szCs w:val="28"/>
        </w:rPr>
        <w:t>Calliphora</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vicina</w:t>
      </w:r>
      <w:proofErr w:type="spellEnd"/>
      <w:r w:rsidRPr="009761E1">
        <w:rPr>
          <w:rFonts w:ascii="Times New Roman" w:eastAsia="Calibri" w:hAnsi="Times New Roman" w:cs="Times New Roman"/>
          <w:sz w:val="28"/>
          <w:szCs w:val="28"/>
        </w:rPr>
        <w:t xml:space="preserve"> was used as the positive control. Respective PCR conditions as follows; 10 cycles of 95°C for 30 s, 64°C for 90 s(- 1°C each cycle), 72°C for 30 s. 25 cycles of 95°C for 30 s, 54°C for 90 s, 72°C for 30 s, a final elongation of 68°C for 10 mins and finally held at 4°C. Pooled PCR 1 triplicates were then purified with 0.9x vortex suspended magnetic beads per sample. PCR 2 commenced immediately after confirming the PCR 1 reactions and bead cleans were successful using a 2% </w:t>
      </w:r>
      <w:proofErr w:type="spellStart"/>
      <w:r w:rsidRPr="009761E1">
        <w:rPr>
          <w:rFonts w:ascii="Times New Roman" w:eastAsia="Calibri" w:hAnsi="Times New Roman" w:cs="Times New Roman"/>
          <w:sz w:val="28"/>
          <w:szCs w:val="28"/>
        </w:rPr>
        <w:t>agrose</w:t>
      </w:r>
      <w:proofErr w:type="spellEnd"/>
      <w:r w:rsidRPr="009761E1">
        <w:rPr>
          <w:rFonts w:ascii="Times New Roman" w:eastAsia="Calibri" w:hAnsi="Times New Roman" w:cs="Times New Roman"/>
          <w:sz w:val="28"/>
          <w:szCs w:val="28"/>
        </w:rPr>
        <w:t xml:space="preserve"> gel. MID tags were introduced at this stage, with 240 sample specific combinations </w:t>
      </w:r>
      <w:r w:rsidRPr="009761E1">
        <w:rPr>
          <w:rFonts w:ascii="Times New Roman" w:eastAsia="Calibri" w:hAnsi="Times New Roman" w:cs="Times New Roman"/>
          <w:sz w:val="28"/>
          <w:szCs w:val="28"/>
        </w:rPr>
        <w:lastRenderedPageBreak/>
        <w:t xml:space="preserve">of 24 reverse and 10 forward sequences. Product from PCR 1 was tagged and further amplified in 25ul volumes per duplicate reaction well for each sample. Using Q5 High-Fidelity 2x Master Mix (New England </w:t>
      </w:r>
      <w:proofErr w:type="spellStart"/>
      <w:r w:rsidRPr="009761E1">
        <w:rPr>
          <w:rFonts w:ascii="Times New Roman" w:eastAsia="Calibri" w:hAnsi="Times New Roman" w:cs="Times New Roman"/>
          <w:sz w:val="28"/>
          <w:szCs w:val="28"/>
        </w:rPr>
        <w:t>Biolabs</w:t>
      </w:r>
      <w:proofErr w:type="spellEnd"/>
      <w:r w:rsidRPr="009761E1">
        <w:rPr>
          <w:rFonts w:ascii="Times New Roman" w:eastAsia="Calibri" w:hAnsi="Times New Roman" w:cs="Times New Roman"/>
          <w:sz w:val="28"/>
          <w:szCs w:val="28"/>
        </w:rPr>
        <w:t xml:space="preserve">) and 0.5 </w:t>
      </w:r>
      <w:proofErr w:type="spellStart"/>
      <w:r w:rsidRPr="009761E1">
        <w:rPr>
          <w:rFonts w:ascii="Times New Roman" w:eastAsia="Calibri" w:hAnsi="Times New Roman" w:cs="Times New Roman"/>
          <w:sz w:val="28"/>
          <w:szCs w:val="28"/>
        </w:rPr>
        <w:t>μl</w:t>
      </w:r>
      <w:proofErr w:type="spellEnd"/>
      <w:r w:rsidRPr="009761E1">
        <w:rPr>
          <w:rFonts w:ascii="Times New Roman" w:eastAsia="Calibri" w:hAnsi="Times New Roman" w:cs="Times New Roman"/>
          <w:sz w:val="28"/>
          <w:szCs w:val="28"/>
        </w:rPr>
        <w:t xml:space="preserve"> more water instead of Bovine Serum. Invertebrate PCR 2 conditions are as per vertebrate PCR 2 conditions. After pooling duplicates and samples into sub-libraries by </w:t>
      </w:r>
      <w:proofErr w:type="spellStart"/>
      <w:r w:rsidRPr="009761E1">
        <w:rPr>
          <w:rFonts w:ascii="Times New Roman" w:eastAsia="Calibri" w:hAnsi="Times New Roman" w:cs="Times New Roman"/>
          <w:sz w:val="28"/>
          <w:szCs w:val="28"/>
        </w:rPr>
        <w:t>agrose</w:t>
      </w:r>
      <w:proofErr w:type="spellEnd"/>
      <w:r w:rsidRPr="009761E1">
        <w:rPr>
          <w:rFonts w:ascii="Times New Roman" w:eastAsia="Calibri" w:hAnsi="Times New Roman" w:cs="Times New Roman"/>
          <w:sz w:val="28"/>
          <w:szCs w:val="28"/>
        </w:rPr>
        <w:t xml:space="preserve"> gel band strength, a final magnetic bead purification is completed with a ratio of 0.9x suspended mixture to sample. All subsequent library preparation steps are identical to the previous vertebrate sequencing methods.</w:t>
      </w:r>
    </w:p>
    <w:p w:rsidR="003C3065" w:rsidRPr="009761E1" w:rsidRDefault="003C3065" w:rsidP="003C3065">
      <w:pPr>
        <w:spacing w:line="480" w:lineRule="auto"/>
        <w:rPr>
          <w:rFonts w:ascii="Times New Roman" w:hAnsi="Times New Roman" w:cs="Times New Roman"/>
          <w:sz w:val="28"/>
          <w:szCs w:val="28"/>
        </w:rPr>
      </w:pPr>
    </w:p>
    <w:p w:rsidR="003C3065" w:rsidRPr="009761E1" w:rsidRDefault="003C3065" w:rsidP="003C3065">
      <w:pPr>
        <w:pStyle w:val="Heading2"/>
        <w:spacing w:line="480" w:lineRule="auto"/>
        <w:rPr>
          <w:rFonts w:ascii="Times New Roman" w:hAnsi="Times New Roman" w:cs="Times New Roman"/>
          <w:sz w:val="28"/>
          <w:szCs w:val="28"/>
        </w:rPr>
      </w:pPr>
      <w:r w:rsidRPr="009761E1">
        <w:rPr>
          <w:rFonts w:ascii="Times New Roman" w:hAnsi="Times New Roman" w:cs="Times New Roman"/>
          <w:sz w:val="28"/>
          <w:szCs w:val="28"/>
        </w:rPr>
        <w:t>Bioinformatics</w:t>
      </w:r>
    </w:p>
    <w:p w:rsidR="003C3065" w:rsidRPr="009761E1" w:rsidRDefault="003C3065" w:rsidP="003C3065">
      <w:pPr>
        <w:spacing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For vertebrates, a custom reference database of published 12S </w:t>
      </w:r>
      <w:proofErr w:type="spellStart"/>
      <w:r w:rsidRPr="009761E1">
        <w:rPr>
          <w:rFonts w:ascii="Times New Roman" w:eastAsia="Calibri" w:hAnsi="Times New Roman" w:cs="Times New Roman"/>
          <w:sz w:val="28"/>
          <w:szCs w:val="28"/>
        </w:rPr>
        <w:t>rRNA</w:t>
      </w:r>
      <w:proofErr w:type="spellEnd"/>
      <w:r w:rsidRPr="009761E1">
        <w:rPr>
          <w:rFonts w:ascii="Times New Roman" w:eastAsia="Calibri" w:hAnsi="Times New Roman" w:cs="Times New Roman"/>
          <w:sz w:val="28"/>
          <w:szCs w:val="28"/>
        </w:rPr>
        <w:t xml:space="preserve"> sequences, downloaded from </w:t>
      </w:r>
      <w:proofErr w:type="spellStart"/>
      <w:r w:rsidRPr="009761E1">
        <w:rPr>
          <w:rFonts w:ascii="Times New Roman" w:eastAsia="Calibri" w:hAnsi="Times New Roman" w:cs="Times New Roman"/>
          <w:sz w:val="28"/>
          <w:szCs w:val="28"/>
        </w:rPr>
        <w:t>GenBank</w:t>
      </w:r>
      <w:proofErr w:type="spellEnd"/>
      <w:r w:rsidRPr="009761E1">
        <w:rPr>
          <w:rFonts w:ascii="Times New Roman" w:eastAsia="Calibri" w:hAnsi="Times New Roman" w:cs="Times New Roman"/>
          <w:sz w:val="28"/>
          <w:szCs w:val="28"/>
        </w:rPr>
        <w:t xml:space="preserve">, was created based on records of the Finnish Biodiversity Information Facility, </w:t>
      </w:r>
      <w:proofErr w:type="spellStart"/>
      <w:r w:rsidRPr="009761E1">
        <w:rPr>
          <w:rFonts w:ascii="Times New Roman" w:eastAsia="Calibri" w:hAnsi="Times New Roman" w:cs="Times New Roman"/>
          <w:sz w:val="28"/>
          <w:szCs w:val="28"/>
        </w:rPr>
        <w:t>FinBIF</w:t>
      </w:r>
      <w:proofErr w:type="spellEnd"/>
      <w:r w:rsidRPr="009761E1">
        <w:rPr>
          <w:rFonts w:ascii="Times New Roman" w:eastAsia="Calibri" w:hAnsi="Times New Roman" w:cs="Times New Roman"/>
          <w:sz w:val="28"/>
          <w:szCs w:val="28"/>
        </w:rPr>
        <w:t xml:space="preserve"> (</w:t>
      </w:r>
      <w:hyperlink r:id="rId18">
        <w:r w:rsidRPr="009761E1">
          <w:rPr>
            <w:rStyle w:val="Hyperlink"/>
            <w:rFonts w:ascii="Times New Roman" w:eastAsia="Calibri" w:hAnsi="Times New Roman" w:cs="Times New Roman"/>
            <w:color w:val="auto"/>
            <w:sz w:val="28"/>
            <w:szCs w:val="28"/>
          </w:rPr>
          <w:t>https://laji.fi/en</w:t>
        </w:r>
      </w:hyperlink>
      <w:r w:rsidRPr="009761E1">
        <w:rPr>
          <w:rFonts w:ascii="Times New Roman" w:eastAsia="Calibri" w:hAnsi="Times New Roman" w:cs="Times New Roman"/>
          <w:sz w:val="28"/>
          <w:szCs w:val="28"/>
        </w:rPr>
        <w:t xml:space="preserve">) and local expert knowledge of staff from the University of Helsinki </w:t>
      </w:r>
      <w:proofErr w:type="spellStart"/>
      <w:r w:rsidRPr="009761E1">
        <w:rPr>
          <w:rFonts w:ascii="Times New Roman" w:eastAsia="Calibri" w:hAnsi="Times New Roman" w:cs="Times New Roman"/>
          <w:sz w:val="28"/>
          <w:szCs w:val="28"/>
        </w:rPr>
        <w:t>Lammi</w:t>
      </w:r>
      <w:proofErr w:type="spellEnd"/>
      <w:r w:rsidRPr="009761E1">
        <w:rPr>
          <w:rFonts w:ascii="Times New Roman" w:eastAsia="Calibri" w:hAnsi="Times New Roman" w:cs="Times New Roman"/>
          <w:sz w:val="28"/>
          <w:szCs w:val="28"/>
        </w:rPr>
        <w:t xml:space="preserve"> Field Station on the vertebrate biodiversity of the </w:t>
      </w:r>
      <w:proofErr w:type="spellStart"/>
      <w:r w:rsidRPr="009761E1">
        <w:rPr>
          <w:rFonts w:ascii="Times New Roman" w:eastAsia="Calibri" w:hAnsi="Times New Roman" w:cs="Times New Roman"/>
          <w:sz w:val="28"/>
          <w:szCs w:val="28"/>
        </w:rPr>
        <w:t>Evo</w:t>
      </w:r>
      <w:proofErr w:type="spellEnd"/>
      <w:r w:rsidRPr="009761E1">
        <w:rPr>
          <w:rFonts w:ascii="Times New Roman" w:eastAsia="Calibri" w:hAnsi="Times New Roman" w:cs="Times New Roman"/>
          <w:sz w:val="28"/>
          <w:szCs w:val="28"/>
        </w:rPr>
        <w:t xml:space="preserve"> region. Poor quality sequences (those with &gt; 100 ambiguous bases) were removed from the reference database. For invertebrates an updated version of the reference database published by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{"citationID":"nxotoY9e","properties":{"formattedCitation":"(Harper et al. 2019a)","plainCitation":"(Harper et al. 2019a)","dontUpdate":true,"noteIndex":0},"citationItems":[{"id":4006,"uris":["http://zotero.org/users/9749297/items/XJCWWS6I"],"itemData":{"id":4006,"type":"article-journal","abstract":"The crucian carp (Carassius carassius) is one of few fish species associated with small ponds in the UK. These populations contain genetic diversity not found in Europe and are important to conservation efforts for the species which has declined across its range in Europe. Detection and monitoring of extant crucian carp populations are crucial for conservation success. Environmental DNA (eDNA) analysis could be very useful in this respect as a rapid, cost-efficient monitoring tool. We developed a species-specific quantitative polymerase chain reaction (qPCR) assay for eDNA surveillance of crucian carp to enable non-invasive, large-scale distribution monitoring. We compared fyke netting and eDNA analysis at ponds with (n = 10) and without (n = 10) crucian carp for presence–absence detection. We examined biotic (crucian carp density represented by catch-per-unit-effort [CPUE] estimate) and abiotic influences on eDNA detection probability using a hierarchical occupancy model, and eDNA quantification using a mixed-effects model. eDNA analysis achieved 90% detection for crucian carp (n = 10), failing in only one pond where presence was known. CPUE estimate and conductivity had positive and negative influences on eDNA detection probability in qPCR replicates respectively. Similarly, conductivity had a negative effect on DNA copy number, whereas copy number increased with CPUE estimate. Our results demonstrate that eDNA analysis could enable detection of crucian carp populations in ponds and benefit ongoing conservation efforts, but imperfect species detection in relation to biotic and abiotic factors and eDNA workflow requires further investigation. Nonetheless, we have established an eDNA framework for the crucian carp as well as sources of imperfect detection which future investigations can build upon.","container-title":"Freshwater Biology","DOI":"10.1111/fwb.13197","ISSN":"1365-2427","issue":"1","language":"en","license":"© 2018 John Wiley &amp; Sons Ltd","note":"_eprint: https://onlinelibrary.wiley.com/doi/pdf/10.1111/fwb.13197","page":"93-107","source":"Wiley Online Library","title":"Development and application of environmental DNA surveillance for the threatened crucian carp (Carassius carassius)","volume":"64","author":[{"family":"Harper","given":"Lynsey R."},{"family":"Griffiths","given":"Nathan P."},{"family":"Lawson Handley","given":"Lori"},{"family":"Sayer","given":"Carl D."},{"family":"Read","given":"Daniel S."},{"family":"Harper","given":"Kirsten J."},{"family":"Blackman","given":"Rosetta C."},{"family":"Li","given":"Jianlong"},{"family":"Hänfling","given":"Bernd"}],"issued":{"date-parts":[["2019"]]}}}],"schema":"https://github.com/citation-style-language/schema/raw/master/csl-citation.json"}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eastAsia="Calibri" w:hAnsi="Times New Roman" w:cs="Times New Roman"/>
          <w:noProof/>
          <w:sz w:val="28"/>
          <w:szCs w:val="28"/>
        </w:rPr>
        <w:t>Harper et al. (2019a)</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was used. </w:t>
      </w:r>
    </w:p>
    <w:p w:rsidR="003C3065" w:rsidRPr="009761E1" w:rsidRDefault="003C3065" w:rsidP="003C3065">
      <w:pPr>
        <w:spacing w:after="200"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Vertebrate sequencing data was </w:t>
      </w:r>
      <w:proofErr w:type="spellStart"/>
      <w:r w:rsidRPr="009761E1">
        <w:rPr>
          <w:rFonts w:ascii="Times New Roman" w:eastAsia="Calibri" w:hAnsi="Times New Roman" w:cs="Times New Roman"/>
          <w:sz w:val="28"/>
          <w:szCs w:val="28"/>
        </w:rPr>
        <w:t>demultiplexed</w:t>
      </w:r>
      <w:proofErr w:type="spellEnd"/>
      <w:r w:rsidRPr="009761E1">
        <w:rPr>
          <w:rFonts w:ascii="Times New Roman" w:eastAsia="Calibri" w:hAnsi="Times New Roman" w:cs="Times New Roman"/>
          <w:sz w:val="28"/>
          <w:szCs w:val="28"/>
        </w:rPr>
        <w:t xml:space="preserve"> to forward and reverse </w:t>
      </w:r>
      <w:proofErr w:type="spellStart"/>
      <w:r w:rsidRPr="009761E1">
        <w:rPr>
          <w:rFonts w:ascii="Times New Roman" w:eastAsia="Calibri" w:hAnsi="Times New Roman" w:cs="Times New Roman"/>
          <w:sz w:val="28"/>
          <w:szCs w:val="28"/>
        </w:rPr>
        <w:t>fastq</w:t>
      </w:r>
      <w:proofErr w:type="spellEnd"/>
      <w:r w:rsidRPr="009761E1">
        <w:rPr>
          <w:rFonts w:ascii="Times New Roman" w:eastAsia="Calibri" w:hAnsi="Times New Roman" w:cs="Times New Roman"/>
          <w:sz w:val="28"/>
          <w:szCs w:val="28"/>
        </w:rPr>
        <w:t xml:space="preserve"> files per library using Illumina </w:t>
      </w:r>
      <w:proofErr w:type="spellStart"/>
      <w:r w:rsidRPr="009761E1">
        <w:rPr>
          <w:rFonts w:ascii="Times New Roman" w:eastAsia="Calibri" w:hAnsi="Times New Roman" w:cs="Times New Roman"/>
          <w:sz w:val="28"/>
          <w:szCs w:val="28"/>
        </w:rPr>
        <w:t>MiSeq</w:t>
      </w:r>
      <w:proofErr w:type="spellEnd"/>
      <w:r w:rsidRPr="009761E1">
        <w:rPr>
          <w:rFonts w:ascii="Times New Roman" w:eastAsia="Calibri" w:hAnsi="Times New Roman" w:cs="Times New Roman"/>
          <w:sz w:val="28"/>
          <w:szCs w:val="28"/>
        </w:rPr>
        <w:t xml:space="preserve"> Reporter software, then to sample </w:t>
      </w:r>
      <w:r w:rsidRPr="009761E1">
        <w:rPr>
          <w:rFonts w:ascii="Times New Roman" w:eastAsia="Calibri" w:hAnsi="Times New Roman" w:cs="Times New Roman"/>
          <w:sz w:val="28"/>
          <w:szCs w:val="28"/>
        </w:rPr>
        <w:lastRenderedPageBreak/>
        <w:t>using a custom Python script. Further quality control and taxonomic assignment for both libraries were performed using Tapirs (</w:t>
      </w:r>
      <w:hyperlink r:id="rId19">
        <w:r w:rsidRPr="009761E1">
          <w:rPr>
            <w:rStyle w:val="Hyperlink"/>
            <w:rFonts w:ascii="Times New Roman" w:eastAsia="Calibri" w:hAnsi="Times New Roman" w:cs="Times New Roman"/>
            <w:color w:val="auto"/>
            <w:sz w:val="28"/>
            <w:szCs w:val="28"/>
          </w:rPr>
          <w:t>https://github.com/EvoHull/Tapirs</w:t>
        </w:r>
      </w:hyperlink>
      <w:r w:rsidRPr="009761E1">
        <w:rPr>
          <w:rFonts w:ascii="Times New Roman" w:eastAsia="Calibri" w:hAnsi="Times New Roman" w:cs="Times New Roman"/>
          <w:sz w:val="28"/>
          <w:szCs w:val="28"/>
        </w:rPr>
        <w:t xml:space="preserve">), a </w:t>
      </w:r>
      <w:proofErr w:type="spellStart"/>
      <w:r w:rsidRPr="009761E1">
        <w:rPr>
          <w:rFonts w:ascii="Times New Roman" w:eastAsia="Calibri" w:hAnsi="Times New Roman" w:cs="Times New Roman"/>
          <w:sz w:val="28"/>
          <w:szCs w:val="28"/>
        </w:rPr>
        <w:t>Snakemake</w:t>
      </w:r>
      <w:proofErr w:type="spellEnd"/>
      <w:r w:rsidRPr="009761E1">
        <w:rPr>
          <w:rFonts w:ascii="Times New Roman" w:eastAsia="Calibri" w:hAnsi="Times New Roman" w:cs="Times New Roman"/>
          <w:sz w:val="28"/>
          <w:szCs w:val="28"/>
        </w:rPr>
        <w:t xml:space="preserve"> workflow manager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{"citationID":"WNDo3MlP","properties":{"formattedCitation":"(K\\uc0\\u246{}ster and Rahmann 2012)","plainCitation":"(Köster and Rahmann 2012)","noteIndex":0},"citationItems":[{"id":3935,"uris":["http://zotero.org/users/9749297/items/4ADLAJ4C"],"itemData":{"id":3935,"type":"article-journal","abstract":"Summary: Snakemake is a workflow engine that provides a readable Python-based workflow definition language and a powerful execution environment that scales from single-core workstations to compute clusters without modifying the workflow. It is the first system to support the use of automatically inferred multiple named wildcards (or variables) in input and output filenames.Availability:  http://snakemake.googlecode.com.Contact:  johannes.koester@uni-due.de","container-title":"Bioinformatics","DOI":"10.1093/bioinformatics/bts480","ISSN":"1367-4803","issue":"19","journalAbbreviation":"Bioinformatics","page":"2520-2522","source":"Silverchair","title":"Snakemake—a scalable bioinformatics workflow engine","volume":"28","author":[{"family":"Köster","given":"Johannes"},{"family":"Rahmann","given":"Sven"}],"issued":{"date-parts":[["2012",10,1]]}}}],"schema":"https://github.com/citation-style-language/schema/raw/master/csl-citation.json"}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w:t>
      </w:r>
      <w:proofErr w:type="spellStart"/>
      <w:r w:rsidRPr="009761E1">
        <w:rPr>
          <w:rFonts w:ascii="Times New Roman" w:hAnsi="Times New Roman" w:cs="Times New Roman"/>
          <w:sz w:val="28"/>
          <w:szCs w:val="28"/>
        </w:rPr>
        <w:t>Köster</w:t>
      </w:r>
      <w:proofErr w:type="spellEnd"/>
      <w:r w:rsidRPr="009761E1">
        <w:rPr>
          <w:rFonts w:ascii="Times New Roman" w:hAnsi="Times New Roman" w:cs="Times New Roman"/>
          <w:sz w:val="28"/>
          <w:szCs w:val="28"/>
        </w:rPr>
        <w:t xml:space="preserve"> and </w:t>
      </w:r>
      <w:proofErr w:type="spellStart"/>
      <w:r w:rsidRPr="009761E1">
        <w:rPr>
          <w:rFonts w:ascii="Times New Roman" w:hAnsi="Times New Roman" w:cs="Times New Roman"/>
          <w:sz w:val="28"/>
          <w:szCs w:val="28"/>
        </w:rPr>
        <w:t>Rahmann</w:t>
      </w:r>
      <w:proofErr w:type="spellEnd"/>
      <w:r w:rsidRPr="009761E1">
        <w:rPr>
          <w:rFonts w:ascii="Times New Roman" w:hAnsi="Times New Roman" w:cs="Times New Roman"/>
          <w:sz w:val="28"/>
          <w:szCs w:val="28"/>
        </w:rPr>
        <w:t xml:space="preserve"> 2012)</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for reproducible analysis of DNA </w:t>
      </w:r>
      <w:proofErr w:type="spellStart"/>
      <w:r w:rsidRPr="009761E1">
        <w:rPr>
          <w:rFonts w:ascii="Times New Roman" w:eastAsia="Calibri" w:hAnsi="Times New Roman" w:cs="Times New Roman"/>
          <w:sz w:val="28"/>
          <w:szCs w:val="28"/>
        </w:rPr>
        <w:t>metabarcoding</w:t>
      </w:r>
      <w:proofErr w:type="spellEnd"/>
      <w:r w:rsidRPr="009761E1">
        <w:rPr>
          <w:rFonts w:ascii="Times New Roman" w:eastAsia="Calibri" w:hAnsi="Times New Roman" w:cs="Times New Roman"/>
          <w:sz w:val="28"/>
          <w:szCs w:val="28"/>
        </w:rPr>
        <w:t xml:space="preserve"> data. Quality control included trimming, </w:t>
      </w:r>
      <w:proofErr w:type="spellStart"/>
      <w:r w:rsidRPr="009761E1">
        <w:rPr>
          <w:rFonts w:ascii="Times New Roman" w:eastAsia="Calibri" w:hAnsi="Times New Roman" w:cs="Times New Roman"/>
          <w:sz w:val="28"/>
          <w:szCs w:val="28"/>
        </w:rPr>
        <w:t>denoising</w:t>
      </w:r>
      <w:proofErr w:type="spellEnd"/>
      <w:r w:rsidRPr="009761E1">
        <w:rPr>
          <w:rFonts w:ascii="Times New Roman" w:eastAsia="Calibri" w:hAnsi="Times New Roman" w:cs="Times New Roman"/>
          <w:sz w:val="28"/>
          <w:szCs w:val="28"/>
        </w:rPr>
        <w:t xml:space="preserve"> and </w:t>
      </w:r>
      <w:proofErr w:type="spellStart"/>
      <w:r w:rsidRPr="009761E1">
        <w:rPr>
          <w:rFonts w:ascii="Times New Roman" w:eastAsia="Calibri" w:hAnsi="Times New Roman" w:cs="Times New Roman"/>
          <w:sz w:val="28"/>
          <w:szCs w:val="28"/>
        </w:rPr>
        <w:t>dereplication</w:t>
      </w:r>
      <w:proofErr w:type="spellEnd"/>
      <w:r w:rsidRPr="009761E1">
        <w:rPr>
          <w:rFonts w:ascii="Times New Roman" w:eastAsia="Calibri" w:hAnsi="Times New Roman" w:cs="Times New Roman"/>
          <w:sz w:val="28"/>
          <w:szCs w:val="28"/>
        </w:rPr>
        <w:t xml:space="preserve">. Raw reads were quality trimmed from the tail with a 5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sliding window (qualifying </w:t>
      </w:r>
      <w:proofErr w:type="spellStart"/>
      <w:r w:rsidRPr="009761E1">
        <w:rPr>
          <w:rFonts w:ascii="Times New Roman" w:eastAsia="Calibri" w:hAnsi="Times New Roman" w:cs="Times New Roman"/>
          <w:sz w:val="28"/>
          <w:szCs w:val="28"/>
        </w:rPr>
        <w:t>phred</w:t>
      </w:r>
      <w:proofErr w:type="spellEnd"/>
      <w:r w:rsidRPr="009761E1">
        <w:rPr>
          <w:rFonts w:ascii="Times New Roman" w:eastAsia="Calibri" w:hAnsi="Times New Roman" w:cs="Times New Roman"/>
          <w:sz w:val="28"/>
          <w:szCs w:val="28"/>
        </w:rPr>
        <w:t xml:space="preserve"> score of Q30 and an average window </w:t>
      </w:r>
      <w:proofErr w:type="spellStart"/>
      <w:r w:rsidRPr="009761E1">
        <w:rPr>
          <w:rFonts w:ascii="Times New Roman" w:eastAsia="Calibri" w:hAnsi="Times New Roman" w:cs="Times New Roman"/>
          <w:sz w:val="28"/>
          <w:szCs w:val="28"/>
        </w:rPr>
        <w:t>phred</w:t>
      </w:r>
      <w:proofErr w:type="spellEnd"/>
      <w:r w:rsidRPr="009761E1">
        <w:rPr>
          <w:rFonts w:ascii="Times New Roman" w:eastAsia="Calibri" w:hAnsi="Times New Roman" w:cs="Times New Roman"/>
          <w:sz w:val="28"/>
          <w:szCs w:val="28"/>
        </w:rPr>
        <w:t xml:space="preserve"> score of Q30) using </w:t>
      </w:r>
      <w:proofErr w:type="spellStart"/>
      <w:r w:rsidRPr="009761E1">
        <w:rPr>
          <w:rFonts w:ascii="Times New Roman" w:eastAsia="Calibri" w:hAnsi="Times New Roman" w:cs="Times New Roman"/>
          <w:sz w:val="28"/>
          <w:szCs w:val="28"/>
        </w:rPr>
        <w:t>fastp</w:t>
      </w:r>
      <w:proofErr w:type="spellEnd"/>
      <w:r w:rsidRPr="009761E1">
        <w:rPr>
          <w:rFonts w:ascii="Times New Roman" w:eastAsia="Calibri" w:hAnsi="Times New Roman" w:cs="Times New Roman"/>
          <w:sz w:val="28"/>
          <w:szCs w:val="28"/>
        </w:rPr>
        <w:t xml:space="preserve">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{"citationID":"3jnbfaNe","properties":{"formattedCitation":"(Chen et al. 2018)","plainCitation":"(Chen et al. 2018)","noteIndex":0},"citationItems":[{"id":3932,"uris":["http://zotero.org/users/9749297/items/CBVKHM94"],"itemData":{"id":3932,"type":"article-journal","abstract":"Quality control and preprocessing of FASTQ files are essential to providing clean data for downstream analysis. Traditionally, a different tool is used for each operation, such as quality control, adapter trimming and quality filtering. These tools are often insufficiently fast as most are developed using high-level programming languages (e.g. Python and Java) and provide limited multi-threading support. Reading and loading data multiple times also renders preprocessing slow and I/O inefficient.We developed fastp as an ultra-fast FASTQ preprocessor with useful quality control and data-filtering features. It can perform quality control, adapter trimming, quality filtering, per-read quality pruning and many other operations with a single scan of the FASTQ data. This tool is developed in C++ and has multi-threading support. Based on our evaluation, fastp is 2–5 times faster than other FASTQ preprocessing tools such as Trimmomatic or Cutadapt despite performing far more operations than similar tools.The open-source code and corresponding instructions are available at https://github.com/OpenGene/fastp.","container-title":"Bioinformatics","DOI":"10.1093/bioinformatics/bty560","ISSN":"1367-4803","issue":"17","journalAbbreviation":"Bioinformatics","page":"i884-i890","source":"Silverchair","title":"fastp: an ultra-fast all-in-one FASTQ preprocessor","title-short":"fastp","volume":"34","author":[{"family":"Chen","given":"Shifu"},{"family":"Zhou","given":"Yanqing"},{"family":"Chen","given":"Yaru"},{"family":"Gu","given":"Jia"}],"issued":{"date-parts":[["2018",9,1]]}}}],"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(Chen et al. 2018)</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allowing no more than 40% of the final trimmed read bases to be below Q30. Primers were removed by trimming the first 18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of forward and reverse reads. For vertebrates and invertebrates respectively reads were tail cropped to a maximum length of 106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and 142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and reads shorter than 85bp and 100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were discarded. Sequence read pairs were merged into single reads using </w:t>
      </w:r>
      <w:proofErr w:type="spellStart"/>
      <w:r w:rsidRPr="009761E1">
        <w:rPr>
          <w:rFonts w:ascii="Times New Roman" w:eastAsia="Calibri" w:hAnsi="Times New Roman" w:cs="Times New Roman"/>
          <w:sz w:val="28"/>
          <w:szCs w:val="28"/>
        </w:rPr>
        <w:t>fastp</w:t>
      </w:r>
      <w:proofErr w:type="spellEnd"/>
      <w:r w:rsidRPr="009761E1">
        <w:rPr>
          <w:rFonts w:ascii="Times New Roman" w:eastAsia="Calibri" w:hAnsi="Times New Roman" w:cs="Times New Roman"/>
          <w:sz w:val="28"/>
          <w:szCs w:val="28"/>
        </w:rPr>
        <w:t xml:space="preserve">, provided there was a minimum overlap of 20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no more than 5% mismatches and no more than 5 mismatched bases between pairs. Only forward reads were kept from read pairs that failed to be merged. A final length filter removed any reads longer than 110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for vertebrates and 160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for invertebrates to ensure sequence lengths approximated the expected fragment size (~106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or ~ 142 </w:t>
      </w:r>
      <w:proofErr w:type="spellStart"/>
      <w:r w:rsidRPr="009761E1">
        <w:rPr>
          <w:rFonts w:ascii="Times New Roman" w:eastAsia="Calibri" w:hAnsi="Times New Roman" w:cs="Times New Roman"/>
          <w:sz w:val="28"/>
          <w:szCs w:val="28"/>
        </w:rPr>
        <w:t>bp</w:t>
      </w:r>
      <w:proofErr w:type="spellEnd"/>
      <w:r w:rsidRPr="009761E1">
        <w:rPr>
          <w:rFonts w:ascii="Times New Roman" w:eastAsia="Calibri" w:hAnsi="Times New Roman" w:cs="Times New Roman"/>
          <w:sz w:val="28"/>
          <w:szCs w:val="28"/>
        </w:rPr>
        <w:t xml:space="preserve"> respectively).</w:t>
      </w:r>
    </w:p>
    <w:p w:rsidR="003C3065" w:rsidRPr="009761E1" w:rsidRDefault="003C3065" w:rsidP="003C3065">
      <w:pPr>
        <w:spacing w:after="200"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Redundant sequences were removed by clustering at 100% read identity and length (--</w:t>
      </w:r>
      <w:proofErr w:type="spellStart"/>
      <w:r w:rsidRPr="009761E1">
        <w:rPr>
          <w:rFonts w:ascii="Times New Roman" w:eastAsia="Calibri" w:hAnsi="Times New Roman" w:cs="Times New Roman"/>
          <w:sz w:val="28"/>
          <w:szCs w:val="28"/>
        </w:rPr>
        <w:t>derep_fulllength</w:t>
      </w:r>
      <w:proofErr w:type="spellEnd"/>
      <w:r w:rsidRPr="009761E1">
        <w:rPr>
          <w:rFonts w:ascii="Times New Roman" w:eastAsia="Calibri" w:hAnsi="Times New Roman" w:cs="Times New Roman"/>
          <w:sz w:val="28"/>
          <w:szCs w:val="28"/>
        </w:rPr>
        <w:t xml:space="preserve">) in VSEARCH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{"citationID":"IAP0s8qg","properties":{"formattedCitation":"(Rognes et al. 2016)","plainCitation":"(Rognes et al. 2016)","noteIndex":0},"citationItems":[{"id":3931,"uris":["http://zotero.org/users/9749297/items/YINWRTXC"],"itemData":{"id":3931,"type":"article-journal","abstract":"BACKGROUND: VSEARCH is an open source and free of charge multithreaded 64-bit tool for processing and preparing metagenomics, genomics and population genomics nucleotide sequence data. It is designed as an alternative to the widely used USEARCH tool (Edgar, 2010) for which the source code is not publicly available, algorithm details are only rudimentarily described, and only a memory-confined 32-bit version is freely available for academic use.\nMETHODS: When searching nucleotide sequences, VSEARCH uses a fast heuristic based on words shared by the query and target sequences in order to quickly identify similar sequences, a similar strategy is probably used in USEARCH. VSEARCH then performs optimal global sequence alignment of the query against potential target sequences, using full dynamic programming instead of the seed-and-extend heuristic used by USEARCH. Pairwise alignments are computed in parallel using vectorisation and multiple threads.\nRESULTS: VSEARCH includes most commands for analysing nucleotide sequences available in USEARCH version 7 and several of those available in USEARCH version 8, including searching (exact or based on global alignment), clustering by similarity (using length pre-sorting, abundance pre-sorting or a user-defined order), chimera detection (reference-based or de novo), dereplication (full length or prefix), pairwise alignment, reverse complementation, sorting, and subsampling. VSEARCH also includes commands for FASTQ file processing, i.e., format detection, filtering, read quality statistics, and merging of paired reads. Furthermore, VSEARCH extends functionality with several new commands and improvements, including shuffling, rereplication, masking of low-complexity sequences with the well-known DUST algorithm, a choice among different similarity definitions, and FASTQ file format conversion. VSEARCH is here shown to be more accurate than USEARCH when performing searching, clustering, chimera detection and subsampling, while on a par with USEARCH for paired-ends read merging. VSEARCH is slower than USEARCH when performing clustering and chimera detection, but significantly faster when performing paired-end reads merging and dereplication. VSEARCH is available at https://github.com/torognes/vsearch under either the BSD 2-clause license or the GNU General Public License version 3.0.\nDISCUSSION: VSEARCH has been shown to be a fast, accurate and full-fledged alternative to USEARCH. A free and open-source versatile tool for sequence analysis is now available to the metagenomics community.","container-title":"PeerJ","DOI":"10.7717/peerj.2584","ISSN":"2167-8359","journalAbbreviation":"PeerJ","language":"eng","note":"PMID: 27781170\nPMCID: PMC5075697","page":"e2584","source":"PubMed","title":"VSEARCH: a versatile open source tool for metagenomics","title-short":"VSEARCH","volume":"4","author":[{"family":"Rognes","given":"Torbjørn"},{"family":"Flouri","given":"Tomáš"},{"family":"Nichols","given":"Ben"},{"family":"Quince","given":"Christopher"},{"family":"Mahé","given":"Frédéric"}],"issued":{"date-parts":[["2016"]]}}}],"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w:t>
      </w:r>
      <w:proofErr w:type="spellStart"/>
      <w:r w:rsidRPr="009761E1">
        <w:rPr>
          <w:rFonts w:ascii="Times New Roman" w:hAnsi="Times New Roman" w:cs="Times New Roman"/>
          <w:sz w:val="28"/>
          <w:szCs w:val="28"/>
        </w:rPr>
        <w:t>Rognes</w:t>
      </w:r>
      <w:proofErr w:type="spellEnd"/>
      <w:r w:rsidRPr="009761E1">
        <w:rPr>
          <w:rFonts w:ascii="Times New Roman" w:hAnsi="Times New Roman" w:cs="Times New Roman"/>
          <w:sz w:val="28"/>
          <w:szCs w:val="28"/>
        </w:rPr>
        <w:t xml:space="preserve"> et al. 2016)</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xml:space="preserve">. Clusters represented by less than three sequences were omitted from further processing. </w:t>
      </w:r>
      <w:r w:rsidRPr="009761E1">
        <w:rPr>
          <w:rFonts w:ascii="Times New Roman" w:eastAsia="Calibri" w:hAnsi="Times New Roman" w:cs="Times New Roman"/>
          <w:sz w:val="28"/>
          <w:szCs w:val="28"/>
        </w:rPr>
        <w:lastRenderedPageBreak/>
        <w:t>Reads were further clustered (--</w:t>
      </w:r>
      <w:proofErr w:type="spellStart"/>
      <w:r w:rsidRPr="009761E1">
        <w:rPr>
          <w:rFonts w:ascii="Times New Roman" w:eastAsia="Calibri" w:hAnsi="Times New Roman" w:cs="Times New Roman"/>
          <w:sz w:val="28"/>
          <w:szCs w:val="28"/>
        </w:rPr>
        <w:t>cluster_unoise</w:t>
      </w:r>
      <w:proofErr w:type="spellEnd"/>
      <w:r w:rsidRPr="009761E1">
        <w:rPr>
          <w:rFonts w:ascii="Times New Roman" w:eastAsia="Calibri" w:hAnsi="Times New Roman" w:cs="Times New Roman"/>
          <w:sz w:val="28"/>
          <w:szCs w:val="28"/>
        </w:rPr>
        <w:t>) to remove redundancies due to sequencing errors (retaining all cluster sizes). Retained sequences were screened for chimeric sequences with VSEARCH (--uchime3_denovo).</w:t>
      </w:r>
    </w:p>
    <w:p w:rsidR="003C3065" w:rsidRPr="009761E1" w:rsidRDefault="003C3065" w:rsidP="003C3065">
      <w:pPr>
        <w:spacing w:after="200" w:line="480" w:lineRule="auto"/>
        <w:ind w:firstLine="720"/>
        <w:rPr>
          <w:rFonts w:ascii="Times New Roman" w:eastAsia="Calibri" w:hAnsi="Times New Roman" w:cs="Times New Roman"/>
          <w:sz w:val="28"/>
          <w:szCs w:val="28"/>
        </w:rPr>
      </w:pPr>
      <w:r w:rsidRPr="009761E1">
        <w:rPr>
          <w:rFonts w:ascii="Times New Roman" w:eastAsia="Calibri" w:hAnsi="Times New Roman" w:cs="Times New Roman"/>
          <w:sz w:val="28"/>
          <w:szCs w:val="28"/>
        </w:rPr>
        <w:t xml:space="preserve">The final clustered, non-redundant query sequences were then compared against the reference database using BLAST </w:t>
      </w:r>
      <w:r w:rsidRPr="009761E1">
        <w:rPr>
          <w:rFonts w:ascii="Times New Roman" w:eastAsia="Calibri" w:hAnsi="Times New Roman" w:cs="Times New Roman"/>
          <w:sz w:val="28"/>
          <w:szCs w:val="28"/>
        </w:rPr>
        <w:fldChar w:fldCharType="begin"/>
      </w:r>
      <w:r w:rsidRPr="009761E1">
        <w:rPr>
          <w:rFonts w:ascii="Times New Roman" w:eastAsia="Calibri" w:hAnsi="Times New Roman" w:cs="Times New Roman"/>
          <w:sz w:val="28"/>
          <w:szCs w:val="28"/>
        </w:rPr>
        <w:instrText xml:space="preserve"> ADDIN ZOTERO_ITEM CSL_CITATION {"citationID":"JScJnmkO","properties":{"formattedCitation":"(Zhang et al. 2000)","plainCitation":"(Zhang et al. 2000)","noteIndex":0},"citationItems":[{"id":3960,"uris":["http://zotero.org/users/9749297/items/TR793VZJ"],"itemData":{"id":3960,"type":"article-journal","abstract":"For aligning DNA sequences that differ only by sequencing errors, or by equivalent errors from other sources, a greedy algorithm can be much faster than traditional dynamic programming approaches and yet produce an alignment that is guaranteed to be theoretically optimal. We introduce a new greedy alignment algorithm with particularly good performance and show that it computes the same alignment as does a certain dynamic programming algorithm, while executing over 10 times faster on appropriate data. An implementation of this algorithm is currently used in a program that assembles the UniGene database at the National Center for Biotechnology Information.","container-title":"Journal of Computational Biology","DOI":"10.1089/10665270050081478","issue":"1-2","note":"publisher: Mary Ann Liebert, Inc., publishers","page":"203-214","source":"liebertpub.com (Atypon)","title":"A Greedy Algorithm for Aligning DNA Sequences","volume":"7","author":[{"family":"Zhang","given":"Zheng"},{"family":"Schwartz","given":"Scott"},{"family":"Wagner","given":"Lukas"},{"family":"Miller","given":"Webb"}],"issued":{"date-parts":[["2000",2]]}}}],"schema":"https://github.com/citation-style-language/schema/raw/master/csl-citation.json"} </w:instrText>
      </w:r>
      <w:r w:rsidRPr="009761E1">
        <w:rPr>
          <w:rFonts w:ascii="Times New Roman" w:eastAsia="Calibri" w:hAnsi="Times New Roman" w:cs="Times New Roman"/>
          <w:sz w:val="28"/>
          <w:szCs w:val="28"/>
        </w:rPr>
        <w:fldChar w:fldCharType="separate"/>
      </w:r>
      <w:r w:rsidRPr="009761E1">
        <w:rPr>
          <w:rFonts w:ascii="Times New Roman" w:hAnsi="Times New Roman" w:cs="Times New Roman"/>
          <w:sz w:val="28"/>
          <w:szCs w:val="28"/>
        </w:rPr>
        <w:t>(Zhang et al. 2000)</w:t>
      </w:r>
      <w:r w:rsidRPr="009761E1">
        <w:rPr>
          <w:rFonts w:ascii="Times New Roman" w:eastAsia="Calibri" w:hAnsi="Times New Roman" w:cs="Times New Roman"/>
          <w:sz w:val="28"/>
          <w:szCs w:val="28"/>
        </w:rPr>
        <w:fldChar w:fldCharType="end"/>
      </w:r>
      <w:r w:rsidRPr="009761E1">
        <w:rPr>
          <w:rFonts w:ascii="Times New Roman" w:eastAsia="Calibri" w:hAnsi="Times New Roman" w:cs="Times New Roman"/>
          <w:sz w:val="28"/>
          <w:szCs w:val="28"/>
        </w:rPr>
        <w:t>. Taxonomic identity was assigned using a custom majority lowest common ancestor (MLCA) approach based on the top 2% query BLAST hit bit-scores, with at least 90% query coverage and a minimum BLAST hit identity of 98% for vertebrates and 95% for invertebrates. Of these filtered hits, 80% of unique taxonomic lineages therein had to agree at descending taxonomic rank (domain, phylum, class, order, family, genus, species) for it to be assigned a taxonomic identity. If a query had a single BLAST hit it was assigned directly to this taxon only if it met all previous MLCA criteria. Read counts assigned to each taxonomic identity were calculated from query cluster sizes. Lowest taxonomic rank was to species and assignments higher than order were classed as unassigned. For vertebrates, reads from human, positive control (cichlid), unassigned, domestic species (</w:t>
      </w:r>
      <w:proofErr w:type="spellStart"/>
      <w:r w:rsidRPr="009761E1">
        <w:rPr>
          <w:rFonts w:ascii="Times New Roman" w:eastAsia="Calibri" w:hAnsi="Times New Roman" w:cs="Times New Roman"/>
          <w:i/>
          <w:iCs/>
          <w:sz w:val="28"/>
          <w:szCs w:val="28"/>
        </w:rPr>
        <w:t>Canis</w:t>
      </w:r>
      <w:proofErr w:type="spellEnd"/>
      <w:r w:rsidRPr="009761E1">
        <w:rPr>
          <w:rFonts w:ascii="Times New Roman" w:eastAsia="Calibri" w:hAnsi="Times New Roman" w:cs="Times New Roman"/>
          <w:sz w:val="28"/>
          <w:szCs w:val="28"/>
        </w:rPr>
        <w:t xml:space="preserve"> spp.</w:t>
      </w:r>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Felis</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spp.</w:t>
      </w:r>
      <w:r w:rsidRPr="009761E1">
        <w:rPr>
          <w:rFonts w:ascii="Times New Roman" w:eastAsia="Calibri" w:hAnsi="Times New Roman" w:cs="Times New Roman"/>
          <w:i/>
          <w:iCs/>
          <w:sz w:val="28"/>
          <w:szCs w:val="28"/>
        </w:rPr>
        <w:t xml:space="preserve">, Sus </w:t>
      </w:r>
      <w:proofErr w:type="spellStart"/>
      <w:r w:rsidRPr="009761E1">
        <w:rPr>
          <w:rFonts w:ascii="Times New Roman" w:eastAsia="Calibri" w:hAnsi="Times New Roman" w:cs="Times New Roman"/>
          <w:i/>
          <w:iCs/>
          <w:sz w:val="28"/>
          <w:szCs w:val="28"/>
        </w:rPr>
        <w:t>scrofa</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Bos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taurus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Meleagris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gallopavo</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 xml:space="preserve">and species that have not been previously recorded in the study area </w:t>
      </w:r>
      <w:r w:rsidRPr="009761E1">
        <w:rPr>
          <w:rFonts w:ascii="Times New Roman" w:eastAsia="Calibri" w:hAnsi="Times New Roman" w:cs="Times New Roman"/>
          <w:i/>
          <w:iCs/>
          <w:sz w:val="28"/>
          <w:szCs w:val="28"/>
        </w:rPr>
        <w:t>(</w:t>
      </w:r>
      <w:proofErr w:type="spellStart"/>
      <w:r w:rsidRPr="009761E1">
        <w:rPr>
          <w:rFonts w:ascii="Times New Roman" w:eastAsia="Calibri" w:hAnsi="Times New Roman" w:cs="Times New Roman"/>
          <w:i/>
          <w:iCs/>
          <w:sz w:val="28"/>
          <w:szCs w:val="28"/>
        </w:rPr>
        <w:t>Alburnus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alburnus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Cobitis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taenia</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Cottus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gobio</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Cyprinus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carpio</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Gasterosteus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aculeatus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Gobio</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gobio</w:t>
      </w:r>
      <w:proofErr w:type="spellEnd"/>
      <w:r w:rsidRPr="009761E1">
        <w:rPr>
          <w:rFonts w:ascii="Times New Roman" w:eastAsia="Calibri" w:hAnsi="Times New Roman" w:cs="Times New Roman"/>
          <w:i/>
          <w:iCs/>
          <w:sz w:val="28"/>
          <w:szCs w:val="28"/>
        </w:rPr>
        <w:t xml:space="preserve">, Lota </w:t>
      </w:r>
      <w:proofErr w:type="spellStart"/>
      <w:r w:rsidRPr="009761E1">
        <w:rPr>
          <w:rFonts w:ascii="Times New Roman" w:eastAsia="Calibri" w:hAnsi="Times New Roman" w:cs="Times New Roman"/>
          <w:i/>
          <w:iCs/>
          <w:sz w:val="28"/>
          <w:szCs w:val="28"/>
        </w:rPr>
        <w:t>lota</w:t>
      </w:r>
      <w:proofErr w:type="spellEnd"/>
      <w:r w:rsidRPr="009761E1">
        <w:rPr>
          <w:rFonts w:ascii="Times New Roman" w:eastAsia="Calibri" w:hAnsi="Times New Roman" w:cs="Times New Roman"/>
          <w:i/>
          <w:iCs/>
          <w:sz w:val="28"/>
          <w:szCs w:val="28"/>
        </w:rPr>
        <w:t xml:space="preserve">, Microtus </w:t>
      </w:r>
      <w:proofErr w:type="spellStart"/>
      <w:r w:rsidRPr="009761E1">
        <w:rPr>
          <w:rFonts w:ascii="Times New Roman" w:eastAsia="Calibri" w:hAnsi="Times New Roman" w:cs="Times New Roman"/>
          <w:i/>
          <w:iCs/>
          <w:sz w:val="28"/>
          <w:szCs w:val="28"/>
        </w:rPr>
        <w:t>rossiaemeridionalis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Pungitius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pungitius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Rhodeus</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amarus</w:t>
      </w:r>
      <w:proofErr w:type="spellEnd"/>
      <w:r w:rsidRPr="009761E1">
        <w:rPr>
          <w:rFonts w:ascii="Times New Roman" w:eastAsia="Calibri" w:hAnsi="Times New Roman" w:cs="Times New Roman"/>
          <w:i/>
          <w:iCs/>
          <w:sz w:val="28"/>
          <w:szCs w:val="28"/>
        </w:rPr>
        <w:t xml:space="preserve">, Salmo </w:t>
      </w:r>
      <w:proofErr w:type="spellStart"/>
      <w:r w:rsidRPr="009761E1">
        <w:rPr>
          <w:rFonts w:ascii="Times New Roman" w:eastAsia="Calibri" w:hAnsi="Times New Roman" w:cs="Times New Roman"/>
          <w:i/>
          <w:iCs/>
          <w:sz w:val="28"/>
          <w:szCs w:val="28"/>
        </w:rPr>
        <w:t>salar</w:t>
      </w:r>
      <w:proofErr w:type="spellEnd"/>
      <w:r w:rsidRPr="009761E1">
        <w:rPr>
          <w:rFonts w:ascii="Times New Roman" w:eastAsia="Calibri" w:hAnsi="Times New Roman" w:cs="Times New Roman"/>
          <w:i/>
          <w:iCs/>
          <w:sz w:val="28"/>
          <w:szCs w:val="28"/>
        </w:rPr>
        <w:t xml:space="preserve">, Salmo </w:t>
      </w:r>
      <w:proofErr w:type="spellStart"/>
      <w:r w:rsidRPr="009761E1">
        <w:rPr>
          <w:rFonts w:ascii="Times New Roman" w:eastAsia="Calibri" w:hAnsi="Times New Roman" w:cs="Times New Roman"/>
          <w:i/>
          <w:iCs/>
          <w:sz w:val="28"/>
          <w:szCs w:val="28"/>
        </w:rPr>
        <w:t>trutta</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 xml:space="preserve">were removed </w:t>
      </w:r>
      <w:r w:rsidRPr="009761E1">
        <w:rPr>
          <w:rFonts w:ascii="Times New Roman" w:eastAsia="Calibri" w:hAnsi="Times New Roman" w:cs="Times New Roman"/>
          <w:sz w:val="28"/>
          <w:szCs w:val="28"/>
        </w:rPr>
        <w:lastRenderedPageBreak/>
        <w:t xml:space="preserve">from the dataset for downstream analyses. The genera </w:t>
      </w:r>
      <w:proofErr w:type="spellStart"/>
      <w:r w:rsidRPr="009761E1">
        <w:rPr>
          <w:rFonts w:ascii="Times New Roman" w:eastAsia="Calibri" w:hAnsi="Times New Roman" w:cs="Times New Roman"/>
          <w:i/>
          <w:iCs/>
          <w:sz w:val="28"/>
          <w:szCs w:val="28"/>
        </w:rPr>
        <w:t>Aythya</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 xml:space="preserve">and </w:t>
      </w:r>
      <w:proofErr w:type="spellStart"/>
      <w:r w:rsidRPr="009761E1">
        <w:rPr>
          <w:rFonts w:ascii="Times New Roman" w:eastAsia="Calibri" w:hAnsi="Times New Roman" w:cs="Times New Roman"/>
          <w:i/>
          <w:iCs/>
          <w:sz w:val="28"/>
          <w:szCs w:val="28"/>
        </w:rPr>
        <w:t>Mareca</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 xml:space="preserve">were assigned to </w:t>
      </w:r>
      <w:proofErr w:type="spellStart"/>
      <w:r w:rsidRPr="009761E1">
        <w:rPr>
          <w:rFonts w:ascii="Times New Roman" w:eastAsia="Calibri" w:hAnsi="Times New Roman" w:cs="Times New Roman"/>
          <w:sz w:val="28"/>
          <w:szCs w:val="28"/>
        </w:rPr>
        <w:t>Anatidae</w:t>
      </w:r>
      <w:proofErr w:type="spellEnd"/>
      <w:r w:rsidRPr="009761E1">
        <w:rPr>
          <w:rFonts w:ascii="Times New Roman" w:eastAsia="Calibri" w:hAnsi="Times New Roman" w:cs="Times New Roman"/>
          <w:sz w:val="28"/>
          <w:szCs w:val="28"/>
        </w:rPr>
        <w:t xml:space="preserve"> and </w:t>
      </w:r>
      <w:r w:rsidRPr="009761E1">
        <w:rPr>
          <w:rFonts w:ascii="Times New Roman" w:eastAsia="Calibri" w:hAnsi="Times New Roman" w:cs="Times New Roman"/>
          <w:i/>
          <w:iCs/>
          <w:sz w:val="28"/>
          <w:szCs w:val="28"/>
        </w:rPr>
        <w:t xml:space="preserve">Columba </w:t>
      </w:r>
      <w:proofErr w:type="spellStart"/>
      <w:r w:rsidRPr="009761E1">
        <w:rPr>
          <w:rFonts w:ascii="Times New Roman" w:eastAsia="Calibri" w:hAnsi="Times New Roman" w:cs="Times New Roman"/>
          <w:i/>
          <w:iCs/>
          <w:sz w:val="28"/>
          <w:szCs w:val="28"/>
        </w:rPr>
        <w:t>livia</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 xml:space="preserve">to </w:t>
      </w:r>
      <w:proofErr w:type="spellStart"/>
      <w:r w:rsidRPr="009761E1">
        <w:rPr>
          <w:rFonts w:ascii="Times New Roman" w:eastAsia="Calibri" w:hAnsi="Times New Roman" w:cs="Times New Roman"/>
          <w:sz w:val="28"/>
          <w:szCs w:val="28"/>
        </w:rPr>
        <w:t>Columbidae</w:t>
      </w:r>
      <w:proofErr w:type="spellEnd"/>
      <w:r w:rsidRPr="009761E1">
        <w:rPr>
          <w:rFonts w:ascii="Times New Roman" w:eastAsia="Calibri" w:hAnsi="Times New Roman" w:cs="Times New Roman"/>
          <w:sz w:val="28"/>
          <w:szCs w:val="28"/>
        </w:rPr>
        <w:t xml:space="preserve">. For invertebrates, unassigned and the positive </w:t>
      </w:r>
      <w:proofErr w:type="spellStart"/>
      <w:r w:rsidRPr="009761E1">
        <w:rPr>
          <w:rFonts w:ascii="Times New Roman" w:eastAsia="Calibri" w:hAnsi="Times New Roman" w:cs="Times New Roman"/>
          <w:i/>
          <w:iCs/>
          <w:sz w:val="28"/>
          <w:szCs w:val="28"/>
        </w:rPr>
        <w:t>Calliphora</w:t>
      </w:r>
      <w:proofErr w:type="spellEnd"/>
      <w:r w:rsidRPr="009761E1">
        <w:rPr>
          <w:rFonts w:ascii="Times New Roman" w:eastAsia="Calibri" w:hAnsi="Times New Roman" w:cs="Times New Roman"/>
          <w:i/>
          <w:iCs/>
          <w:sz w:val="28"/>
          <w:szCs w:val="28"/>
        </w:rPr>
        <w:t xml:space="preserve"> </w:t>
      </w:r>
      <w:proofErr w:type="spellStart"/>
      <w:r w:rsidRPr="009761E1">
        <w:rPr>
          <w:rFonts w:ascii="Times New Roman" w:eastAsia="Calibri" w:hAnsi="Times New Roman" w:cs="Times New Roman"/>
          <w:i/>
          <w:iCs/>
          <w:sz w:val="28"/>
          <w:szCs w:val="28"/>
        </w:rPr>
        <w:t>vicina</w:t>
      </w:r>
      <w:proofErr w:type="spellEnd"/>
      <w:r w:rsidRPr="009761E1">
        <w:rPr>
          <w:rFonts w:ascii="Times New Roman" w:eastAsia="Calibri" w:hAnsi="Times New Roman" w:cs="Times New Roman"/>
          <w:i/>
          <w:iCs/>
          <w:sz w:val="28"/>
          <w:szCs w:val="28"/>
        </w:rPr>
        <w:t xml:space="preserve"> </w:t>
      </w:r>
      <w:r w:rsidRPr="009761E1">
        <w:rPr>
          <w:rFonts w:ascii="Times New Roman" w:eastAsia="Calibri" w:hAnsi="Times New Roman" w:cs="Times New Roman"/>
          <w:sz w:val="28"/>
          <w:szCs w:val="28"/>
        </w:rPr>
        <w:t>were removed</w:t>
      </w:r>
      <w:r w:rsidRPr="009761E1">
        <w:rPr>
          <w:rFonts w:ascii="Times New Roman" w:eastAsia="Calibri" w:hAnsi="Times New Roman" w:cs="Times New Roman"/>
          <w:i/>
          <w:iCs/>
          <w:sz w:val="28"/>
          <w:szCs w:val="28"/>
        </w:rPr>
        <w:t>.</w:t>
      </w:r>
    </w:p>
    <w:p w:rsidR="003C3065" w:rsidRPr="009761E1" w:rsidRDefault="003C3065" w:rsidP="003C3065">
      <w:pPr>
        <w:spacing w:after="200" w:line="480" w:lineRule="auto"/>
        <w:ind w:firstLine="720"/>
        <w:rPr>
          <w:rFonts w:ascii="Times New Roman" w:eastAsia="Calibri" w:hAnsi="Times New Roman" w:cs="Times New Roman"/>
          <w:sz w:val="28"/>
          <w:szCs w:val="28"/>
        </w:rPr>
      </w:pPr>
    </w:p>
    <w:p w:rsidR="003C3065" w:rsidRPr="009761E1" w:rsidRDefault="003C3065" w:rsidP="003C3065">
      <w:pPr>
        <w:pStyle w:val="Heading2"/>
        <w:spacing w:line="480" w:lineRule="auto"/>
        <w:rPr>
          <w:rFonts w:ascii="Times New Roman" w:hAnsi="Times New Roman" w:cs="Times New Roman"/>
          <w:sz w:val="28"/>
          <w:szCs w:val="28"/>
        </w:rPr>
      </w:pPr>
      <w:proofErr w:type="spellStart"/>
      <w:proofErr w:type="gramStart"/>
      <w:r w:rsidRPr="009761E1">
        <w:rPr>
          <w:rFonts w:ascii="Times New Roman" w:hAnsi="Times New Roman" w:cs="Times New Roman"/>
          <w:sz w:val="28"/>
          <w:szCs w:val="28"/>
        </w:rPr>
        <w:t>eDNA</w:t>
      </w:r>
      <w:proofErr w:type="spellEnd"/>
      <w:proofErr w:type="gramEnd"/>
      <w:r w:rsidRPr="009761E1">
        <w:rPr>
          <w:rFonts w:ascii="Times New Roman" w:hAnsi="Times New Roman" w:cs="Times New Roman"/>
          <w:sz w:val="28"/>
          <w:szCs w:val="28"/>
        </w:rPr>
        <w:t xml:space="preserve"> raw data and quality control</w:t>
      </w:r>
    </w:p>
    <w:p w:rsidR="00BF4645" w:rsidRDefault="003C3065" w:rsidP="003C3065">
      <w:r w:rsidRPr="009761E1">
        <w:rPr>
          <w:rFonts w:ascii="Times New Roman" w:eastAsia="Calibri" w:hAnsi="Times New Roman" w:cs="Times New Roman"/>
          <w:sz w:val="28"/>
          <w:szCs w:val="28"/>
        </w:rPr>
        <w:t xml:space="preserve">For vertebrates, after </w:t>
      </w:r>
      <w:proofErr w:type="spellStart"/>
      <w:r w:rsidRPr="009761E1">
        <w:rPr>
          <w:rFonts w:ascii="Times New Roman" w:eastAsia="Calibri" w:hAnsi="Times New Roman" w:cs="Times New Roman"/>
          <w:sz w:val="28"/>
          <w:szCs w:val="28"/>
        </w:rPr>
        <w:t>demultiplexing</w:t>
      </w:r>
      <w:proofErr w:type="spellEnd"/>
      <w:r w:rsidRPr="009761E1">
        <w:rPr>
          <w:rFonts w:ascii="Times New Roman" w:eastAsia="Calibri" w:hAnsi="Times New Roman" w:cs="Times New Roman"/>
          <w:sz w:val="28"/>
          <w:szCs w:val="28"/>
        </w:rPr>
        <w:t xml:space="preserve"> to sample, raw data consisted of 21,540,228 paired end reads across all samples and controls. Following taxonomic assignment against our curated reference database, 16,729,221 reads remained. 53 OTUs were retained for the final dataset. After quality control steps including application of the contamination threshold and removal of non-target species, 175 samples remained, averaging 10,444 reads per sample.</w:t>
      </w:r>
      <w:r w:rsidRPr="009761E1">
        <w:rPr>
          <w:rFonts w:ascii="Times New Roman" w:hAnsi="Times New Roman" w:cs="Times New Roman"/>
          <w:sz w:val="28"/>
          <w:szCs w:val="28"/>
        </w:rPr>
        <w:br/>
      </w:r>
      <w:r w:rsidRPr="009761E1">
        <w:rPr>
          <w:rFonts w:ascii="Times New Roman" w:eastAsia="Calibri" w:hAnsi="Times New Roman" w:cs="Times New Roman"/>
          <w:sz w:val="28"/>
          <w:szCs w:val="28"/>
        </w:rPr>
        <w:t xml:space="preserve">For invertebrates, 14,818,440 reads remained after taxonomic assignment. A Limits </w:t>
      </w:r>
      <w:proofErr w:type="gramStart"/>
      <w:r w:rsidRPr="009761E1">
        <w:rPr>
          <w:rFonts w:ascii="Times New Roman" w:eastAsia="Calibri" w:hAnsi="Times New Roman" w:cs="Times New Roman"/>
          <w:sz w:val="28"/>
          <w:szCs w:val="28"/>
        </w:rPr>
        <w:t>Of</w:t>
      </w:r>
      <w:proofErr w:type="gramEnd"/>
      <w:r w:rsidRPr="009761E1">
        <w:rPr>
          <w:rFonts w:ascii="Times New Roman" w:eastAsia="Calibri" w:hAnsi="Times New Roman" w:cs="Times New Roman"/>
          <w:sz w:val="28"/>
          <w:szCs w:val="28"/>
        </w:rPr>
        <w:t xml:space="preserve"> Detection (LOD) approach was used to apply a sample-specific contaminate threshold of the mean plus standard deviation*3 of all reads from taxa detected in the Negative and Positive PCR controls (mean + SD*3). This framework was then adjusted for field and extraction controls to use the max (instead of mean) reads of any taxa found across these blanks (max+ SD*3). 177 samples remained, averaging 3216 reads per sample after thresholds were applied.</w:t>
      </w:r>
      <w:bookmarkStart w:id="1" w:name="_GoBack"/>
      <w:bookmarkEnd w:id="1"/>
    </w:p>
    <w:sectPr w:rsidR="00BF46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0F44"/>
    <w:multiLevelType w:val="hybridMultilevel"/>
    <w:tmpl w:val="9A1CD0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37F4C"/>
    <w:multiLevelType w:val="multilevel"/>
    <w:tmpl w:val="B9AC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D17ACD"/>
    <w:multiLevelType w:val="hybridMultilevel"/>
    <w:tmpl w:val="702478B8"/>
    <w:lvl w:ilvl="0" w:tplc="92D46DA2">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6C467971"/>
    <w:multiLevelType w:val="hybridMultilevel"/>
    <w:tmpl w:val="D2C45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C51C03"/>
    <w:multiLevelType w:val="hybridMultilevel"/>
    <w:tmpl w:val="CF3A7D4A"/>
    <w:lvl w:ilvl="0" w:tplc="0832D0E0">
      <w:start w:val="1"/>
      <w:numFmt w:val="bullet"/>
      <w:lvlText w:val="•"/>
      <w:lvlJc w:val="left"/>
      <w:pPr>
        <w:tabs>
          <w:tab w:val="num" w:pos="720"/>
        </w:tabs>
        <w:ind w:left="720" w:hanging="360"/>
      </w:pPr>
      <w:rPr>
        <w:rFonts w:ascii="Arial" w:hAnsi="Arial" w:hint="default"/>
      </w:rPr>
    </w:lvl>
    <w:lvl w:ilvl="1" w:tplc="CCE4EF8A">
      <w:start w:val="1"/>
      <w:numFmt w:val="bullet"/>
      <w:lvlText w:val="•"/>
      <w:lvlJc w:val="left"/>
      <w:pPr>
        <w:tabs>
          <w:tab w:val="num" w:pos="1440"/>
        </w:tabs>
        <w:ind w:left="1440" w:hanging="360"/>
      </w:pPr>
      <w:rPr>
        <w:rFonts w:ascii="Arial" w:hAnsi="Arial" w:hint="default"/>
      </w:rPr>
    </w:lvl>
    <w:lvl w:ilvl="2" w:tplc="2E3886E8" w:tentative="1">
      <w:start w:val="1"/>
      <w:numFmt w:val="bullet"/>
      <w:lvlText w:val="•"/>
      <w:lvlJc w:val="left"/>
      <w:pPr>
        <w:tabs>
          <w:tab w:val="num" w:pos="2160"/>
        </w:tabs>
        <w:ind w:left="2160" w:hanging="360"/>
      </w:pPr>
      <w:rPr>
        <w:rFonts w:ascii="Arial" w:hAnsi="Arial" w:hint="default"/>
      </w:rPr>
    </w:lvl>
    <w:lvl w:ilvl="3" w:tplc="E05487FA" w:tentative="1">
      <w:start w:val="1"/>
      <w:numFmt w:val="bullet"/>
      <w:lvlText w:val="•"/>
      <w:lvlJc w:val="left"/>
      <w:pPr>
        <w:tabs>
          <w:tab w:val="num" w:pos="2880"/>
        </w:tabs>
        <w:ind w:left="2880" w:hanging="360"/>
      </w:pPr>
      <w:rPr>
        <w:rFonts w:ascii="Arial" w:hAnsi="Arial" w:hint="default"/>
      </w:rPr>
    </w:lvl>
    <w:lvl w:ilvl="4" w:tplc="0ACA40C0" w:tentative="1">
      <w:start w:val="1"/>
      <w:numFmt w:val="bullet"/>
      <w:lvlText w:val="•"/>
      <w:lvlJc w:val="left"/>
      <w:pPr>
        <w:tabs>
          <w:tab w:val="num" w:pos="3600"/>
        </w:tabs>
        <w:ind w:left="3600" w:hanging="360"/>
      </w:pPr>
      <w:rPr>
        <w:rFonts w:ascii="Arial" w:hAnsi="Arial" w:hint="default"/>
      </w:rPr>
    </w:lvl>
    <w:lvl w:ilvl="5" w:tplc="96EC621A" w:tentative="1">
      <w:start w:val="1"/>
      <w:numFmt w:val="bullet"/>
      <w:lvlText w:val="•"/>
      <w:lvlJc w:val="left"/>
      <w:pPr>
        <w:tabs>
          <w:tab w:val="num" w:pos="4320"/>
        </w:tabs>
        <w:ind w:left="4320" w:hanging="360"/>
      </w:pPr>
      <w:rPr>
        <w:rFonts w:ascii="Arial" w:hAnsi="Arial" w:hint="default"/>
      </w:rPr>
    </w:lvl>
    <w:lvl w:ilvl="6" w:tplc="E5DCADAA" w:tentative="1">
      <w:start w:val="1"/>
      <w:numFmt w:val="bullet"/>
      <w:lvlText w:val="•"/>
      <w:lvlJc w:val="left"/>
      <w:pPr>
        <w:tabs>
          <w:tab w:val="num" w:pos="5040"/>
        </w:tabs>
        <w:ind w:left="5040" w:hanging="360"/>
      </w:pPr>
      <w:rPr>
        <w:rFonts w:ascii="Arial" w:hAnsi="Arial" w:hint="default"/>
      </w:rPr>
    </w:lvl>
    <w:lvl w:ilvl="7" w:tplc="C55C0440" w:tentative="1">
      <w:start w:val="1"/>
      <w:numFmt w:val="bullet"/>
      <w:lvlText w:val="•"/>
      <w:lvlJc w:val="left"/>
      <w:pPr>
        <w:tabs>
          <w:tab w:val="num" w:pos="5760"/>
        </w:tabs>
        <w:ind w:left="5760" w:hanging="360"/>
      </w:pPr>
      <w:rPr>
        <w:rFonts w:ascii="Arial" w:hAnsi="Arial" w:hint="default"/>
      </w:rPr>
    </w:lvl>
    <w:lvl w:ilvl="8" w:tplc="86866C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4DC62BE"/>
    <w:multiLevelType w:val="multilevel"/>
    <w:tmpl w:val="C638F7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7A1664DD"/>
    <w:multiLevelType w:val="hybridMultilevel"/>
    <w:tmpl w:val="956A7D9E"/>
    <w:lvl w:ilvl="0" w:tplc="83C6C24E">
      <w:start w:val="1"/>
      <w:numFmt w:val="bullet"/>
      <w:lvlText w:val="•"/>
      <w:lvlJc w:val="left"/>
      <w:pPr>
        <w:tabs>
          <w:tab w:val="num" w:pos="720"/>
        </w:tabs>
        <w:ind w:left="720" w:hanging="360"/>
      </w:pPr>
      <w:rPr>
        <w:rFonts w:ascii="Arial" w:hAnsi="Arial" w:hint="default"/>
      </w:rPr>
    </w:lvl>
    <w:lvl w:ilvl="1" w:tplc="B0CE43D4">
      <w:start w:val="1"/>
      <w:numFmt w:val="bullet"/>
      <w:lvlText w:val="•"/>
      <w:lvlJc w:val="left"/>
      <w:pPr>
        <w:tabs>
          <w:tab w:val="num" w:pos="1440"/>
        </w:tabs>
        <w:ind w:left="1440" w:hanging="360"/>
      </w:pPr>
      <w:rPr>
        <w:rFonts w:ascii="Arial" w:hAnsi="Arial" w:hint="default"/>
      </w:rPr>
    </w:lvl>
    <w:lvl w:ilvl="2" w:tplc="A920C804" w:tentative="1">
      <w:start w:val="1"/>
      <w:numFmt w:val="bullet"/>
      <w:lvlText w:val="•"/>
      <w:lvlJc w:val="left"/>
      <w:pPr>
        <w:tabs>
          <w:tab w:val="num" w:pos="2160"/>
        </w:tabs>
        <w:ind w:left="2160" w:hanging="360"/>
      </w:pPr>
      <w:rPr>
        <w:rFonts w:ascii="Arial" w:hAnsi="Arial" w:hint="default"/>
      </w:rPr>
    </w:lvl>
    <w:lvl w:ilvl="3" w:tplc="C55E5D30" w:tentative="1">
      <w:start w:val="1"/>
      <w:numFmt w:val="bullet"/>
      <w:lvlText w:val="•"/>
      <w:lvlJc w:val="left"/>
      <w:pPr>
        <w:tabs>
          <w:tab w:val="num" w:pos="2880"/>
        </w:tabs>
        <w:ind w:left="2880" w:hanging="360"/>
      </w:pPr>
      <w:rPr>
        <w:rFonts w:ascii="Arial" w:hAnsi="Arial" w:hint="default"/>
      </w:rPr>
    </w:lvl>
    <w:lvl w:ilvl="4" w:tplc="5C60598C" w:tentative="1">
      <w:start w:val="1"/>
      <w:numFmt w:val="bullet"/>
      <w:lvlText w:val="•"/>
      <w:lvlJc w:val="left"/>
      <w:pPr>
        <w:tabs>
          <w:tab w:val="num" w:pos="3600"/>
        </w:tabs>
        <w:ind w:left="3600" w:hanging="360"/>
      </w:pPr>
      <w:rPr>
        <w:rFonts w:ascii="Arial" w:hAnsi="Arial" w:hint="default"/>
      </w:rPr>
    </w:lvl>
    <w:lvl w:ilvl="5" w:tplc="B7DE7960" w:tentative="1">
      <w:start w:val="1"/>
      <w:numFmt w:val="bullet"/>
      <w:lvlText w:val="•"/>
      <w:lvlJc w:val="left"/>
      <w:pPr>
        <w:tabs>
          <w:tab w:val="num" w:pos="4320"/>
        </w:tabs>
        <w:ind w:left="4320" w:hanging="360"/>
      </w:pPr>
      <w:rPr>
        <w:rFonts w:ascii="Arial" w:hAnsi="Arial" w:hint="default"/>
      </w:rPr>
    </w:lvl>
    <w:lvl w:ilvl="6" w:tplc="ED6286AE" w:tentative="1">
      <w:start w:val="1"/>
      <w:numFmt w:val="bullet"/>
      <w:lvlText w:val="•"/>
      <w:lvlJc w:val="left"/>
      <w:pPr>
        <w:tabs>
          <w:tab w:val="num" w:pos="5040"/>
        </w:tabs>
        <w:ind w:left="5040" w:hanging="360"/>
      </w:pPr>
      <w:rPr>
        <w:rFonts w:ascii="Arial" w:hAnsi="Arial" w:hint="default"/>
      </w:rPr>
    </w:lvl>
    <w:lvl w:ilvl="7" w:tplc="2CF2C920" w:tentative="1">
      <w:start w:val="1"/>
      <w:numFmt w:val="bullet"/>
      <w:lvlText w:val="•"/>
      <w:lvlJc w:val="left"/>
      <w:pPr>
        <w:tabs>
          <w:tab w:val="num" w:pos="5760"/>
        </w:tabs>
        <w:ind w:left="5760" w:hanging="360"/>
      </w:pPr>
      <w:rPr>
        <w:rFonts w:ascii="Arial" w:hAnsi="Arial" w:hint="default"/>
      </w:rPr>
    </w:lvl>
    <w:lvl w:ilvl="8" w:tplc="69545B9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4"/>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065"/>
    <w:rsid w:val="00006A55"/>
    <w:rsid w:val="00010864"/>
    <w:rsid w:val="000313BE"/>
    <w:rsid w:val="00046F42"/>
    <w:rsid w:val="00061728"/>
    <w:rsid w:val="00072FB5"/>
    <w:rsid w:val="000961FC"/>
    <w:rsid w:val="000A74E7"/>
    <w:rsid w:val="000A7833"/>
    <w:rsid w:val="000B1B56"/>
    <w:rsid w:val="000B57BC"/>
    <w:rsid w:val="000C31D6"/>
    <w:rsid w:val="00102377"/>
    <w:rsid w:val="00123700"/>
    <w:rsid w:val="001517F3"/>
    <w:rsid w:val="001771FB"/>
    <w:rsid w:val="00197B65"/>
    <w:rsid w:val="001A1988"/>
    <w:rsid w:val="001B0C61"/>
    <w:rsid w:val="001B1432"/>
    <w:rsid w:val="001B4FB5"/>
    <w:rsid w:val="001B5B50"/>
    <w:rsid w:val="001C0015"/>
    <w:rsid w:val="0021203F"/>
    <w:rsid w:val="00212C75"/>
    <w:rsid w:val="00216791"/>
    <w:rsid w:val="00225E2C"/>
    <w:rsid w:val="002263FE"/>
    <w:rsid w:val="002312DD"/>
    <w:rsid w:val="0026107A"/>
    <w:rsid w:val="00267644"/>
    <w:rsid w:val="002740E0"/>
    <w:rsid w:val="00274C2E"/>
    <w:rsid w:val="00276FC6"/>
    <w:rsid w:val="0028079B"/>
    <w:rsid w:val="002862FD"/>
    <w:rsid w:val="00292FAC"/>
    <w:rsid w:val="00293237"/>
    <w:rsid w:val="00294969"/>
    <w:rsid w:val="002A5EC7"/>
    <w:rsid w:val="002B26EC"/>
    <w:rsid w:val="002D1328"/>
    <w:rsid w:val="002F22DB"/>
    <w:rsid w:val="002F7BB2"/>
    <w:rsid w:val="00306252"/>
    <w:rsid w:val="0032505B"/>
    <w:rsid w:val="003651D3"/>
    <w:rsid w:val="00372E72"/>
    <w:rsid w:val="00382302"/>
    <w:rsid w:val="003A2F1C"/>
    <w:rsid w:val="003A3A73"/>
    <w:rsid w:val="003B718C"/>
    <w:rsid w:val="003C3065"/>
    <w:rsid w:val="003C39EC"/>
    <w:rsid w:val="003D2527"/>
    <w:rsid w:val="003D46D0"/>
    <w:rsid w:val="003E388E"/>
    <w:rsid w:val="003E43DD"/>
    <w:rsid w:val="003F13A8"/>
    <w:rsid w:val="00401992"/>
    <w:rsid w:val="00405075"/>
    <w:rsid w:val="004125C9"/>
    <w:rsid w:val="00453D86"/>
    <w:rsid w:val="00463DA9"/>
    <w:rsid w:val="00474D13"/>
    <w:rsid w:val="004772D6"/>
    <w:rsid w:val="004935E1"/>
    <w:rsid w:val="004936B4"/>
    <w:rsid w:val="00495EA9"/>
    <w:rsid w:val="004F1D72"/>
    <w:rsid w:val="004F529E"/>
    <w:rsid w:val="0050024F"/>
    <w:rsid w:val="00501063"/>
    <w:rsid w:val="00506D11"/>
    <w:rsid w:val="00514B35"/>
    <w:rsid w:val="00540E4E"/>
    <w:rsid w:val="005448DF"/>
    <w:rsid w:val="0055325D"/>
    <w:rsid w:val="00556CE3"/>
    <w:rsid w:val="005747BC"/>
    <w:rsid w:val="00581C80"/>
    <w:rsid w:val="005926B7"/>
    <w:rsid w:val="005B5AF8"/>
    <w:rsid w:val="005D5BF1"/>
    <w:rsid w:val="005E5D3E"/>
    <w:rsid w:val="00612236"/>
    <w:rsid w:val="00613C21"/>
    <w:rsid w:val="00622B7D"/>
    <w:rsid w:val="00634A56"/>
    <w:rsid w:val="006677E6"/>
    <w:rsid w:val="00672AED"/>
    <w:rsid w:val="00680BFA"/>
    <w:rsid w:val="006917E7"/>
    <w:rsid w:val="00694332"/>
    <w:rsid w:val="00694545"/>
    <w:rsid w:val="006B78B3"/>
    <w:rsid w:val="00701665"/>
    <w:rsid w:val="007032EF"/>
    <w:rsid w:val="0070719B"/>
    <w:rsid w:val="007118B5"/>
    <w:rsid w:val="00720DAC"/>
    <w:rsid w:val="00726F3B"/>
    <w:rsid w:val="00750BBD"/>
    <w:rsid w:val="00765CE8"/>
    <w:rsid w:val="00776655"/>
    <w:rsid w:val="007960F6"/>
    <w:rsid w:val="007D77D9"/>
    <w:rsid w:val="007E2CBA"/>
    <w:rsid w:val="007F51B3"/>
    <w:rsid w:val="00806C0E"/>
    <w:rsid w:val="008078B6"/>
    <w:rsid w:val="008360DA"/>
    <w:rsid w:val="00843A0F"/>
    <w:rsid w:val="00855002"/>
    <w:rsid w:val="008561E9"/>
    <w:rsid w:val="00865FBC"/>
    <w:rsid w:val="00871EF2"/>
    <w:rsid w:val="00875C9A"/>
    <w:rsid w:val="00876540"/>
    <w:rsid w:val="00877F8A"/>
    <w:rsid w:val="00880ED7"/>
    <w:rsid w:val="008813E0"/>
    <w:rsid w:val="00887CA7"/>
    <w:rsid w:val="008F0646"/>
    <w:rsid w:val="009137F4"/>
    <w:rsid w:val="00927030"/>
    <w:rsid w:val="009427E5"/>
    <w:rsid w:val="009934B9"/>
    <w:rsid w:val="0099422E"/>
    <w:rsid w:val="009A2453"/>
    <w:rsid w:val="009B734E"/>
    <w:rsid w:val="009C5183"/>
    <w:rsid w:val="009D3DB8"/>
    <w:rsid w:val="009E26F1"/>
    <w:rsid w:val="009F22AA"/>
    <w:rsid w:val="00A12BD5"/>
    <w:rsid w:val="00A2274F"/>
    <w:rsid w:val="00A3538C"/>
    <w:rsid w:val="00A52E48"/>
    <w:rsid w:val="00A65CEB"/>
    <w:rsid w:val="00A7293B"/>
    <w:rsid w:val="00A73A57"/>
    <w:rsid w:val="00A94A65"/>
    <w:rsid w:val="00AA6E46"/>
    <w:rsid w:val="00AB28C6"/>
    <w:rsid w:val="00AB582E"/>
    <w:rsid w:val="00AB67F1"/>
    <w:rsid w:val="00AC6240"/>
    <w:rsid w:val="00AC6F11"/>
    <w:rsid w:val="00AD7693"/>
    <w:rsid w:val="00B00D21"/>
    <w:rsid w:val="00B035AB"/>
    <w:rsid w:val="00B10F43"/>
    <w:rsid w:val="00B22973"/>
    <w:rsid w:val="00B37895"/>
    <w:rsid w:val="00B555C2"/>
    <w:rsid w:val="00B92732"/>
    <w:rsid w:val="00B92C70"/>
    <w:rsid w:val="00BA6E72"/>
    <w:rsid w:val="00BB4D4C"/>
    <w:rsid w:val="00BD7648"/>
    <w:rsid w:val="00BE00AE"/>
    <w:rsid w:val="00BF4645"/>
    <w:rsid w:val="00CD141A"/>
    <w:rsid w:val="00CD343B"/>
    <w:rsid w:val="00CF37D8"/>
    <w:rsid w:val="00D2207F"/>
    <w:rsid w:val="00D2430A"/>
    <w:rsid w:val="00D54BE4"/>
    <w:rsid w:val="00D55762"/>
    <w:rsid w:val="00D8637E"/>
    <w:rsid w:val="00D93851"/>
    <w:rsid w:val="00D96E3A"/>
    <w:rsid w:val="00DD6491"/>
    <w:rsid w:val="00DE2A0C"/>
    <w:rsid w:val="00E14C65"/>
    <w:rsid w:val="00E206F7"/>
    <w:rsid w:val="00E45432"/>
    <w:rsid w:val="00EA03DD"/>
    <w:rsid w:val="00EA0F85"/>
    <w:rsid w:val="00EA7729"/>
    <w:rsid w:val="00EA7FB8"/>
    <w:rsid w:val="00EB14D1"/>
    <w:rsid w:val="00EC5F97"/>
    <w:rsid w:val="00F2514E"/>
    <w:rsid w:val="00F42E0C"/>
    <w:rsid w:val="00F448A0"/>
    <w:rsid w:val="00F50FAA"/>
    <w:rsid w:val="00F57400"/>
    <w:rsid w:val="00F645C2"/>
    <w:rsid w:val="00F81B94"/>
    <w:rsid w:val="00F97F22"/>
    <w:rsid w:val="00FC182C"/>
    <w:rsid w:val="00FF0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CEF49-1848-4412-BF3A-24E17273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C3065"/>
    <w:pPr>
      <w:spacing w:before="120" w:after="120" w:line="240" w:lineRule="auto"/>
      <w:outlineLvl w:val="0"/>
    </w:pPr>
    <w:rPr>
      <w:b/>
      <w:bCs/>
      <w:sz w:val="24"/>
      <w:szCs w:val="24"/>
      <w:lang w:val="en-GB"/>
    </w:rPr>
  </w:style>
  <w:style w:type="paragraph" w:styleId="Heading2">
    <w:name w:val="heading 2"/>
    <w:basedOn w:val="Normal"/>
    <w:next w:val="Normal"/>
    <w:link w:val="Heading2Char"/>
    <w:uiPriority w:val="9"/>
    <w:unhideWhenUsed/>
    <w:qFormat/>
    <w:rsid w:val="003C3065"/>
    <w:pPr>
      <w:spacing w:before="120" w:after="120" w:line="240" w:lineRule="auto"/>
      <w:outlineLvl w:val="1"/>
    </w:pPr>
    <w:rPr>
      <w:i/>
      <w:iCs/>
      <w:sz w:val="24"/>
      <w:szCs w:val="24"/>
      <w:lang w:val="en-GB"/>
    </w:rPr>
  </w:style>
  <w:style w:type="paragraph" w:styleId="Heading3">
    <w:name w:val="heading 3"/>
    <w:basedOn w:val="Normal"/>
    <w:next w:val="Normal"/>
    <w:link w:val="Heading3Char"/>
    <w:uiPriority w:val="9"/>
    <w:unhideWhenUsed/>
    <w:qFormat/>
    <w:rsid w:val="003C3065"/>
    <w:pPr>
      <w:spacing w:before="240" w:after="240" w:line="480" w:lineRule="auto"/>
      <w:ind w:firstLine="720"/>
      <w:outlineLvl w:val="2"/>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065"/>
    <w:rPr>
      <w:b/>
      <w:bCs/>
      <w:sz w:val="24"/>
      <w:szCs w:val="24"/>
      <w:lang w:val="en-GB"/>
    </w:rPr>
  </w:style>
  <w:style w:type="character" w:customStyle="1" w:styleId="Heading2Char">
    <w:name w:val="Heading 2 Char"/>
    <w:basedOn w:val="DefaultParagraphFont"/>
    <w:link w:val="Heading2"/>
    <w:uiPriority w:val="9"/>
    <w:rsid w:val="003C3065"/>
    <w:rPr>
      <w:i/>
      <w:iCs/>
      <w:sz w:val="24"/>
      <w:szCs w:val="24"/>
      <w:lang w:val="en-GB"/>
    </w:rPr>
  </w:style>
  <w:style w:type="character" w:customStyle="1" w:styleId="Heading3Char">
    <w:name w:val="Heading 3 Char"/>
    <w:basedOn w:val="DefaultParagraphFont"/>
    <w:link w:val="Heading3"/>
    <w:uiPriority w:val="9"/>
    <w:rsid w:val="003C3065"/>
    <w:rPr>
      <w:sz w:val="24"/>
      <w:szCs w:val="24"/>
      <w:lang w:val="en-GB"/>
    </w:rPr>
  </w:style>
  <w:style w:type="character" w:styleId="Hyperlink">
    <w:name w:val="Hyperlink"/>
    <w:basedOn w:val="DefaultParagraphFont"/>
    <w:uiPriority w:val="99"/>
    <w:unhideWhenUsed/>
    <w:rsid w:val="003C3065"/>
    <w:rPr>
      <w:color w:val="0563C1" w:themeColor="hyperlink"/>
      <w:u w:val="single"/>
    </w:rPr>
  </w:style>
  <w:style w:type="character" w:customStyle="1" w:styleId="UnresolvedMention">
    <w:name w:val="Unresolved Mention"/>
    <w:basedOn w:val="DefaultParagraphFont"/>
    <w:uiPriority w:val="99"/>
    <w:rsid w:val="003C3065"/>
    <w:rPr>
      <w:color w:val="605E5C"/>
      <w:shd w:val="clear" w:color="auto" w:fill="E1DFDD"/>
    </w:rPr>
  </w:style>
  <w:style w:type="paragraph" w:styleId="ListParagraph">
    <w:name w:val="List Paragraph"/>
    <w:basedOn w:val="Normal"/>
    <w:uiPriority w:val="34"/>
    <w:qFormat/>
    <w:rsid w:val="003C3065"/>
    <w:pPr>
      <w:spacing w:after="0" w:line="240" w:lineRule="auto"/>
      <w:ind w:left="720"/>
      <w:contextualSpacing/>
    </w:pPr>
    <w:rPr>
      <w:sz w:val="24"/>
      <w:szCs w:val="24"/>
      <w:lang w:val="en-GB"/>
    </w:rPr>
  </w:style>
  <w:style w:type="character" w:styleId="LineNumber">
    <w:name w:val="line number"/>
    <w:basedOn w:val="DefaultParagraphFont"/>
    <w:uiPriority w:val="99"/>
    <w:semiHidden/>
    <w:unhideWhenUsed/>
    <w:rsid w:val="003C3065"/>
  </w:style>
  <w:style w:type="paragraph" w:styleId="Bibliography">
    <w:name w:val="Bibliography"/>
    <w:basedOn w:val="Normal"/>
    <w:next w:val="Normal"/>
    <w:uiPriority w:val="37"/>
    <w:unhideWhenUsed/>
    <w:rsid w:val="003C3065"/>
    <w:pPr>
      <w:spacing w:after="240" w:line="240" w:lineRule="auto"/>
      <w:ind w:left="720" w:hanging="720"/>
    </w:pPr>
    <w:rPr>
      <w:sz w:val="24"/>
      <w:szCs w:val="24"/>
      <w:lang w:val="en-GB"/>
    </w:rPr>
  </w:style>
  <w:style w:type="table" w:styleId="TableGrid">
    <w:name w:val="Table Grid"/>
    <w:basedOn w:val="TableNormal"/>
    <w:uiPriority w:val="39"/>
    <w:rsid w:val="003C306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C3065"/>
    <w:rPr>
      <w:sz w:val="16"/>
      <w:szCs w:val="16"/>
    </w:rPr>
  </w:style>
  <w:style w:type="paragraph" w:styleId="CommentText">
    <w:name w:val="annotation text"/>
    <w:basedOn w:val="Normal"/>
    <w:link w:val="CommentTextChar"/>
    <w:uiPriority w:val="99"/>
    <w:semiHidden/>
    <w:unhideWhenUsed/>
    <w:rsid w:val="003C3065"/>
    <w:pPr>
      <w:spacing w:after="0" w:line="240" w:lineRule="auto"/>
    </w:pPr>
    <w:rPr>
      <w:sz w:val="20"/>
      <w:szCs w:val="20"/>
      <w:lang w:val="en-GB"/>
    </w:rPr>
  </w:style>
  <w:style w:type="character" w:customStyle="1" w:styleId="CommentTextChar">
    <w:name w:val="Comment Text Char"/>
    <w:basedOn w:val="DefaultParagraphFont"/>
    <w:link w:val="CommentText"/>
    <w:uiPriority w:val="99"/>
    <w:semiHidden/>
    <w:rsid w:val="003C3065"/>
    <w:rPr>
      <w:sz w:val="20"/>
      <w:szCs w:val="20"/>
      <w:lang w:val="en-GB"/>
    </w:rPr>
  </w:style>
  <w:style w:type="paragraph" w:styleId="CommentSubject">
    <w:name w:val="annotation subject"/>
    <w:basedOn w:val="CommentText"/>
    <w:next w:val="CommentText"/>
    <w:link w:val="CommentSubjectChar"/>
    <w:uiPriority w:val="99"/>
    <w:semiHidden/>
    <w:unhideWhenUsed/>
    <w:rsid w:val="003C3065"/>
    <w:rPr>
      <w:b/>
      <w:bCs/>
    </w:rPr>
  </w:style>
  <w:style w:type="character" w:customStyle="1" w:styleId="CommentSubjectChar">
    <w:name w:val="Comment Subject Char"/>
    <w:basedOn w:val="CommentTextChar"/>
    <w:link w:val="CommentSubject"/>
    <w:uiPriority w:val="99"/>
    <w:semiHidden/>
    <w:rsid w:val="003C3065"/>
    <w:rPr>
      <w:b/>
      <w:bCs/>
      <w:sz w:val="20"/>
      <w:szCs w:val="20"/>
      <w:lang w:val="en-GB"/>
    </w:rPr>
  </w:style>
  <w:style w:type="character" w:styleId="FollowedHyperlink">
    <w:name w:val="FollowedHyperlink"/>
    <w:basedOn w:val="DefaultParagraphFont"/>
    <w:uiPriority w:val="99"/>
    <w:semiHidden/>
    <w:unhideWhenUsed/>
    <w:rsid w:val="003C3065"/>
    <w:rPr>
      <w:color w:val="954F72" w:themeColor="followedHyperlink"/>
      <w:u w:val="single"/>
    </w:rPr>
  </w:style>
  <w:style w:type="paragraph" w:styleId="Caption">
    <w:name w:val="caption"/>
    <w:basedOn w:val="Normal"/>
    <w:next w:val="Normal"/>
    <w:uiPriority w:val="35"/>
    <w:semiHidden/>
    <w:unhideWhenUsed/>
    <w:qFormat/>
    <w:rsid w:val="003C3065"/>
    <w:pPr>
      <w:spacing w:after="200" w:line="240" w:lineRule="auto"/>
    </w:pPr>
    <w:rPr>
      <w:i/>
      <w:iCs/>
      <w:color w:val="44546A" w:themeColor="text2"/>
      <w:sz w:val="18"/>
      <w:szCs w:val="18"/>
      <w:lang w:val="en-GB"/>
    </w:rPr>
  </w:style>
  <w:style w:type="character" w:customStyle="1" w:styleId="identifier">
    <w:name w:val="identifier"/>
    <w:basedOn w:val="DefaultParagraphFont"/>
    <w:rsid w:val="003C3065"/>
  </w:style>
  <w:style w:type="character" w:customStyle="1" w:styleId="paren">
    <w:name w:val="paren"/>
    <w:basedOn w:val="DefaultParagraphFont"/>
    <w:rsid w:val="003C3065"/>
  </w:style>
  <w:style w:type="character" w:customStyle="1" w:styleId="operator">
    <w:name w:val="operator"/>
    <w:basedOn w:val="DefaultParagraphFont"/>
    <w:rsid w:val="003C3065"/>
  </w:style>
  <w:style w:type="character" w:customStyle="1" w:styleId="string">
    <w:name w:val="string"/>
    <w:basedOn w:val="DefaultParagraphFont"/>
    <w:rsid w:val="003C3065"/>
  </w:style>
  <w:style w:type="character" w:customStyle="1" w:styleId="Mention">
    <w:name w:val="Mention"/>
    <w:basedOn w:val="DefaultParagraphFont"/>
    <w:uiPriority w:val="99"/>
    <w:unhideWhenUsed/>
    <w:rsid w:val="003C3065"/>
    <w:rPr>
      <w:color w:val="2B579A"/>
      <w:shd w:val="clear" w:color="auto" w:fill="E1DFDD"/>
    </w:rPr>
  </w:style>
  <w:style w:type="paragraph" w:styleId="NormalWeb">
    <w:name w:val="Normal (Web)"/>
    <w:basedOn w:val="Normal"/>
    <w:uiPriority w:val="99"/>
    <w:semiHidden/>
    <w:unhideWhenUsed/>
    <w:rsid w:val="003C3065"/>
    <w:pPr>
      <w:spacing w:after="0" w:line="240" w:lineRule="auto"/>
    </w:pPr>
    <w:rPr>
      <w:rFonts w:ascii="Times New Roman" w:hAnsi="Times New Roman" w:cs="Times New Roman"/>
      <w:sz w:val="24"/>
      <w:szCs w:val="24"/>
      <w:lang w:val="en-GB"/>
    </w:rPr>
  </w:style>
  <w:style w:type="paragraph" w:customStyle="1" w:styleId="msonormal0">
    <w:name w:val="msonormal"/>
    <w:basedOn w:val="Normal"/>
    <w:rsid w:val="003C306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3C3065"/>
    <w:pPr>
      <w:spacing w:after="0" w:line="240" w:lineRule="auto"/>
    </w:pPr>
    <w:rPr>
      <w:sz w:val="24"/>
      <w:szCs w:val="24"/>
      <w:lang w:val="en-GB"/>
    </w:rPr>
  </w:style>
  <w:style w:type="paragraph" w:styleId="Footer">
    <w:name w:val="footer"/>
    <w:basedOn w:val="Normal"/>
    <w:link w:val="FooterChar"/>
    <w:uiPriority w:val="99"/>
    <w:unhideWhenUsed/>
    <w:rsid w:val="003C3065"/>
    <w:pPr>
      <w:tabs>
        <w:tab w:val="center" w:pos="4513"/>
        <w:tab w:val="right" w:pos="9026"/>
      </w:tabs>
      <w:spacing w:after="0" w:line="240" w:lineRule="auto"/>
    </w:pPr>
    <w:rPr>
      <w:sz w:val="24"/>
      <w:szCs w:val="24"/>
      <w:lang w:val="en-GB"/>
    </w:rPr>
  </w:style>
  <w:style w:type="character" w:customStyle="1" w:styleId="FooterChar">
    <w:name w:val="Footer Char"/>
    <w:basedOn w:val="DefaultParagraphFont"/>
    <w:link w:val="Footer"/>
    <w:uiPriority w:val="99"/>
    <w:rsid w:val="003C3065"/>
    <w:rPr>
      <w:sz w:val="24"/>
      <w:szCs w:val="24"/>
      <w:lang w:val="en-GB"/>
    </w:rPr>
  </w:style>
  <w:style w:type="character" w:styleId="PageNumber">
    <w:name w:val="page number"/>
    <w:basedOn w:val="DefaultParagraphFont"/>
    <w:uiPriority w:val="99"/>
    <w:semiHidden/>
    <w:unhideWhenUsed/>
    <w:rsid w:val="003C3065"/>
  </w:style>
  <w:style w:type="paragraph" w:styleId="Header">
    <w:name w:val="header"/>
    <w:basedOn w:val="Normal"/>
    <w:link w:val="HeaderChar"/>
    <w:uiPriority w:val="99"/>
    <w:unhideWhenUsed/>
    <w:rsid w:val="003C3065"/>
    <w:pPr>
      <w:tabs>
        <w:tab w:val="center" w:pos="4513"/>
        <w:tab w:val="right" w:pos="9026"/>
      </w:tabs>
      <w:spacing w:after="0" w:line="240" w:lineRule="auto"/>
    </w:pPr>
    <w:rPr>
      <w:sz w:val="24"/>
      <w:szCs w:val="24"/>
      <w:lang w:val="en-GB"/>
    </w:rPr>
  </w:style>
  <w:style w:type="character" w:customStyle="1" w:styleId="HeaderChar">
    <w:name w:val="Header Char"/>
    <w:basedOn w:val="DefaultParagraphFont"/>
    <w:link w:val="Header"/>
    <w:uiPriority w:val="99"/>
    <w:rsid w:val="003C306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hyperlink" Target="https://laji.fi/e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hyperlink" Target="https://github.com/EvoHull/Tapirs" TargetMode="Externa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9348</Words>
  <Characters>53290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Pavithra Santhanam</dc:creator>
  <cp:keywords/>
  <dc:description/>
  <cp:lastModifiedBy>Pavithra Santhanam</cp:lastModifiedBy>
  <cp:revision>1</cp:revision>
  <dcterms:created xsi:type="dcterms:W3CDTF">2026-01-28T03:07:00Z</dcterms:created>
  <dcterms:modified xsi:type="dcterms:W3CDTF">2026-01-28T03:09:00Z</dcterms:modified>
</cp:coreProperties>
</file>