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2809D" w14:textId="74B2BEFC" w:rsidR="008D36ED" w:rsidRPr="004604EF" w:rsidRDefault="00177297" w:rsidP="008D36ED">
      <w:pPr>
        <w:jc w:val="both"/>
        <w:rPr>
          <w:rFonts w:ascii="Calibri" w:hAnsi="Calibri" w:cs="Calibri"/>
          <w:b/>
          <w:bCs/>
          <w:sz w:val="28"/>
          <w:szCs w:val="28"/>
          <w:u w:val="single"/>
        </w:rPr>
      </w:pPr>
      <w:r w:rsidRPr="004604EF">
        <w:rPr>
          <w:rFonts w:ascii="Calibri" w:hAnsi="Calibri" w:cs="Calibri"/>
          <w:b/>
          <w:bCs/>
          <w:sz w:val="28"/>
          <w:szCs w:val="28"/>
          <w:u w:val="single"/>
        </w:rPr>
        <w:t xml:space="preserve">Supplementary material </w:t>
      </w:r>
    </w:p>
    <w:p w14:paraId="3AD139AB" w14:textId="71FC7037" w:rsidR="00733928" w:rsidRPr="004604EF" w:rsidRDefault="00691F14" w:rsidP="00733928">
      <w:pPr>
        <w:jc w:val="both"/>
        <w:rPr>
          <w:rFonts w:ascii="Calibri" w:hAnsi="Calibri" w:cs="Calibri"/>
          <w:b/>
          <w:bCs/>
          <w:sz w:val="28"/>
          <w:szCs w:val="28"/>
        </w:rPr>
      </w:pPr>
      <w:r w:rsidRPr="00691F14">
        <w:rPr>
          <w:rFonts w:ascii="Calibri" w:hAnsi="Calibri" w:cs="Calibri"/>
          <w:b/>
          <w:bCs/>
          <w:sz w:val="28"/>
          <w:szCs w:val="28"/>
        </w:rPr>
        <w:t>Strategic placement of plantations enhances forest connectivity for birds in agricultural landscapes</w:t>
      </w:r>
    </w:p>
    <w:p w14:paraId="3B7ACFB5" w14:textId="77777777" w:rsidR="00633E9B" w:rsidRPr="00D0657E" w:rsidRDefault="00633E9B" w:rsidP="00633E9B">
      <w:pPr>
        <w:rPr>
          <w:rFonts w:ascii="Calibri" w:hAnsi="Calibri" w:cs="Calibri"/>
          <w:sz w:val="24"/>
          <w:szCs w:val="24"/>
          <w:vertAlign w:val="superscript"/>
          <w:lang w:val="es-CO"/>
        </w:rPr>
      </w:pPr>
      <w:r w:rsidRPr="00D0657E">
        <w:rPr>
          <w:rFonts w:ascii="Calibri" w:hAnsi="Calibri" w:cs="Calibri"/>
          <w:sz w:val="24"/>
          <w:szCs w:val="24"/>
          <w:lang w:val="es-CO"/>
        </w:rPr>
        <w:t>Sara Pineda-Zapata</w:t>
      </w:r>
      <w:r w:rsidRPr="00D0657E">
        <w:rPr>
          <w:rFonts w:ascii="Calibri" w:hAnsi="Calibri" w:cs="Calibri"/>
          <w:sz w:val="24"/>
          <w:szCs w:val="24"/>
          <w:vertAlign w:val="superscript"/>
          <w:lang w:val="es-CO"/>
        </w:rPr>
        <w:t>1*</w:t>
      </w:r>
      <w:r w:rsidRPr="00D0657E">
        <w:rPr>
          <w:rFonts w:ascii="Calibri" w:hAnsi="Calibri" w:cs="Calibri"/>
          <w:sz w:val="24"/>
          <w:szCs w:val="24"/>
          <w:lang w:val="es-CO"/>
        </w:rPr>
        <w:t>, Alejandra Morán-Ordoñez</w:t>
      </w:r>
      <w:r w:rsidRPr="00D0657E">
        <w:rPr>
          <w:rFonts w:ascii="Calibri" w:hAnsi="Calibri" w:cs="Calibri"/>
          <w:sz w:val="24"/>
          <w:szCs w:val="24"/>
          <w:vertAlign w:val="superscript"/>
          <w:lang w:val="es-CO"/>
        </w:rPr>
        <w:t>2</w:t>
      </w:r>
      <w:r w:rsidRPr="00D0657E">
        <w:rPr>
          <w:rFonts w:ascii="Calibri" w:hAnsi="Calibri" w:cs="Calibri"/>
          <w:sz w:val="24"/>
          <w:szCs w:val="24"/>
          <w:lang w:val="es-CO"/>
        </w:rPr>
        <w:t>, Blas Mola-Yudego</w:t>
      </w:r>
      <w:r w:rsidRPr="00D0657E">
        <w:rPr>
          <w:rFonts w:ascii="Calibri" w:hAnsi="Calibri" w:cs="Calibri"/>
          <w:sz w:val="24"/>
          <w:szCs w:val="24"/>
          <w:vertAlign w:val="superscript"/>
          <w:lang w:val="es-CO"/>
        </w:rPr>
        <w:t>1,3</w:t>
      </w:r>
      <w:r w:rsidRPr="00D0657E">
        <w:rPr>
          <w:rFonts w:ascii="Calibri" w:hAnsi="Calibri" w:cs="Calibri"/>
          <w:sz w:val="24"/>
          <w:szCs w:val="24"/>
          <w:lang w:val="es-CO"/>
        </w:rPr>
        <w:t>, Rémi Duflot</w:t>
      </w:r>
      <w:r w:rsidRPr="00D0657E">
        <w:rPr>
          <w:rFonts w:ascii="Calibri" w:hAnsi="Calibri" w:cs="Calibri"/>
          <w:sz w:val="24"/>
          <w:szCs w:val="24"/>
          <w:vertAlign w:val="superscript"/>
          <w:lang w:val="es-CO"/>
        </w:rPr>
        <w:t>4,5</w:t>
      </w:r>
    </w:p>
    <w:p w14:paraId="717F1690" w14:textId="77777777" w:rsidR="00633E9B" w:rsidRPr="00D0657E" w:rsidRDefault="00633E9B" w:rsidP="00633E9B">
      <w:pPr>
        <w:rPr>
          <w:rFonts w:ascii="Calibri" w:hAnsi="Calibri" w:cs="Calibri"/>
          <w:sz w:val="24"/>
          <w:szCs w:val="24"/>
          <w:lang w:val="es-CO"/>
        </w:rPr>
      </w:pPr>
    </w:p>
    <w:p w14:paraId="33917AEA" w14:textId="77777777" w:rsidR="00633E9B" w:rsidRPr="00F96CBF" w:rsidRDefault="00633E9B" w:rsidP="00633E9B">
      <w:pPr>
        <w:rPr>
          <w:rFonts w:ascii="Calibri" w:hAnsi="Calibri" w:cs="Calibri"/>
          <w:sz w:val="24"/>
          <w:szCs w:val="24"/>
        </w:rPr>
      </w:pPr>
      <w:r w:rsidRPr="00F96CBF">
        <w:rPr>
          <w:rFonts w:ascii="Calibri" w:hAnsi="Calibri" w:cs="Calibri"/>
          <w:sz w:val="24"/>
          <w:szCs w:val="24"/>
          <w:vertAlign w:val="superscript"/>
        </w:rPr>
        <w:t>*</w:t>
      </w:r>
      <w:r w:rsidRPr="00F96CBF">
        <w:rPr>
          <w:rFonts w:ascii="Calibri" w:hAnsi="Calibri" w:cs="Calibri"/>
          <w:sz w:val="24"/>
          <w:szCs w:val="24"/>
        </w:rPr>
        <w:t xml:space="preserve">Corresponding author: </w:t>
      </w:r>
      <w:hyperlink r:id="rId6">
        <w:r w:rsidRPr="00F96CBF">
          <w:rPr>
            <w:rStyle w:val="Hyperlink"/>
            <w:rFonts w:ascii="Calibri" w:hAnsi="Calibri" w:cs="Calibri"/>
            <w:sz w:val="24"/>
            <w:szCs w:val="24"/>
          </w:rPr>
          <w:t>spineda@uef.fi</w:t>
        </w:r>
      </w:hyperlink>
    </w:p>
    <w:p w14:paraId="6F252C5C" w14:textId="77777777" w:rsidR="00633E9B" w:rsidRPr="00F96CBF" w:rsidRDefault="00633E9B" w:rsidP="00633E9B">
      <w:pPr>
        <w:rPr>
          <w:rFonts w:ascii="Calibri" w:hAnsi="Calibri" w:cs="Calibri"/>
          <w:sz w:val="24"/>
          <w:szCs w:val="24"/>
        </w:rPr>
      </w:pPr>
    </w:p>
    <w:p w14:paraId="0023BEF6" w14:textId="77777777" w:rsidR="00633E9B" w:rsidRPr="00F96CBF" w:rsidRDefault="00633E9B" w:rsidP="00633E9B">
      <w:pPr>
        <w:spacing w:before="240" w:after="240" w:line="360" w:lineRule="auto"/>
        <w:ind w:left="-20" w:right="-20"/>
        <w:rPr>
          <w:rFonts w:ascii="Calibri" w:hAnsi="Calibri" w:cs="Calibri"/>
          <w:sz w:val="24"/>
          <w:szCs w:val="24"/>
        </w:rPr>
      </w:pPr>
      <w:r w:rsidRPr="00F96CBF">
        <w:rPr>
          <w:rFonts w:ascii="Calibri" w:hAnsi="Calibri" w:cs="Calibri"/>
          <w:sz w:val="24"/>
          <w:szCs w:val="24"/>
          <w:vertAlign w:val="superscript"/>
        </w:rPr>
        <w:t xml:space="preserve">1 </w:t>
      </w:r>
      <w:r w:rsidRPr="00F96CBF">
        <w:rPr>
          <w:rFonts w:ascii="Calibri" w:hAnsi="Calibri" w:cs="Calibri"/>
          <w:sz w:val="24"/>
          <w:szCs w:val="24"/>
        </w:rPr>
        <w:t>School of Forest Sciences, University of Eastern Finland (UEF), Joensuu, Finland.</w:t>
      </w:r>
    </w:p>
    <w:p w14:paraId="76618874" w14:textId="77777777" w:rsidR="00633E9B" w:rsidRPr="00F96CBF" w:rsidRDefault="00633E9B" w:rsidP="00633E9B">
      <w:pPr>
        <w:spacing w:before="240" w:after="240" w:line="360" w:lineRule="auto"/>
        <w:ind w:left="-20" w:right="-20"/>
        <w:rPr>
          <w:rFonts w:ascii="Calibri" w:hAnsi="Calibri" w:cs="Calibri"/>
          <w:sz w:val="24"/>
          <w:szCs w:val="24"/>
        </w:rPr>
      </w:pPr>
      <w:r w:rsidRPr="00F96CBF">
        <w:rPr>
          <w:rFonts w:ascii="Calibri" w:hAnsi="Calibri" w:cs="Calibri"/>
          <w:sz w:val="24"/>
          <w:szCs w:val="24"/>
          <w:vertAlign w:val="superscript"/>
        </w:rPr>
        <w:t xml:space="preserve">2 </w:t>
      </w:r>
      <w:r w:rsidRPr="00F96CBF">
        <w:rPr>
          <w:rFonts w:ascii="Calibri" w:hAnsi="Calibri" w:cs="Calibri"/>
          <w:sz w:val="24"/>
          <w:szCs w:val="24"/>
        </w:rPr>
        <w:t>Department of Environmental Sciences, University of Basel, Basel, Switzerland.</w:t>
      </w:r>
    </w:p>
    <w:p w14:paraId="16BCC6FA" w14:textId="77777777" w:rsidR="00633E9B" w:rsidRPr="00F96CBF" w:rsidRDefault="00633E9B" w:rsidP="00633E9B">
      <w:pPr>
        <w:spacing w:before="240" w:after="240" w:line="360" w:lineRule="auto"/>
        <w:ind w:left="-20" w:right="-20"/>
        <w:rPr>
          <w:rFonts w:ascii="Calibri" w:hAnsi="Calibri" w:cs="Calibri"/>
          <w:sz w:val="24"/>
          <w:szCs w:val="24"/>
        </w:rPr>
      </w:pPr>
      <w:r w:rsidRPr="00F96CBF">
        <w:rPr>
          <w:rFonts w:ascii="Calibri" w:hAnsi="Calibri" w:cs="Calibri"/>
          <w:sz w:val="24"/>
          <w:szCs w:val="24"/>
          <w:vertAlign w:val="superscript"/>
        </w:rPr>
        <w:t xml:space="preserve">3 </w:t>
      </w:r>
      <w:r w:rsidRPr="00F96CBF">
        <w:rPr>
          <w:rFonts w:ascii="Calibri" w:hAnsi="Calibri" w:cs="Calibri"/>
          <w:sz w:val="24"/>
          <w:szCs w:val="24"/>
        </w:rPr>
        <w:t>Department of Crop Production Ecology, Swedish University of Agricultural Sciences (SLU), Uppsala, Sweden.</w:t>
      </w:r>
    </w:p>
    <w:p w14:paraId="632A17D8" w14:textId="77777777" w:rsidR="00633E9B" w:rsidRPr="00F96CBF" w:rsidRDefault="00633E9B" w:rsidP="00633E9B">
      <w:pPr>
        <w:spacing w:before="240" w:after="240" w:line="360" w:lineRule="auto"/>
        <w:ind w:left="-20" w:right="-20"/>
        <w:rPr>
          <w:rFonts w:ascii="Calibri" w:hAnsi="Calibri" w:cs="Calibri"/>
          <w:sz w:val="24"/>
          <w:szCs w:val="24"/>
        </w:rPr>
      </w:pPr>
      <w:r w:rsidRPr="00F96CBF">
        <w:rPr>
          <w:rFonts w:ascii="Calibri" w:hAnsi="Calibri" w:cs="Calibri"/>
          <w:sz w:val="24"/>
          <w:szCs w:val="24"/>
          <w:vertAlign w:val="superscript"/>
        </w:rPr>
        <w:t xml:space="preserve">4 </w:t>
      </w:r>
      <w:r w:rsidRPr="00F96CBF">
        <w:rPr>
          <w:rFonts w:ascii="Calibri" w:hAnsi="Calibri" w:cs="Calibri"/>
          <w:sz w:val="24"/>
          <w:szCs w:val="24"/>
        </w:rPr>
        <w:t>Department of Biological and Environmental Science, University of Jyväskylä, Jyväskylä, Finland</w:t>
      </w:r>
    </w:p>
    <w:p w14:paraId="5DFB0C0E" w14:textId="60E1AE0E" w:rsidR="004604EF" w:rsidRPr="00E93A55" w:rsidRDefault="00633E9B" w:rsidP="00633E9B">
      <w:pPr>
        <w:rPr>
          <w:rFonts w:ascii="Calibri" w:hAnsi="Calibri" w:cs="Calibri"/>
          <w:sz w:val="24"/>
          <w:szCs w:val="24"/>
        </w:rPr>
      </w:pPr>
      <w:r w:rsidRPr="00F96CBF">
        <w:rPr>
          <w:rFonts w:ascii="Calibri" w:hAnsi="Calibri" w:cs="Calibri"/>
          <w:sz w:val="24"/>
          <w:szCs w:val="24"/>
          <w:vertAlign w:val="superscript"/>
        </w:rPr>
        <w:t xml:space="preserve">5 </w:t>
      </w:r>
      <w:r w:rsidRPr="00F96CBF">
        <w:rPr>
          <w:rFonts w:ascii="Calibri" w:hAnsi="Calibri" w:cs="Calibri"/>
          <w:sz w:val="24"/>
          <w:szCs w:val="24"/>
        </w:rPr>
        <w:t>School of Resource Wisdom, University of Jyväskylä, Jyväskylä, Finland</w:t>
      </w:r>
    </w:p>
    <w:p w14:paraId="43ABD7F3" w14:textId="4272B531" w:rsidR="004604EF" w:rsidRDefault="004604EF">
      <w:pPr>
        <w:spacing w:line="278" w:lineRule="auto"/>
        <w:rPr>
          <w:rFonts w:ascii="Calibri" w:hAnsi="Calibri" w:cs="Calibri"/>
          <w:sz w:val="24"/>
          <w:szCs w:val="24"/>
        </w:rPr>
      </w:pPr>
    </w:p>
    <w:p w14:paraId="060E0A47" w14:textId="7F5BE6CE" w:rsidR="002772A8" w:rsidRDefault="002772A8" w:rsidP="008D36ED">
      <w:pPr>
        <w:jc w:val="both"/>
        <w:rPr>
          <w:rFonts w:ascii="Calibri" w:hAnsi="Calibri" w:cs="Calibri"/>
          <w:sz w:val="24"/>
          <w:szCs w:val="24"/>
        </w:rPr>
        <w:sectPr w:rsidR="002772A8">
          <w:pgSz w:w="11906" w:h="16838"/>
          <w:pgMar w:top="1417" w:right="1134" w:bottom="1417" w:left="1134"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5"/>
        <w:gridCol w:w="2295"/>
        <w:gridCol w:w="2266"/>
        <w:gridCol w:w="6500"/>
      </w:tblGrid>
      <w:tr w:rsidR="002B273B" w:rsidRPr="004A2AA7" w14:paraId="779B8AAB" w14:textId="77777777" w:rsidTr="4C2C4C78">
        <w:trPr>
          <w:trHeight w:val="288"/>
          <w:tblHeader/>
        </w:trPr>
        <w:tc>
          <w:tcPr>
            <w:tcW w:w="1027" w:type="pct"/>
            <w:noWrap/>
            <w:vAlign w:val="center"/>
            <w:hideMark/>
          </w:tcPr>
          <w:p w14:paraId="0DFB5F55" w14:textId="77777777" w:rsidR="004A2AA7" w:rsidRPr="004A2AA7" w:rsidRDefault="004A2AA7" w:rsidP="004A2AA7">
            <w:pPr>
              <w:spacing w:after="0" w:line="240" w:lineRule="auto"/>
              <w:jc w:val="center"/>
              <w:rPr>
                <w:rFonts w:ascii="Aptos Narrow" w:eastAsia="Times New Roman" w:hAnsi="Aptos Narrow" w:cs="Times New Roman"/>
                <w:b/>
                <w:bCs/>
                <w:color w:val="000000"/>
                <w:kern w:val="0"/>
                <w:lang w:eastAsia="fi-FI"/>
                <w14:ligatures w14:val="none"/>
              </w:rPr>
            </w:pPr>
            <w:r w:rsidRPr="004A2AA7">
              <w:rPr>
                <w:rFonts w:ascii="Aptos Narrow" w:eastAsia="Times New Roman" w:hAnsi="Aptos Narrow" w:cs="Times New Roman"/>
                <w:b/>
                <w:bCs/>
                <w:color w:val="000000"/>
                <w:kern w:val="0"/>
                <w:lang w:eastAsia="fi-FI"/>
                <w14:ligatures w14:val="none"/>
              </w:rPr>
              <w:lastRenderedPageBreak/>
              <w:t>Species</w:t>
            </w:r>
          </w:p>
        </w:tc>
        <w:tc>
          <w:tcPr>
            <w:tcW w:w="364" w:type="pct"/>
            <w:noWrap/>
            <w:vAlign w:val="center"/>
            <w:hideMark/>
          </w:tcPr>
          <w:p w14:paraId="7F8508C8" w14:textId="1E7E9465" w:rsidR="004A2AA7" w:rsidRPr="004A2AA7" w:rsidRDefault="004A2AA7" w:rsidP="004A2AA7">
            <w:pPr>
              <w:spacing w:after="0" w:line="240" w:lineRule="auto"/>
              <w:jc w:val="center"/>
              <w:rPr>
                <w:rFonts w:ascii="Aptos Narrow" w:eastAsia="Times New Roman" w:hAnsi="Aptos Narrow" w:cs="Times New Roman"/>
                <w:b/>
                <w:bCs/>
                <w:color w:val="000000"/>
                <w:kern w:val="0"/>
                <w:lang w:eastAsia="fi-FI"/>
                <w14:ligatures w14:val="none"/>
              </w:rPr>
            </w:pPr>
            <w:r w:rsidRPr="004A2AA7">
              <w:rPr>
                <w:rFonts w:ascii="Aptos Narrow" w:eastAsia="Times New Roman" w:hAnsi="Aptos Narrow" w:cs="Times New Roman"/>
                <w:b/>
                <w:bCs/>
                <w:color w:val="000000"/>
                <w:kern w:val="0"/>
                <w:lang w:eastAsia="fi-FI"/>
                <w14:ligatures w14:val="none"/>
              </w:rPr>
              <w:t>Dispersal distance</w:t>
            </w:r>
            <w:r w:rsidR="002B273B">
              <w:rPr>
                <w:rFonts w:ascii="Aptos Narrow" w:eastAsia="Times New Roman" w:hAnsi="Aptos Narrow" w:cs="Times New Roman"/>
                <w:b/>
                <w:bCs/>
                <w:color w:val="000000"/>
                <w:kern w:val="0"/>
                <w:lang w:eastAsia="fi-FI"/>
                <w14:ligatures w14:val="none"/>
              </w:rPr>
              <w:t xml:space="preserve"> (km)</w:t>
            </w:r>
          </w:p>
        </w:tc>
        <w:tc>
          <w:tcPr>
            <w:tcW w:w="778" w:type="pct"/>
            <w:noWrap/>
            <w:vAlign w:val="center"/>
            <w:hideMark/>
          </w:tcPr>
          <w:p w14:paraId="2DAEEDBF" w14:textId="77777777" w:rsidR="004A2AA7" w:rsidRPr="004A2AA7" w:rsidRDefault="004A2AA7" w:rsidP="004A2AA7">
            <w:pPr>
              <w:spacing w:after="0" w:line="240" w:lineRule="auto"/>
              <w:jc w:val="center"/>
              <w:rPr>
                <w:rFonts w:ascii="Aptos Narrow" w:eastAsia="Times New Roman" w:hAnsi="Aptos Narrow" w:cs="Times New Roman"/>
                <w:b/>
                <w:bCs/>
                <w:color w:val="000000"/>
                <w:kern w:val="0"/>
                <w:lang w:eastAsia="fi-FI"/>
                <w14:ligatures w14:val="none"/>
              </w:rPr>
            </w:pPr>
            <w:r w:rsidRPr="004A2AA7">
              <w:rPr>
                <w:rFonts w:ascii="Aptos Narrow" w:eastAsia="Times New Roman" w:hAnsi="Aptos Narrow" w:cs="Times New Roman"/>
                <w:b/>
                <w:bCs/>
                <w:color w:val="000000"/>
                <w:kern w:val="0"/>
                <w:lang w:eastAsia="fi-FI"/>
                <w14:ligatures w14:val="none"/>
              </w:rPr>
              <w:t>Paper ID</w:t>
            </w:r>
          </w:p>
        </w:tc>
        <w:tc>
          <w:tcPr>
            <w:tcW w:w="2831" w:type="pct"/>
            <w:noWrap/>
            <w:vAlign w:val="center"/>
            <w:hideMark/>
          </w:tcPr>
          <w:p w14:paraId="2AE3936D" w14:textId="798F186C" w:rsidR="004A2AA7" w:rsidRPr="00344978" w:rsidRDefault="004A2AA7" w:rsidP="004A2AA7">
            <w:pPr>
              <w:spacing w:after="0" w:line="240" w:lineRule="auto"/>
              <w:jc w:val="center"/>
              <w:rPr>
                <w:rFonts w:ascii="Aptos Narrow" w:eastAsia="Times New Roman" w:hAnsi="Aptos Narrow" w:cs="Times New Roman"/>
                <w:b/>
                <w:bCs/>
                <w:color w:val="000000"/>
                <w:kern w:val="0"/>
                <w:vertAlign w:val="superscript"/>
                <w:lang w:eastAsia="fi-FI"/>
                <w14:ligatures w14:val="none"/>
              </w:rPr>
            </w:pPr>
            <w:r w:rsidRPr="002B273B">
              <w:rPr>
                <w:rFonts w:ascii="Aptos Narrow" w:eastAsia="Times New Roman" w:hAnsi="Aptos Narrow" w:cs="Times New Roman"/>
                <w:b/>
                <w:bCs/>
                <w:color w:val="000000"/>
                <w:kern w:val="0"/>
                <w:lang w:eastAsia="fi-FI"/>
                <w14:ligatures w14:val="none"/>
              </w:rPr>
              <w:t>C</w:t>
            </w:r>
            <w:r w:rsidRPr="004A2AA7">
              <w:rPr>
                <w:rFonts w:ascii="Aptos Narrow" w:eastAsia="Times New Roman" w:hAnsi="Aptos Narrow" w:cs="Times New Roman"/>
                <w:b/>
                <w:bCs/>
                <w:color w:val="000000"/>
                <w:kern w:val="0"/>
                <w:lang w:eastAsia="fi-FI"/>
                <w14:ligatures w14:val="none"/>
              </w:rPr>
              <w:t>omments</w:t>
            </w:r>
            <w:r w:rsidR="00F73519">
              <w:rPr>
                <w:rFonts w:ascii="Aptos Narrow" w:eastAsia="Times New Roman" w:hAnsi="Aptos Narrow" w:cs="Times New Roman"/>
                <w:b/>
                <w:bCs/>
                <w:color w:val="000000"/>
                <w:kern w:val="0"/>
                <w:lang w:eastAsia="fi-FI"/>
                <w14:ligatures w14:val="none"/>
              </w:rPr>
              <w:t xml:space="preserve"> </w:t>
            </w:r>
            <w:r w:rsidR="00344978">
              <w:rPr>
                <w:rFonts w:ascii="Aptos Narrow" w:eastAsia="Times New Roman" w:hAnsi="Aptos Narrow" w:cs="Times New Roman"/>
                <w:b/>
                <w:bCs/>
                <w:color w:val="000000"/>
                <w:kern w:val="0"/>
                <w:vertAlign w:val="superscript"/>
                <w:lang w:eastAsia="fi-FI"/>
                <w14:ligatures w14:val="none"/>
              </w:rPr>
              <w:t>a</w:t>
            </w:r>
          </w:p>
        </w:tc>
      </w:tr>
      <w:tr w:rsidR="002B273B" w:rsidRPr="004A2AA7" w14:paraId="2795C2A9" w14:textId="77777777" w:rsidTr="4C2C4C78">
        <w:trPr>
          <w:trHeight w:val="1440"/>
        </w:trPr>
        <w:tc>
          <w:tcPr>
            <w:tcW w:w="1027" w:type="pct"/>
            <w:noWrap/>
            <w:vAlign w:val="center"/>
            <w:hideMark/>
          </w:tcPr>
          <w:p w14:paraId="2523CCAA" w14:textId="77777777" w:rsidR="004A2AA7" w:rsidRPr="004A2AA7" w:rsidRDefault="004A2AA7" w:rsidP="4C2C4C78">
            <w:pPr>
              <w:spacing w:after="0" w:line="240" w:lineRule="auto"/>
              <w:jc w:val="center"/>
              <w:rPr>
                <w:rFonts w:ascii="Aptos Narrow" w:eastAsia="Times New Roman" w:hAnsi="Aptos Narrow" w:cs="Times New Roman"/>
                <w:i/>
                <w:iCs/>
                <w:color w:val="000000"/>
                <w:kern w:val="0"/>
                <w:lang w:eastAsia="fi-FI"/>
                <w14:ligatures w14:val="none"/>
              </w:rPr>
            </w:pPr>
            <w:r w:rsidRPr="4C2C4C78">
              <w:rPr>
                <w:rFonts w:ascii="Aptos Narrow" w:eastAsia="Times New Roman" w:hAnsi="Aptos Narrow" w:cs="Times New Roman"/>
                <w:i/>
                <w:iCs/>
                <w:color w:val="000000"/>
                <w:kern w:val="0"/>
                <w:lang w:eastAsia="fi-FI"/>
                <w14:ligatures w14:val="none"/>
              </w:rPr>
              <w:t>Fringilla coelebs</w:t>
            </w:r>
          </w:p>
        </w:tc>
        <w:tc>
          <w:tcPr>
            <w:tcW w:w="364" w:type="pct"/>
            <w:noWrap/>
            <w:vAlign w:val="center"/>
            <w:hideMark/>
          </w:tcPr>
          <w:p w14:paraId="696F6A0D"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0.787</w:t>
            </w:r>
          </w:p>
        </w:tc>
        <w:tc>
          <w:tcPr>
            <w:tcW w:w="778" w:type="pct"/>
            <w:noWrap/>
            <w:vAlign w:val="center"/>
            <w:hideMark/>
          </w:tcPr>
          <w:p w14:paraId="72445BD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6, 14, 9, 2, 1, 10, 5, 13, 8</w:t>
            </w:r>
          </w:p>
        </w:tc>
        <w:tc>
          <w:tcPr>
            <w:tcW w:w="2831" w:type="pct"/>
            <w:vAlign w:val="center"/>
            <w:hideMark/>
          </w:tcPr>
          <w:p w14:paraId="43838518" w14:textId="053871DB" w:rsidR="004A2AA7" w:rsidRPr="004A2AA7" w:rsidRDefault="16B3986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Forest and ecotone birds presence in tree stage SRC | Detected species in agroforestry and SRC strips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 | positive preference for salix | density more than a 0 in one of all poplar states | presence in poplar plantation 1st year after coppicing | bird territories for different salix heights | more than 0 in poplar plantations | presence in willow tree groups, open woodland, canopy closed</w:t>
            </w:r>
          </w:p>
        </w:tc>
      </w:tr>
      <w:tr w:rsidR="002B273B" w:rsidRPr="004A2AA7" w14:paraId="5405F884" w14:textId="77777777" w:rsidTr="4C2C4C78">
        <w:trPr>
          <w:trHeight w:val="1440"/>
        </w:trPr>
        <w:tc>
          <w:tcPr>
            <w:tcW w:w="1027" w:type="pct"/>
            <w:noWrap/>
            <w:vAlign w:val="center"/>
            <w:hideMark/>
          </w:tcPr>
          <w:p w14:paraId="3759982C"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Parus major</w:t>
            </w:r>
          </w:p>
        </w:tc>
        <w:tc>
          <w:tcPr>
            <w:tcW w:w="364" w:type="pct"/>
            <w:noWrap/>
            <w:vAlign w:val="center"/>
            <w:hideMark/>
          </w:tcPr>
          <w:p w14:paraId="032FB478"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0.797</w:t>
            </w:r>
          </w:p>
        </w:tc>
        <w:tc>
          <w:tcPr>
            <w:tcW w:w="778" w:type="pct"/>
            <w:noWrap/>
            <w:vAlign w:val="center"/>
            <w:hideMark/>
          </w:tcPr>
          <w:p w14:paraId="582B02F5"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6, 9, 2, 1, 13, 8, 3</w:t>
            </w:r>
          </w:p>
        </w:tc>
        <w:tc>
          <w:tcPr>
            <w:tcW w:w="2831" w:type="pct"/>
            <w:vAlign w:val="center"/>
            <w:hideMark/>
          </w:tcPr>
          <w:p w14:paraId="051D6706" w14:textId="519611DF"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Forest and ecotone </w:t>
            </w:r>
            <w:r w:rsidR="000970ED" w:rsidRPr="002B273B">
              <w:rPr>
                <w:rFonts w:ascii="Aptos Narrow" w:eastAsia="Times New Roman" w:hAnsi="Aptos Narrow" w:cs="Times New Roman"/>
                <w:color w:val="000000"/>
                <w:kern w:val="0"/>
                <w:lang w:eastAsia="fi-FI"/>
                <w14:ligatures w14:val="none"/>
              </w:rPr>
              <w:t>birds’</w:t>
            </w:r>
            <w:r w:rsidRPr="004A2AA7">
              <w:rPr>
                <w:rFonts w:ascii="Aptos Narrow" w:eastAsia="Times New Roman" w:hAnsi="Aptos Narrow" w:cs="Times New Roman"/>
                <w:color w:val="000000"/>
                <w:kern w:val="0"/>
                <w:lang w:eastAsia="fi-FI"/>
                <w14:ligatures w14:val="none"/>
              </w:rPr>
              <w:t xml:space="preserve"> presence in tree stage SRC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 | positive preference for salix | density more than a 0 in one of all poplar states | more than 0 in poplar plantations | presence in willow tree groups, open woodland, canopy closed | positive correlation between species abundance (n/km2) and surface area (ha) of tree plantations</w:t>
            </w:r>
          </w:p>
        </w:tc>
      </w:tr>
      <w:tr w:rsidR="002B273B" w:rsidRPr="004A2AA7" w14:paraId="13D34DB2" w14:textId="77777777" w:rsidTr="4C2C4C78">
        <w:trPr>
          <w:trHeight w:val="1440"/>
        </w:trPr>
        <w:tc>
          <w:tcPr>
            <w:tcW w:w="1027" w:type="pct"/>
            <w:noWrap/>
            <w:vAlign w:val="center"/>
            <w:hideMark/>
          </w:tcPr>
          <w:p w14:paraId="041BC7A8"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Turdus merula</w:t>
            </w:r>
          </w:p>
        </w:tc>
        <w:tc>
          <w:tcPr>
            <w:tcW w:w="364" w:type="pct"/>
            <w:noWrap/>
            <w:vAlign w:val="center"/>
            <w:hideMark/>
          </w:tcPr>
          <w:p w14:paraId="38C73A7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0.264</w:t>
            </w:r>
          </w:p>
        </w:tc>
        <w:tc>
          <w:tcPr>
            <w:tcW w:w="778" w:type="pct"/>
            <w:noWrap/>
            <w:vAlign w:val="center"/>
            <w:hideMark/>
          </w:tcPr>
          <w:p w14:paraId="4E1BD208"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14, 7, 9, 1, 10, 13, 3</w:t>
            </w:r>
          </w:p>
        </w:tc>
        <w:tc>
          <w:tcPr>
            <w:tcW w:w="2831" w:type="pct"/>
            <w:vAlign w:val="center"/>
            <w:hideMark/>
          </w:tcPr>
          <w:p w14:paraId="1C556A14" w14:textId="6BD25835"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Detected species in agroforestry and SRC strips | Species with breeding attempts in poplar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 | density more than a 0 in one of all poplar states | presence in poplar plantation 1st year after coppicing | more than 0 in poplar plantations | positive correlation between species abundance (n/km2) and surface area (ha) of tree plantations</w:t>
            </w:r>
          </w:p>
        </w:tc>
      </w:tr>
      <w:tr w:rsidR="002B273B" w:rsidRPr="004A2AA7" w14:paraId="16C858C0" w14:textId="77777777" w:rsidTr="4C2C4C78">
        <w:trPr>
          <w:trHeight w:val="1152"/>
        </w:trPr>
        <w:tc>
          <w:tcPr>
            <w:tcW w:w="1027" w:type="pct"/>
            <w:noWrap/>
            <w:vAlign w:val="center"/>
            <w:hideMark/>
          </w:tcPr>
          <w:p w14:paraId="2C5863A2"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Turdus philomelos</w:t>
            </w:r>
          </w:p>
        </w:tc>
        <w:tc>
          <w:tcPr>
            <w:tcW w:w="364" w:type="pct"/>
            <w:noWrap/>
            <w:vAlign w:val="center"/>
            <w:hideMark/>
          </w:tcPr>
          <w:p w14:paraId="55F2F9A5"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0.591</w:t>
            </w:r>
          </w:p>
        </w:tc>
        <w:tc>
          <w:tcPr>
            <w:tcW w:w="778" w:type="pct"/>
            <w:noWrap/>
            <w:vAlign w:val="center"/>
            <w:hideMark/>
          </w:tcPr>
          <w:p w14:paraId="656006D5"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6, 14, 7, 2, 1, 10, 13</w:t>
            </w:r>
          </w:p>
        </w:tc>
        <w:tc>
          <w:tcPr>
            <w:tcW w:w="2831" w:type="pct"/>
            <w:vAlign w:val="center"/>
            <w:hideMark/>
          </w:tcPr>
          <w:p w14:paraId="2FF2F5B1" w14:textId="4DF25AB5"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Forest and ecotone </w:t>
            </w:r>
            <w:r w:rsidR="000970ED" w:rsidRPr="002B273B">
              <w:rPr>
                <w:rFonts w:ascii="Aptos Narrow" w:eastAsia="Times New Roman" w:hAnsi="Aptos Narrow" w:cs="Times New Roman"/>
                <w:color w:val="000000"/>
                <w:kern w:val="0"/>
                <w:lang w:eastAsia="fi-FI"/>
                <w14:ligatures w14:val="none"/>
              </w:rPr>
              <w:t>birds’</w:t>
            </w:r>
            <w:r w:rsidRPr="004A2AA7">
              <w:rPr>
                <w:rFonts w:ascii="Aptos Narrow" w:eastAsia="Times New Roman" w:hAnsi="Aptos Narrow" w:cs="Times New Roman"/>
                <w:color w:val="000000"/>
                <w:kern w:val="0"/>
                <w:lang w:eastAsia="fi-FI"/>
                <w14:ligatures w14:val="none"/>
              </w:rPr>
              <w:t xml:space="preserve"> presence in tree stage </w:t>
            </w:r>
            <w:proofErr w:type="gramStart"/>
            <w:r w:rsidRPr="004A2AA7">
              <w:rPr>
                <w:rFonts w:ascii="Aptos Narrow" w:eastAsia="Times New Roman" w:hAnsi="Aptos Narrow" w:cs="Times New Roman"/>
                <w:color w:val="000000"/>
                <w:kern w:val="0"/>
                <w:lang w:eastAsia="fi-FI"/>
                <w14:ligatures w14:val="none"/>
              </w:rPr>
              <w:t>SRC  |</w:t>
            </w:r>
            <w:proofErr w:type="gramEnd"/>
            <w:r w:rsidRPr="004A2AA7">
              <w:rPr>
                <w:rFonts w:ascii="Aptos Narrow" w:eastAsia="Times New Roman" w:hAnsi="Aptos Narrow" w:cs="Times New Roman"/>
                <w:color w:val="000000"/>
                <w:kern w:val="0"/>
                <w:lang w:eastAsia="fi-FI"/>
                <w14:ligatures w14:val="none"/>
              </w:rPr>
              <w:t xml:space="preserve"> Detected species in agroforestry and SRC strips | Species with breeding attempts in poplar | positive preference for salix | density more than a 0 in one of all poplar states | presence in poplar plantation 1st year after coppicing | more than 0 in poplar plantations</w:t>
            </w:r>
          </w:p>
        </w:tc>
      </w:tr>
      <w:tr w:rsidR="002B273B" w:rsidRPr="004A2AA7" w14:paraId="19EF0DD0" w14:textId="77777777" w:rsidTr="4C2C4C78">
        <w:trPr>
          <w:trHeight w:val="1728"/>
        </w:trPr>
        <w:tc>
          <w:tcPr>
            <w:tcW w:w="1027" w:type="pct"/>
            <w:noWrap/>
            <w:vAlign w:val="center"/>
            <w:hideMark/>
          </w:tcPr>
          <w:p w14:paraId="1F01823D"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Dendrocopos major</w:t>
            </w:r>
          </w:p>
        </w:tc>
        <w:tc>
          <w:tcPr>
            <w:tcW w:w="364" w:type="pct"/>
            <w:noWrap/>
            <w:vAlign w:val="center"/>
            <w:hideMark/>
          </w:tcPr>
          <w:p w14:paraId="17EE126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5.875</w:t>
            </w:r>
          </w:p>
        </w:tc>
        <w:tc>
          <w:tcPr>
            <w:tcW w:w="778" w:type="pct"/>
            <w:noWrap/>
            <w:vAlign w:val="center"/>
            <w:hideMark/>
          </w:tcPr>
          <w:p w14:paraId="23442A98"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6, 9, 1, 8, 4, 12</w:t>
            </w:r>
          </w:p>
        </w:tc>
        <w:tc>
          <w:tcPr>
            <w:tcW w:w="2831" w:type="pct"/>
            <w:vAlign w:val="center"/>
            <w:hideMark/>
          </w:tcPr>
          <w:p w14:paraId="0922DFC4" w14:textId="2526C74A"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Forest and ecotone birds presence in tree stage SRC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 | density more than a 0 in one of all poplar states | presence in willow tree groups, open woodland, canopy closed | cultivated vegetation (percentage cover of SRCs/reforestations, traditional poplar plantations, and number of tree plantation patches) positively influenced the presence  | presence in plantation but significantly lower than natural woodland</w:t>
            </w:r>
          </w:p>
        </w:tc>
      </w:tr>
      <w:tr w:rsidR="002B273B" w:rsidRPr="004A2AA7" w14:paraId="2F63D636" w14:textId="77777777" w:rsidTr="4C2C4C78">
        <w:trPr>
          <w:trHeight w:val="1152"/>
        </w:trPr>
        <w:tc>
          <w:tcPr>
            <w:tcW w:w="1027" w:type="pct"/>
            <w:noWrap/>
            <w:vAlign w:val="center"/>
            <w:hideMark/>
          </w:tcPr>
          <w:p w14:paraId="02F1B377"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Parus caeruleus</w:t>
            </w:r>
          </w:p>
        </w:tc>
        <w:tc>
          <w:tcPr>
            <w:tcW w:w="364" w:type="pct"/>
            <w:noWrap/>
            <w:vAlign w:val="center"/>
            <w:hideMark/>
          </w:tcPr>
          <w:p w14:paraId="0D7E99FA"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0.796</w:t>
            </w:r>
          </w:p>
        </w:tc>
        <w:tc>
          <w:tcPr>
            <w:tcW w:w="778" w:type="pct"/>
            <w:noWrap/>
            <w:vAlign w:val="center"/>
            <w:hideMark/>
          </w:tcPr>
          <w:p w14:paraId="4CE5B2B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6, 9, 2, 1, 13, 8</w:t>
            </w:r>
          </w:p>
        </w:tc>
        <w:tc>
          <w:tcPr>
            <w:tcW w:w="2831" w:type="pct"/>
            <w:vAlign w:val="center"/>
            <w:hideMark/>
          </w:tcPr>
          <w:p w14:paraId="2305C503" w14:textId="433D17E2"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Forest and ecotone </w:t>
            </w:r>
            <w:r w:rsidR="000970ED" w:rsidRPr="002B273B">
              <w:rPr>
                <w:rFonts w:ascii="Aptos Narrow" w:eastAsia="Times New Roman" w:hAnsi="Aptos Narrow" w:cs="Times New Roman"/>
                <w:color w:val="000000"/>
                <w:kern w:val="0"/>
                <w:lang w:eastAsia="fi-FI"/>
                <w14:ligatures w14:val="none"/>
              </w:rPr>
              <w:t>birds’</w:t>
            </w:r>
            <w:r w:rsidRPr="004A2AA7">
              <w:rPr>
                <w:rFonts w:ascii="Aptos Narrow" w:eastAsia="Times New Roman" w:hAnsi="Aptos Narrow" w:cs="Times New Roman"/>
                <w:color w:val="000000"/>
                <w:kern w:val="0"/>
                <w:lang w:eastAsia="fi-FI"/>
                <w14:ligatures w14:val="none"/>
              </w:rPr>
              <w:t xml:space="preserve"> presence in tree stage SRC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 | positive preference for salix | density more than a 0 in one of all poplar states | more than 0 in poplar plantations | presence in willow tree groups, open woodland, canopy closed</w:t>
            </w:r>
          </w:p>
        </w:tc>
      </w:tr>
      <w:tr w:rsidR="002B273B" w:rsidRPr="004A2AA7" w14:paraId="386A46FA" w14:textId="77777777" w:rsidTr="4C2C4C78">
        <w:trPr>
          <w:trHeight w:val="1152"/>
        </w:trPr>
        <w:tc>
          <w:tcPr>
            <w:tcW w:w="1027" w:type="pct"/>
            <w:noWrap/>
            <w:vAlign w:val="center"/>
            <w:hideMark/>
          </w:tcPr>
          <w:p w14:paraId="241DB275"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lastRenderedPageBreak/>
              <w:t>Phylloscopus collybita</w:t>
            </w:r>
          </w:p>
        </w:tc>
        <w:tc>
          <w:tcPr>
            <w:tcW w:w="364" w:type="pct"/>
            <w:noWrap/>
            <w:vAlign w:val="center"/>
            <w:hideMark/>
          </w:tcPr>
          <w:p w14:paraId="2253E801"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07F83C5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6, 14, 9, 1, 10, 8</w:t>
            </w:r>
          </w:p>
        </w:tc>
        <w:tc>
          <w:tcPr>
            <w:tcW w:w="2831" w:type="pct"/>
            <w:vAlign w:val="center"/>
            <w:hideMark/>
          </w:tcPr>
          <w:p w14:paraId="593098FF" w14:textId="77C13F2B"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Forest and ecotone </w:t>
            </w:r>
            <w:r w:rsidR="000970ED" w:rsidRPr="002B273B">
              <w:rPr>
                <w:rFonts w:ascii="Aptos Narrow" w:eastAsia="Times New Roman" w:hAnsi="Aptos Narrow" w:cs="Times New Roman"/>
                <w:color w:val="000000"/>
                <w:kern w:val="0"/>
                <w:lang w:eastAsia="fi-FI"/>
                <w14:ligatures w14:val="none"/>
              </w:rPr>
              <w:t>birds’</w:t>
            </w:r>
            <w:r w:rsidRPr="004A2AA7">
              <w:rPr>
                <w:rFonts w:ascii="Aptos Narrow" w:eastAsia="Times New Roman" w:hAnsi="Aptos Narrow" w:cs="Times New Roman"/>
                <w:color w:val="000000"/>
                <w:kern w:val="0"/>
                <w:lang w:eastAsia="fi-FI"/>
                <w14:ligatures w14:val="none"/>
              </w:rPr>
              <w:t xml:space="preserve"> presence in tree stage SRC  | Detected species in agroforestry and SRC strips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 | density more than a 0 in one of all poplar states | presence in poplar plantation 1st year after coppicing | presence in willow tree groups, open woodland, canopy closed</w:t>
            </w:r>
          </w:p>
        </w:tc>
      </w:tr>
      <w:tr w:rsidR="002B273B" w:rsidRPr="004A2AA7" w14:paraId="39E96BD2" w14:textId="77777777" w:rsidTr="4C2C4C78">
        <w:trPr>
          <w:trHeight w:val="1152"/>
        </w:trPr>
        <w:tc>
          <w:tcPr>
            <w:tcW w:w="1027" w:type="pct"/>
            <w:noWrap/>
            <w:vAlign w:val="center"/>
            <w:hideMark/>
          </w:tcPr>
          <w:p w14:paraId="6031C494"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Sylvia atricapilla</w:t>
            </w:r>
          </w:p>
        </w:tc>
        <w:tc>
          <w:tcPr>
            <w:tcW w:w="364" w:type="pct"/>
            <w:noWrap/>
            <w:vAlign w:val="center"/>
            <w:hideMark/>
          </w:tcPr>
          <w:p w14:paraId="704F40D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17.539</w:t>
            </w:r>
          </w:p>
        </w:tc>
        <w:tc>
          <w:tcPr>
            <w:tcW w:w="778" w:type="pct"/>
            <w:noWrap/>
            <w:vAlign w:val="center"/>
            <w:hideMark/>
          </w:tcPr>
          <w:p w14:paraId="2B77B1E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14, 9, 1, 10, 5, 3</w:t>
            </w:r>
          </w:p>
        </w:tc>
        <w:tc>
          <w:tcPr>
            <w:tcW w:w="2831" w:type="pct"/>
            <w:vAlign w:val="center"/>
            <w:hideMark/>
          </w:tcPr>
          <w:p w14:paraId="29F1BCEC" w14:textId="06D8790F"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Detected species in agroforestry and SRC strips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 | density more than a 0 in one of all poplar states | presence in poplar plantation 1st year after coppicing | bird territories for different salix heights | positive correlation between species abundance (n/km2) and surface area (ha) of tree plantations</w:t>
            </w:r>
          </w:p>
        </w:tc>
      </w:tr>
      <w:tr w:rsidR="002B273B" w:rsidRPr="004A2AA7" w14:paraId="1173DEC2" w14:textId="77777777" w:rsidTr="4C2C4C78">
        <w:trPr>
          <w:trHeight w:val="864"/>
        </w:trPr>
        <w:tc>
          <w:tcPr>
            <w:tcW w:w="1027" w:type="pct"/>
            <w:noWrap/>
            <w:vAlign w:val="center"/>
            <w:hideMark/>
          </w:tcPr>
          <w:p w14:paraId="4ADA3912"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Erithacus rubecula</w:t>
            </w:r>
          </w:p>
        </w:tc>
        <w:tc>
          <w:tcPr>
            <w:tcW w:w="364" w:type="pct"/>
            <w:noWrap/>
            <w:vAlign w:val="center"/>
            <w:hideMark/>
          </w:tcPr>
          <w:p w14:paraId="30CC42F4"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0.571</w:t>
            </w:r>
          </w:p>
        </w:tc>
        <w:tc>
          <w:tcPr>
            <w:tcW w:w="778" w:type="pct"/>
            <w:noWrap/>
            <w:vAlign w:val="center"/>
            <w:hideMark/>
          </w:tcPr>
          <w:p w14:paraId="2731553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14, 9, 1, 10, 13</w:t>
            </w:r>
          </w:p>
        </w:tc>
        <w:tc>
          <w:tcPr>
            <w:tcW w:w="2831" w:type="pct"/>
            <w:vAlign w:val="center"/>
            <w:hideMark/>
          </w:tcPr>
          <w:p w14:paraId="2A9E2EBD" w14:textId="200CDE51"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Detected species in agroforestry and SRC strips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 | density more than a 0 in one of all poplar states | presence in poplar plantation 1st year after coppicing | more than 0 in poplar plantations</w:t>
            </w:r>
          </w:p>
        </w:tc>
      </w:tr>
      <w:tr w:rsidR="002B273B" w:rsidRPr="004A2AA7" w14:paraId="6F01942E" w14:textId="77777777" w:rsidTr="4C2C4C78">
        <w:trPr>
          <w:trHeight w:val="864"/>
        </w:trPr>
        <w:tc>
          <w:tcPr>
            <w:tcW w:w="1027" w:type="pct"/>
            <w:noWrap/>
            <w:vAlign w:val="center"/>
            <w:hideMark/>
          </w:tcPr>
          <w:p w14:paraId="253560A4"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Phylloscopus trochilus</w:t>
            </w:r>
          </w:p>
        </w:tc>
        <w:tc>
          <w:tcPr>
            <w:tcW w:w="364" w:type="pct"/>
            <w:noWrap/>
            <w:vAlign w:val="center"/>
            <w:hideMark/>
          </w:tcPr>
          <w:p w14:paraId="0BC934D8"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2.172</w:t>
            </w:r>
          </w:p>
        </w:tc>
        <w:tc>
          <w:tcPr>
            <w:tcW w:w="778" w:type="pct"/>
            <w:noWrap/>
            <w:vAlign w:val="center"/>
            <w:hideMark/>
          </w:tcPr>
          <w:p w14:paraId="40FCFDF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14, 9, 2, 5, 13</w:t>
            </w:r>
          </w:p>
        </w:tc>
        <w:tc>
          <w:tcPr>
            <w:tcW w:w="2831" w:type="pct"/>
            <w:vAlign w:val="center"/>
            <w:hideMark/>
          </w:tcPr>
          <w:p w14:paraId="44A7A8C0" w14:textId="6EABDF14"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Detected species in agroforestry and SRC strips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 | positive preference for salix | bird territories for different salix heights | more than 0 in poplar plantations</w:t>
            </w:r>
          </w:p>
        </w:tc>
      </w:tr>
      <w:tr w:rsidR="002B273B" w:rsidRPr="004A2AA7" w14:paraId="5C6F9F3B" w14:textId="77777777" w:rsidTr="4C2C4C78">
        <w:trPr>
          <w:trHeight w:val="864"/>
        </w:trPr>
        <w:tc>
          <w:tcPr>
            <w:tcW w:w="1027" w:type="pct"/>
            <w:noWrap/>
            <w:vAlign w:val="center"/>
            <w:hideMark/>
          </w:tcPr>
          <w:p w14:paraId="2A9E9F06"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Sylvia communis</w:t>
            </w:r>
          </w:p>
        </w:tc>
        <w:tc>
          <w:tcPr>
            <w:tcW w:w="364" w:type="pct"/>
            <w:noWrap/>
            <w:vAlign w:val="center"/>
            <w:hideMark/>
          </w:tcPr>
          <w:p w14:paraId="22477BD4"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2.815</w:t>
            </w:r>
          </w:p>
        </w:tc>
        <w:tc>
          <w:tcPr>
            <w:tcW w:w="778" w:type="pct"/>
            <w:noWrap/>
            <w:vAlign w:val="center"/>
            <w:hideMark/>
          </w:tcPr>
          <w:p w14:paraId="2B6634E8"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14, 9, 2, 1, 5</w:t>
            </w:r>
          </w:p>
        </w:tc>
        <w:tc>
          <w:tcPr>
            <w:tcW w:w="2831" w:type="pct"/>
            <w:vAlign w:val="center"/>
            <w:hideMark/>
          </w:tcPr>
          <w:p w14:paraId="0B08674D" w14:textId="78B9AEC9"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Detected species in agroforestry and SRC strips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 | positive preference for salix | density more than a 0 in one of all poplar states | bird territories for different salix heights</w:t>
            </w:r>
          </w:p>
        </w:tc>
      </w:tr>
      <w:tr w:rsidR="002B273B" w:rsidRPr="004A2AA7" w14:paraId="587735FA" w14:textId="77777777" w:rsidTr="4C2C4C78">
        <w:trPr>
          <w:trHeight w:val="864"/>
        </w:trPr>
        <w:tc>
          <w:tcPr>
            <w:tcW w:w="1027" w:type="pct"/>
            <w:noWrap/>
            <w:vAlign w:val="center"/>
            <w:hideMark/>
          </w:tcPr>
          <w:p w14:paraId="413C855B"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Anthus trivialis</w:t>
            </w:r>
          </w:p>
        </w:tc>
        <w:tc>
          <w:tcPr>
            <w:tcW w:w="364" w:type="pct"/>
            <w:noWrap/>
            <w:vAlign w:val="center"/>
            <w:hideMark/>
          </w:tcPr>
          <w:p w14:paraId="49D4D59D"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0513D4E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9, 2, 1, 8</w:t>
            </w:r>
          </w:p>
        </w:tc>
        <w:tc>
          <w:tcPr>
            <w:tcW w:w="2831" w:type="pct"/>
            <w:vAlign w:val="center"/>
            <w:hideMark/>
          </w:tcPr>
          <w:p w14:paraId="64DB9F32" w14:textId="0E940052"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 | positive preference for salix | density more than a 0 in one of all poplar states | presence in willow tree groups, open woodland, canopy closed</w:t>
            </w:r>
          </w:p>
        </w:tc>
      </w:tr>
      <w:tr w:rsidR="002B273B" w:rsidRPr="004A2AA7" w14:paraId="153A1103" w14:textId="77777777" w:rsidTr="4C2C4C78">
        <w:trPr>
          <w:trHeight w:val="864"/>
        </w:trPr>
        <w:tc>
          <w:tcPr>
            <w:tcW w:w="1027" w:type="pct"/>
            <w:noWrap/>
            <w:vAlign w:val="center"/>
            <w:hideMark/>
          </w:tcPr>
          <w:p w14:paraId="705E987A"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Carduelis carduelis</w:t>
            </w:r>
          </w:p>
        </w:tc>
        <w:tc>
          <w:tcPr>
            <w:tcW w:w="364" w:type="pct"/>
            <w:noWrap/>
            <w:vAlign w:val="center"/>
            <w:hideMark/>
          </w:tcPr>
          <w:p w14:paraId="780C664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1.663</w:t>
            </w:r>
          </w:p>
        </w:tc>
        <w:tc>
          <w:tcPr>
            <w:tcW w:w="778" w:type="pct"/>
            <w:noWrap/>
            <w:vAlign w:val="center"/>
            <w:hideMark/>
          </w:tcPr>
          <w:p w14:paraId="0EBD53B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14, 9, 13, 8</w:t>
            </w:r>
          </w:p>
        </w:tc>
        <w:tc>
          <w:tcPr>
            <w:tcW w:w="2831" w:type="pct"/>
            <w:vAlign w:val="center"/>
            <w:hideMark/>
          </w:tcPr>
          <w:p w14:paraId="10407E4D" w14:textId="6059FAF3"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Detected species in agroforestry and SRC strips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 | more than 0 in poplar plantations | presence in willow tree groups, open woodland, canopy closed</w:t>
            </w:r>
          </w:p>
        </w:tc>
      </w:tr>
      <w:tr w:rsidR="002B273B" w:rsidRPr="004A2AA7" w14:paraId="369DBC51" w14:textId="77777777" w:rsidTr="4C2C4C78">
        <w:trPr>
          <w:trHeight w:val="864"/>
        </w:trPr>
        <w:tc>
          <w:tcPr>
            <w:tcW w:w="1027" w:type="pct"/>
            <w:noWrap/>
            <w:vAlign w:val="center"/>
            <w:hideMark/>
          </w:tcPr>
          <w:p w14:paraId="6FAB6D0A"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Columba palumbus</w:t>
            </w:r>
          </w:p>
        </w:tc>
        <w:tc>
          <w:tcPr>
            <w:tcW w:w="364" w:type="pct"/>
            <w:noWrap/>
            <w:vAlign w:val="center"/>
            <w:hideMark/>
          </w:tcPr>
          <w:p w14:paraId="1E830761"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2.277</w:t>
            </w:r>
          </w:p>
        </w:tc>
        <w:tc>
          <w:tcPr>
            <w:tcW w:w="778" w:type="pct"/>
            <w:noWrap/>
            <w:vAlign w:val="center"/>
            <w:hideMark/>
          </w:tcPr>
          <w:p w14:paraId="23BED9B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9, 1, 10, 8</w:t>
            </w:r>
          </w:p>
        </w:tc>
        <w:tc>
          <w:tcPr>
            <w:tcW w:w="2831" w:type="pct"/>
            <w:vAlign w:val="center"/>
            <w:hideMark/>
          </w:tcPr>
          <w:p w14:paraId="6BB26A1D" w14:textId="684317AD"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 | density more than a 0 in one of all poplar states | presence in poplar plantation 1st year after coppicing | presence in willow tree groups, open woodland, canopy closed</w:t>
            </w:r>
          </w:p>
        </w:tc>
      </w:tr>
      <w:tr w:rsidR="002B273B" w:rsidRPr="004A2AA7" w14:paraId="380AFD55" w14:textId="77777777" w:rsidTr="4C2C4C78">
        <w:trPr>
          <w:trHeight w:val="864"/>
        </w:trPr>
        <w:tc>
          <w:tcPr>
            <w:tcW w:w="1027" w:type="pct"/>
            <w:noWrap/>
            <w:vAlign w:val="center"/>
            <w:hideMark/>
          </w:tcPr>
          <w:p w14:paraId="5C4E4AE9"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Emberiza citrinella</w:t>
            </w:r>
          </w:p>
        </w:tc>
        <w:tc>
          <w:tcPr>
            <w:tcW w:w="364" w:type="pct"/>
            <w:noWrap/>
            <w:vAlign w:val="center"/>
            <w:hideMark/>
          </w:tcPr>
          <w:p w14:paraId="429CC488"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2.026</w:t>
            </w:r>
          </w:p>
        </w:tc>
        <w:tc>
          <w:tcPr>
            <w:tcW w:w="778" w:type="pct"/>
            <w:noWrap/>
            <w:vAlign w:val="center"/>
            <w:hideMark/>
          </w:tcPr>
          <w:p w14:paraId="132C60DD"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14, 7, 2, 8</w:t>
            </w:r>
          </w:p>
        </w:tc>
        <w:tc>
          <w:tcPr>
            <w:tcW w:w="2831" w:type="pct"/>
            <w:vAlign w:val="center"/>
            <w:hideMark/>
          </w:tcPr>
          <w:p w14:paraId="288CAE64"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Detected species in agroforestry and SRC strips | Species with breeding attempts in poplar | positive preference for salix | presence in willow tree groups, open woodland, canopy closed</w:t>
            </w:r>
          </w:p>
        </w:tc>
      </w:tr>
      <w:tr w:rsidR="002B273B" w:rsidRPr="004A2AA7" w14:paraId="0DA80D57" w14:textId="77777777" w:rsidTr="4C2C4C78">
        <w:trPr>
          <w:trHeight w:val="576"/>
        </w:trPr>
        <w:tc>
          <w:tcPr>
            <w:tcW w:w="1027" w:type="pct"/>
            <w:noWrap/>
            <w:vAlign w:val="center"/>
            <w:hideMark/>
          </w:tcPr>
          <w:p w14:paraId="18A578E7"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lastRenderedPageBreak/>
              <w:t>Sylvia borin</w:t>
            </w:r>
          </w:p>
        </w:tc>
        <w:tc>
          <w:tcPr>
            <w:tcW w:w="364" w:type="pct"/>
            <w:noWrap/>
            <w:vAlign w:val="center"/>
            <w:hideMark/>
          </w:tcPr>
          <w:p w14:paraId="1F1BF34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0E51084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14, 2, 1, 5</w:t>
            </w:r>
          </w:p>
        </w:tc>
        <w:tc>
          <w:tcPr>
            <w:tcW w:w="2831" w:type="pct"/>
            <w:vAlign w:val="center"/>
            <w:hideMark/>
          </w:tcPr>
          <w:p w14:paraId="55B7F7B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Detected species in agroforestry and SRC strips | positive preference for salix | density more than a 0 in one of all poplar states | bird territories for different salix heights</w:t>
            </w:r>
          </w:p>
        </w:tc>
      </w:tr>
      <w:tr w:rsidR="002B273B" w:rsidRPr="004A2AA7" w14:paraId="7DFBBA8D" w14:textId="77777777" w:rsidTr="4C2C4C78">
        <w:trPr>
          <w:trHeight w:val="576"/>
        </w:trPr>
        <w:tc>
          <w:tcPr>
            <w:tcW w:w="1027" w:type="pct"/>
            <w:noWrap/>
            <w:vAlign w:val="center"/>
            <w:hideMark/>
          </w:tcPr>
          <w:p w14:paraId="031489DE"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Acrocephalus palustris</w:t>
            </w:r>
          </w:p>
        </w:tc>
        <w:tc>
          <w:tcPr>
            <w:tcW w:w="364" w:type="pct"/>
            <w:noWrap/>
            <w:vAlign w:val="center"/>
            <w:hideMark/>
          </w:tcPr>
          <w:p w14:paraId="45F9B32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175AF781"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14, 2, 5</w:t>
            </w:r>
          </w:p>
        </w:tc>
        <w:tc>
          <w:tcPr>
            <w:tcW w:w="2831" w:type="pct"/>
            <w:vAlign w:val="center"/>
            <w:hideMark/>
          </w:tcPr>
          <w:p w14:paraId="17D5BE8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Detected species in agroforestry and SRC strips | positive preference for salix | bird territories for different salix heights</w:t>
            </w:r>
          </w:p>
        </w:tc>
      </w:tr>
      <w:tr w:rsidR="002B273B" w:rsidRPr="004A2AA7" w14:paraId="3CB9120F" w14:textId="77777777" w:rsidTr="4C2C4C78">
        <w:trPr>
          <w:trHeight w:val="576"/>
        </w:trPr>
        <w:tc>
          <w:tcPr>
            <w:tcW w:w="1027" w:type="pct"/>
            <w:noWrap/>
            <w:vAlign w:val="center"/>
            <w:hideMark/>
          </w:tcPr>
          <w:p w14:paraId="3D30AE2E"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Carduelis chloris</w:t>
            </w:r>
          </w:p>
        </w:tc>
        <w:tc>
          <w:tcPr>
            <w:tcW w:w="364" w:type="pct"/>
            <w:noWrap/>
            <w:vAlign w:val="center"/>
            <w:hideMark/>
          </w:tcPr>
          <w:p w14:paraId="0F96F76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0.954</w:t>
            </w:r>
          </w:p>
        </w:tc>
        <w:tc>
          <w:tcPr>
            <w:tcW w:w="778" w:type="pct"/>
            <w:noWrap/>
            <w:vAlign w:val="center"/>
            <w:hideMark/>
          </w:tcPr>
          <w:p w14:paraId="2D9DD1F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9, 2, 8</w:t>
            </w:r>
          </w:p>
        </w:tc>
        <w:tc>
          <w:tcPr>
            <w:tcW w:w="2831" w:type="pct"/>
            <w:vAlign w:val="center"/>
            <w:hideMark/>
          </w:tcPr>
          <w:p w14:paraId="1A8D606E" w14:textId="6FCFD1C0"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 | positive preference for salix | presence in willow tree groups, open woodland, canopy closed</w:t>
            </w:r>
          </w:p>
        </w:tc>
      </w:tr>
      <w:tr w:rsidR="002B273B" w:rsidRPr="004A2AA7" w14:paraId="5023854A" w14:textId="77777777" w:rsidTr="4C2C4C78">
        <w:trPr>
          <w:trHeight w:val="1152"/>
        </w:trPr>
        <w:tc>
          <w:tcPr>
            <w:tcW w:w="1027" w:type="pct"/>
            <w:noWrap/>
            <w:vAlign w:val="center"/>
            <w:hideMark/>
          </w:tcPr>
          <w:p w14:paraId="22F6A8D6"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Dryobates minor</w:t>
            </w:r>
          </w:p>
        </w:tc>
        <w:tc>
          <w:tcPr>
            <w:tcW w:w="364" w:type="pct"/>
            <w:noWrap/>
            <w:vAlign w:val="center"/>
            <w:hideMark/>
          </w:tcPr>
          <w:p w14:paraId="6BB7D5F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0698FFE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4, 12, 11</w:t>
            </w:r>
          </w:p>
        </w:tc>
        <w:tc>
          <w:tcPr>
            <w:tcW w:w="2831" w:type="pct"/>
            <w:vAlign w:val="center"/>
            <w:hideMark/>
          </w:tcPr>
          <w:p w14:paraId="369D6B20"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the cover of both riparian woodlands and traditional poplar plantations at the home-range scale and the one of woodland within 1.5 km positively influenced | presence in plantation but significantly lower than natural woodland | Tolerates or benefits when plantations are near native woodlands.</w:t>
            </w:r>
          </w:p>
        </w:tc>
      </w:tr>
      <w:tr w:rsidR="002B273B" w:rsidRPr="004A2AA7" w14:paraId="7FCBDB24" w14:textId="77777777" w:rsidTr="4C2C4C78">
        <w:trPr>
          <w:trHeight w:val="864"/>
        </w:trPr>
        <w:tc>
          <w:tcPr>
            <w:tcW w:w="1027" w:type="pct"/>
            <w:noWrap/>
            <w:vAlign w:val="center"/>
            <w:hideMark/>
          </w:tcPr>
          <w:p w14:paraId="7DBD397A"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Luscinia megarhynchos</w:t>
            </w:r>
          </w:p>
        </w:tc>
        <w:tc>
          <w:tcPr>
            <w:tcW w:w="364" w:type="pct"/>
            <w:noWrap/>
            <w:vAlign w:val="center"/>
            <w:hideMark/>
          </w:tcPr>
          <w:p w14:paraId="5F52F61A"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0CB83C2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9, 1, 3</w:t>
            </w:r>
          </w:p>
        </w:tc>
        <w:tc>
          <w:tcPr>
            <w:tcW w:w="2831" w:type="pct"/>
            <w:vAlign w:val="center"/>
            <w:hideMark/>
          </w:tcPr>
          <w:p w14:paraId="12E895EA" w14:textId="15B2681B"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 | density more than a 0 in one of all poplar states | positive correlation between species </w:t>
            </w: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(n/km2) and surface area (ha) of tree plantations</w:t>
            </w:r>
          </w:p>
        </w:tc>
      </w:tr>
      <w:tr w:rsidR="002B273B" w:rsidRPr="004A2AA7" w14:paraId="58CE67B6" w14:textId="77777777" w:rsidTr="4C2C4C78">
        <w:trPr>
          <w:trHeight w:val="576"/>
        </w:trPr>
        <w:tc>
          <w:tcPr>
            <w:tcW w:w="1027" w:type="pct"/>
            <w:noWrap/>
            <w:vAlign w:val="center"/>
            <w:hideMark/>
          </w:tcPr>
          <w:p w14:paraId="4AA2E991"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Picus viridis</w:t>
            </w:r>
          </w:p>
        </w:tc>
        <w:tc>
          <w:tcPr>
            <w:tcW w:w="364" w:type="pct"/>
            <w:noWrap/>
            <w:vAlign w:val="center"/>
            <w:hideMark/>
          </w:tcPr>
          <w:p w14:paraId="66E7325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2.049</w:t>
            </w:r>
          </w:p>
        </w:tc>
        <w:tc>
          <w:tcPr>
            <w:tcW w:w="778" w:type="pct"/>
            <w:noWrap/>
            <w:vAlign w:val="center"/>
            <w:hideMark/>
          </w:tcPr>
          <w:p w14:paraId="4E825B0A"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9, 8, 4</w:t>
            </w:r>
          </w:p>
        </w:tc>
        <w:tc>
          <w:tcPr>
            <w:tcW w:w="2831" w:type="pct"/>
            <w:vAlign w:val="center"/>
            <w:hideMark/>
          </w:tcPr>
          <w:p w14:paraId="79EB7402" w14:textId="129791DE"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 | presence in willow tree groups, open woodland, canopy closed | both natural and cultivated vegetation positively influenced its presence</w:t>
            </w:r>
          </w:p>
        </w:tc>
      </w:tr>
      <w:tr w:rsidR="002B273B" w:rsidRPr="004A2AA7" w14:paraId="17C2F011" w14:textId="77777777" w:rsidTr="4C2C4C78">
        <w:trPr>
          <w:trHeight w:val="576"/>
        </w:trPr>
        <w:tc>
          <w:tcPr>
            <w:tcW w:w="1027" w:type="pct"/>
            <w:noWrap/>
            <w:vAlign w:val="center"/>
            <w:hideMark/>
          </w:tcPr>
          <w:p w14:paraId="016D9C0B"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Sturnus vulgaris</w:t>
            </w:r>
          </w:p>
        </w:tc>
        <w:tc>
          <w:tcPr>
            <w:tcW w:w="364" w:type="pct"/>
            <w:noWrap/>
            <w:vAlign w:val="center"/>
            <w:hideMark/>
          </w:tcPr>
          <w:p w14:paraId="65080D30"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1.1</w:t>
            </w:r>
          </w:p>
        </w:tc>
        <w:tc>
          <w:tcPr>
            <w:tcW w:w="778" w:type="pct"/>
            <w:noWrap/>
            <w:vAlign w:val="center"/>
            <w:hideMark/>
          </w:tcPr>
          <w:p w14:paraId="00EED750"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6, 1, 8</w:t>
            </w:r>
          </w:p>
        </w:tc>
        <w:tc>
          <w:tcPr>
            <w:tcW w:w="2831" w:type="pct"/>
            <w:vAlign w:val="center"/>
            <w:hideMark/>
          </w:tcPr>
          <w:p w14:paraId="65C6D414" w14:textId="4904886B"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Forest and ecotone </w:t>
            </w:r>
            <w:r w:rsidR="000970ED" w:rsidRPr="002B273B">
              <w:rPr>
                <w:rFonts w:ascii="Aptos Narrow" w:eastAsia="Times New Roman" w:hAnsi="Aptos Narrow" w:cs="Times New Roman"/>
                <w:color w:val="000000"/>
                <w:kern w:val="0"/>
                <w:lang w:eastAsia="fi-FI"/>
                <w14:ligatures w14:val="none"/>
              </w:rPr>
              <w:t>birds’</w:t>
            </w:r>
            <w:r w:rsidRPr="004A2AA7">
              <w:rPr>
                <w:rFonts w:ascii="Aptos Narrow" w:eastAsia="Times New Roman" w:hAnsi="Aptos Narrow" w:cs="Times New Roman"/>
                <w:color w:val="000000"/>
                <w:kern w:val="0"/>
                <w:lang w:eastAsia="fi-FI"/>
                <w14:ligatures w14:val="none"/>
              </w:rPr>
              <w:t xml:space="preserve"> presence in tree stage SRC  | density more than a 0 in one of all poplar states | presence in willow tree groups, open woodland, canopy closed</w:t>
            </w:r>
          </w:p>
        </w:tc>
      </w:tr>
      <w:tr w:rsidR="002B273B" w:rsidRPr="004A2AA7" w14:paraId="1DAD51CA" w14:textId="77777777" w:rsidTr="4C2C4C78">
        <w:trPr>
          <w:trHeight w:val="288"/>
        </w:trPr>
        <w:tc>
          <w:tcPr>
            <w:tcW w:w="1027" w:type="pct"/>
            <w:noWrap/>
            <w:vAlign w:val="center"/>
            <w:hideMark/>
          </w:tcPr>
          <w:p w14:paraId="2C80713A"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Carduelis cannabina</w:t>
            </w:r>
          </w:p>
        </w:tc>
        <w:tc>
          <w:tcPr>
            <w:tcW w:w="364" w:type="pct"/>
            <w:noWrap/>
            <w:vAlign w:val="center"/>
            <w:hideMark/>
          </w:tcPr>
          <w:p w14:paraId="5684889F"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0.694</w:t>
            </w:r>
          </w:p>
        </w:tc>
        <w:tc>
          <w:tcPr>
            <w:tcW w:w="778" w:type="pct"/>
            <w:noWrap/>
            <w:vAlign w:val="center"/>
            <w:hideMark/>
          </w:tcPr>
          <w:p w14:paraId="357A31B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9, 2</w:t>
            </w:r>
          </w:p>
        </w:tc>
        <w:tc>
          <w:tcPr>
            <w:tcW w:w="2831" w:type="pct"/>
            <w:vAlign w:val="center"/>
            <w:hideMark/>
          </w:tcPr>
          <w:p w14:paraId="2BD1761F" w14:textId="44B069B3"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 | positive preference for salix</w:t>
            </w:r>
          </w:p>
        </w:tc>
      </w:tr>
      <w:tr w:rsidR="002B273B" w:rsidRPr="004A2AA7" w14:paraId="5494C734" w14:textId="77777777" w:rsidTr="4C2C4C78">
        <w:trPr>
          <w:trHeight w:val="576"/>
        </w:trPr>
        <w:tc>
          <w:tcPr>
            <w:tcW w:w="1027" w:type="pct"/>
            <w:noWrap/>
            <w:vAlign w:val="center"/>
            <w:hideMark/>
          </w:tcPr>
          <w:p w14:paraId="1D2773A6"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Certhia brachydactyla</w:t>
            </w:r>
          </w:p>
        </w:tc>
        <w:tc>
          <w:tcPr>
            <w:tcW w:w="364" w:type="pct"/>
            <w:noWrap/>
            <w:vAlign w:val="center"/>
            <w:hideMark/>
          </w:tcPr>
          <w:p w14:paraId="0D8C62CD"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5DB70E7D"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1, 8</w:t>
            </w:r>
          </w:p>
        </w:tc>
        <w:tc>
          <w:tcPr>
            <w:tcW w:w="2831" w:type="pct"/>
            <w:vAlign w:val="center"/>
            <w:hideMark/>
          </w:tcPr>
          <w:p w14:paraId="52B3BE35"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density more than a 0 in one of all poplar states | presence in willow tree groups, open woodland, canopy closed</w:t>
            </w:r>
          </w:p>
        </w:tc>
      </w:tr>
      <w:tr w:rsidR="002B273B" w:rsidRPr="004A2AA7" w14:paraId="5644A892" w14:textId="77777777" w:rsidTr="4C2C4C78">
        <w:trPr>
          <w:trHeight w:val="576"/>
        </w:trPr>
        <w:tc>
          <w:tcPr>
            <w:tcW w:w="1027" w:type="pct"/>
            <w:noWrap/>
            <w:vAlign w:val="center"/>
            <w:hideMark/>
          </w:tcPr>
          <w:p w14:paraId="6AAAE876"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Cettia cetti</w:t>
            </w:r>
          </w:p>
        </w:tc>
        <w:tc>
          <w:tcPr>
            <w:tcW w:w="364" w:type="pct"/>
            <w:noWrap/>
            <w:vAlign w:val="center"/>
            <w:hideMark/>
          </w:tcPr>
          <w:p w14:paraId="39A4D72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03DEB64F"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9, 3</w:t>
            </w:r>
          </w:p>
        </w:tc>
        <w:tc>
          <w:tcPr>
            <w:tcW w:w="2831" w:type="pct"/>
            <w:vAlign w:val="center"/>
            <w:hideMark/>
          </w:tcPr>
          <w:p w14:paraId="12049E96" w14:textId="5FAB3D5F"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 | positive correlation between species abundance (n/km2) and surface area (ha) of tree plantations</w:t>
            </w:r>
          </w:p>
        </w:tc>
      </w:tr>
      <w:tr w:rsidR="002B273B" w:rsidRPr="004A2AA7" w14:paraId="67ECF0DE" w14:textId="77777777" w:rsidTr="4C2C4C78">
        <w:trPr>
          <w:trHeight w:val="576"/>
        </w:trPr>
        <w:tc>
          <w:tcPr>
            <w:tcW w:w="1027" w:type="pct"/>
            <w:noWrap/>
            <w:vAlign w:val="center"/>
            <w:hideMark/>
          </w:tcPr>
          <w:p w14:paraId="2303DF34"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Coccothraustes coccothraustes</w:t>
            </w:r>
          </w:p>
        </w:tc>
        <w:tc>
          <w:tcPr>
            <w:tcW w:w="364" w:type="pct"/>
            <w:noWrap/>
            <w:vAlign w:val="center"/>
            <w:hideMark/>
          </w:tcPr>
          <w:p w14:paraId="6696928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39800735"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6, 9</w:t>
            </w:r>
          </w:p>
        </w:tc>
        <w:tc>
          <w:tcPr>
            <w:tcW w:w="2831" w:type="pct"/>
            <w:vAlign w:val="center"/>
            <w:hideMark/>
          </w:tcPr>
          <w:p w14:paraId="7FA13EA3" w14:textId="05F62E44"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Forest and ecotone </w:t>
            </w:r>
            <w:r w:rsidR="000970ED" w:rsidRPr="002B273B">
              <w:rPr>
                <w:rFonts w:ascii="Aptos Narrow" w:eastAsia="Times New Roman" w:hAnsi="Aptos Narrow" w:cs="Times New Roman"/>
                <w:color w:val="000000"/>
                <w:kern w:val="0"/>
                <w:lang w:eastAsia="fi-FI"/>
                <w14:ligatures w14:val="none"/>
              </w:rPr>
              <w:t>birds’</w:t>
            </w:r>
            <w:r w:rsidRPr="004A2AA7">
              <w:rPr>
                <w:rFonts w:ascii="Aptos Narrow" w:eastAsia="Times New Roman" w:hAnsi="Aptos Narrow" w:cs="Times New Roman"/>
                <w:color w:val="000000"/>
                <w:kern w:val="0"/>
                <w:lang w:eastAsia="fi-FI"/>
                <w14:ligatures w14:val="none"/>
              </w:rPr>
              <w:t xml:space="preserve"> presence in tree stage SRC  | </w:t>
            </w:r>
            <w:r w:rsidR="00613EF9">
              <w:rPr>
                <w:rFonts w:ascii="Aptos Narrow" w:eastAsia="Times New Roman" w:hAnsi="Aptos Narrow" w:cs="Times New Roman"/>
                <w:color w:val="000000"/>
                <w:kern w:val="0"/>
                <w:lang w:eastAsia="fi-FI"/>
                <w14:ligatures w14:val="none"/>
              </w:rPr>
              <w:t>abundance</w:t>
            </w:r>
            <w:r w:rsidRPr="004A2AA7">
              <w:rPr>
                <w:rFonts w:ascii="Aptos Narrow" w:eastAsia="Times New Roman" w:hAnsi="Aptos Narrow" w:cs="Times New Roman"/>
                <w:color w:val="000000"/>
                <w:kern w:val="0"/>
                <w:lang w:eastAsia="fi-FI"/>
                <w14:ligatures w14:val="none"/>
              </w:rPr>
              <w:t xml:space="preserve"> more than 0 in poplar stands</w:t>
            </w:r>
          </w:p>
        </w:tc>
      </w:tr>
      <w:tr w:rsidR="002B273B" w:rsidRPr="004A2AA7" w14:paraId="1D44B77D" w14:textId="77777777" w:rsidTr="4C2C4C78">
        <w:trPr>
          <w:trHeight w:val="576"/>
        </w:trPr>
        <w:tc>
          <w:tcPr>
            <w:tcW w:w="1027" w:type="pct"/>
            <w:noWrap/>
            <w:vAlign w:val="center"/>
            <w:hideMark/>
          </w:tcPr>
          <w:p w14:paraId="07E16605"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Corvus corone</w:t>
            </w:r>
          </w:p>
        </w:tc>
        <w:tc>
          <w:tcPr>
            <w:tcW w:w="364" w:type="pct"/>
            <w:noWrap/>
            <w:vAlign w:val="center"/>
            <w:hideMark/>
          </w:tcPr>
          <w:p w14:paraId="6D137A7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3.24</w:t>
            </w:r>
          </w:p>
        </w:tc>
        <w:tc>
          <w:tcPr>
            <w:tcW w:w="778" w:type="pct"/>
            <w:noWrap/>
            <w:vAlign w:val="center"/>
            <w:hideMark/>
          </w:tcPr>
          <w:p w14:paraId="1F4E57B0"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9, 8</w:t>
            </w:r>
          </w:p>
        </w:tc>
        <w:tc>
          <w:tcPr>
            <w:tcW w:w="2831" w:type="pct"/>
            <w:vAlign w:val="center"/>
            <w:hideMark/>
          </w:tcPr>
          <w:p w14:paraId="1B86CBCA" w14:textId="1AD84D3A"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 | presence in willow tree groups, open woodland, canopy closed</w:t>
            </w:r>
          </w:p>
        </w:tc>
      </w:tr>
      <w:tr w:rsidR="002B273B" w:rsidRPr="004A2AA7" w14:paraId="56886D25" w14:textId="77777777" w:rsidTr="4C2C4C78">
        <w:trPr>
          <w:trHeight w:val="576"/>
        </w:trPr>
        <w:tc>
          <w:tcPr>
            <w:tcW w:w="1027" w:type="pct"/>
            <w:noWrap/>
            <w:vAlign w:val="center"/>
            <w:hideMark/>
          </w:tcPr>
          <w:p w14:paraId="703FE53D"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Cuculus canorus</w:t>
            </w:r>
          </w:p>
        </w:tc>
        <w:tc>
          <w:tcPr>
            <w:tcW w:w="364" w:type="pct"/>
            <w:noWrap/>
            <w:vAlign w:val="center"/>
            <w:hideMark/>
          </w:tcPr>
          <w:p w14:paraId="5E4A432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61FF21E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9, 3</w:t>
            </w:r>
          </w:p>
        </w:tc>
        <w:tc>
          <w:tcPr>
            <w:tcW w:w="2831" w:type="pct"/>
            <w:vAlign w:val="center"/>
            <w:hideMark/>
          </w:tcPr>
          <w:p w14:paraId="13C3B877" w14:textId="58E4F914"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 | positive correlation between species abundance (n/km2) and surface area (ha) of tree plantations</w:t>
            </w:r>
          </w:p>
        </w:tc>
      </w:tr>
      <w:tr w:rsidR="002B273B" w:rsidRPr="004A2AA7" w14:paraId="42F7CB0A" w14:textId="77777777" w:rsidTr="4C2C4C78">
        <w:trPr>
          <w:trHeight w:val="288"/>
        </w:trPr>
        <w:tc>
          <w:tcPr>
            <w:tcW w:w="1027" w:type="pct"/>
            <w:noWrap/>
            <w:vAlign w:val="center"/>
            <w:hideMark/>
          </w:tcPr>
          <w:p w14:paraId="4ACFFBF5"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lastRenderedPageBreak/>
              <w:t>Emberiza schoeniclus</w:t>
            </w:r>
          </w:p>
        </w:tc>
        <w:tc>
          <w:tcPr>
            <w:tcW w:w="364" w:type="pct"/>
            <w:noWrap/>
            <w:vAlign w:val="center"/>
            <w:hideMark/>
          </w:tcPr>
          <w:p w14:paraId="2801C5D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0.952</w:t>
            </w:r>
          </w:p>
        </w:tc>
        <w:tc>
          <w:tcPr>
            <w:tcW w:w="778" w:type="pct"/>
            <w:noWrap/>
            <w:vAlign w:val="center"/>
            <w:hideMark/>
          </w:tcPr>
          <w:p w14:paraId="670F88C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2, 5</w:t>
            </w:r>
          </w:p>
        </w:tc>
        <w:tc>
          <w:tcPr>
            <w:tcW w:w="2831" w:type="pct"/>
            <w:vAlign w:val="center"/>
            <w:hideMark/>
          </w:tcPr>
          <w:p w14:paraId="59FFBCB8"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 | bird territories for different salix heights</w:t>
            </w:r>
          </w:p>
        </w:tc>
      </w:tr>
      <w:tr w:rsidR="002B273B" w:rsidRPr="004A2AA7" w14:paraId="08227B19" w14:textId="77777777" w:rsidTr="4C2C4C78">
        <w:trPr>
          <w:trHeight w:val="864"/>
        </w:trPr>
        <w:tc>
          <w:tcPr>
            <w:tcW w:w="1027" w:type="pct"/>
            <w:noWrap/>
            <w:vAlign w:val="center"/>
            <w:hideMark/>
          </w:tcPr>
          <w:p w14:paraId="37352390"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Garrulus glandarius</w:t>
            </w:r>
          </w:p>
        </w:tc>
        <w:tc>
          <w:tcPr>
            <w:tcW w:w="364" w:type="pct"/>
            <w:noWrap/>
            <w:vAlign w:val="center"/>
            <w:hideMark/>
          </w:tcPr>
          <w:p w14:paraId="0CA2187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0.702</w:t>
            </w:r>
          </w:p>
        </w:tc>
        <w:tc>
          <w:tcPr>
            <w:tcW w:w="778" w:type="pct"/>
            <w:noWrap/>
            <w:vAlign w:val="center"/>
            <w:hideMark/>
          </w:tcPr>
          <w:p w14:paraId="419250B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8, 4</w:t>
            </w:r>
          </w:p>
        </w:tc>
        <w:tc>
          <w:tcPr>
            <w:tcW w:w="2831" w:type="pct"/>
            <w:vAlign w:val="center"/>
            <w:hideMark/>
          </w:tcPr>
          <w:p w14:paraId="252E9BFA"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willow tree groups, open woodland, canopy closed | the percentage cover of SRCs/ reforestation at the home range scale, and the edge density of tree plantation patches within 1 km best explained the occurrence</w:t>
            </w:r>
          </w:p>
        </w:tc>
      </w:tr>
      <w:tr w:rsidR="002B273B" w:rsidRPr="004A2AA7" w14:paraId="3D98561E" w14:textId="77777777" w:rsidTr="4C2C4C78">
        <w:trPr>
          <w:trHeight w:val="288"/>
        </w:trPr>
        <w:tc>
          <w:tcPr>
            <w:tcW w:w="1027" w:type="pct"/>
            <w:noWrap/>
            <w:vAlign w:val="center"/>
            <w:hideMark/>
          </w:tcPr>
          <w:p w14:paraId="2DD9272E"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Locustella naevia</w:t>
            </w:r>
          </w:p>
        </w:tc>
        <w:tc>
          <w:tcPr>
            <w:tcW w:w="364" w:type="pct"/>
            <w:noWrap/>
            <w:vAlign w:val="center"/>
            <w:hideMark/>
          </w:tcPr>
          <w:p w14:paraId="7EC0D2E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46687EF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2, 1</w:t>
            </w:r>
          </w:p>
        </w:tc>
        <w:tc>
          <w:tcPr>
            <w:tcW w:w="2831" w:type="pct"/>
            <w:vAlign w:val="center"/>
            <w:hideMark/>
          </w:tcPr>
          <w:p w14:paraId="31DB1A9A"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 | density more than a 0 in one of all poplar states</w:t>
            </w:r>
          </w:p>
        </w:tc>
      </w:tr>
      <w:tr w:rsidR="002B273B" w:rsidRPr="004A2AA7" w14:paraId="71DA8727" w14:textId="77777777" w:rsidTr="4C2C4C78">
        <w:trPr>
          <w:trHeight w:val="288"/>
        </w:trPr>
        <w:tc>
          <w:tcPr>
            <w:tcW w:w="1027" w:type="pct"/>
            <w:noWrap/>
            <w:vAlign w:val="center"/>
            <w:hideMark/>
          </w:tcPr>
          <w:p w14:paraId="182CA461"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Luscinia luscinia</w:t>
            </w:r>
          </w:p>
        </w:tc>
        <w:tc>
          <w:tcPr>
            <w:tcW w:w="364" w:type="pct"/>
            <w:noWrap/>
            <w:vAlign w:val="center"/>
            <w:hideMark/>
          </w:tcPr>
          <w:p w14:paraId="03AACAC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4A32B85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2, 5</w:t>
            </w:r>
          </w:p>
        </w:tc>
        <w:tc>
          <w:tcPr>
            <w:tcW w:w="2831" w:type="pct"/>
            <w:vAlign w:val="center"/>
            <w:hideMark/>
          </w:tcPr>
          <w:p w14:paraId="16D7DA3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 | bird territories for different salix heights</w:t>
            </w:r>
          </w:p>
        </w:tc>
      </w:tr>
      <w:tr w:rsidR="002B273B" w:rsidRPr="004A2AA7" w14:paraId="1086857D" w14:textId="77777777" w:rsidTr="4C2C4C78">
        <w:trPr>
          <w:trHeight w:val="576"/>
        </w:trPr>
        <w:tc>
          <w:tcPr>
            <w:tcW w:w="1027" w:type="pct"/>
            <w:noWrap/>
            <w:vAlign w:val="center"/>
            <w:hideMark/>
          </w:tcPr>
          <w:p w14:paraId="677FDEF3"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Muscicapa striata</w:t>
            </w:r>
          </w:p>
        </w:tc>
        <w:tc>
          <w:tcPr>
            <w:tcW w:w="364" w:type="pct"/>
            <w:noWrap/>
            <w:vAlign w:val="center"/>
            <w:hideMark/>
          </w:tcPr>
          <w:p w14:paraId="2F98ECD1"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3.377</w:t>
            </w:r>
          </w:p>
        </w:tc>
        <w:tc>
          <w:tcPr>
            <w:tcW w:w="778" w:type="pct"/>
            <w:noWrap/>
            <w:vAlign w:val="center"/>
            <w:hideMark/>
          </w:tcPr>
          <w:p w14:paraId="18C1CDE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8, 3</w:t>
            </w:r>
          </w:p>
        </w:tc>
        <w:tc>
          <w:tcPr>
            <w:tcW w:w="2831" w:type="pct"/>
            <w:vAlign w:val="center"/>
            <w:hideMark/>
          </w:tcPr>
          <w:p w14:paraId="5E05687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willow tree groups, open woodland, canopy closed | positive correlation between species abundance (n/km2) and surface area (ha) of tree plantations</w:t>
            </w:r>
          </w:p>
        </w:tc>
      </w:tr>
      <w:tr w:rsidR="002B273B" w:rsidRPr="004A2AA7" w14:paraId="563DA203" w14:textId="77777777" w:rsidTr="4C2C4C78">
        <w:trPr>
          <w:trHeight w:val="576"/>
        </w:trPr>
        <w:tc>
          <w:tcPr>
            <w:tcW w:w="1027" w:type="pct"/>
            <w:noWrap/>
            <w:vAlign w:val="center"/>
            <w:hideMark/>
          </w:tcPr>
          <w:p w14:paraId="13BBCC7A"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Passer montanus</w:t>
            </w:r>
          </w:p>
        </w:tc>
        <w:tc>
          <w:tcPr>
            <w:tcW w:w="364" w:type="pct"/>
            <w:noWrap/>
            <w:vAlign w:val="center"/>
            <w:hideMark/>
          </w:tcPr>
          <w:p w14:paraId="26A0236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0.717</w:t>
            </w:r>
          </w:p>
        </w:tc>
        <w:tc>
          <w:tcPr>
            <w:tcW w:w="778" w:type="pct"/>
            <w:noWrap/>
            <w:vAlign w:val="center"/>
            <w:hideMark/>
          </w:tcPr>
          <w:p w14:paraId="687B4AB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14, 8</w:t>
            </w:r>
          </w:p>
        </w:tc>
        <w:tc>
          <w:tcPr>
            <w:tcW w:w="2831" w:type="pct"/>
            <w:vAlign w:val="center"/>
            <w:hideMark/>
          </w:tcPr>
          <w:p w14:paraId="5CEEF51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Detected species in agroforestry and SRC strips | presence in willow tree groups, open woodland, canopy closed</w:t>
            </w:r>
          </w:p>
        </w:tc>
      </w:tr>
      <w:tr w:rsidR="002B273B" w:rsidRPr="004A2AA7" w14:paraId="06F8FE77" w14:textId="77777777" w:rsidTr="4C2C4C78">
        <w:trPr>
          <w:trHeight w:val="288"/>
        </w:trPr>
        <w:tc>
          <w:tcPr>
            <w:tcW w:w="1027" w:type="pct"/>
            <w:noWrap/>
            <w:vAlign w:val="center"/>
            <w:hideMark/>
          </w:tcPr>
          <w:p w14:paraId="157D3671"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Phasianus colchicus</w:t>
            </w:r>
          </w:p>
        </w:tc>
        <w:tc>
          <w:tcPr>
            <w:tcW w:w="364" w:type="pct"/>
            <w:noWrap/>
            <w:vAlign w:val="center"/>
            <w:hideMark/>
          </w:tcPr>
          <w:p w14:paraId="7F9E4F5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7757731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2, 5</w:t>
            </w:r>
          </w:p>
        </w:tc>
        <w:tc>
          <w:tcPr>
            <w:tcW w:w="2831" w:type="pct"/>
            <w:vAlign w:val="center"/>
            <w:hideMark/>
          </w:tcPr>
          <w:p w14:paraId="70E7C838"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 | bird territories for different salix heights</w:t>
            </w:r>
          </w:p>
        </w:tc>
      </w:tr>
      <w:tr w:rsidR="002B273B" w:rsidRPr="004A2AA7" w14:paraId="25D31793" w14:textId="77777777" w:rsidTr="4C2C4C78">
        <w:trPr>
          <w:trHeight w:val="576"/>
        </w:trPr>
        <w:tc>
          <w:tcPr>
            <w:tcW w:w="1027" w:type="pct"/>
            <w:noWrap/>
            <w:vAlign w:val="center"/>
            <w:hideMark/>
          </w:tcPr>
          <w:p w14:paraId="1946C0EC"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Pica pica</w:t>
            </w:r>
          </w:p>
        </w:tc>
        <w:tc>
          <w:tcPr>
            <w:tcW w:w="364" w:type="pct"/>
            <w:noWrap/>
            <w:vAlign w:val="center"/>
            <w:hideMark/>
          </w:tcPr>
          <w:p w14:paraId="4A63DF3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1.033</w:t>
            </w:r>
          </w:p>
        </w:tc>
        <w:tc>
          <w:tcPr>
            <w:tcW w:w="778" w:type="pct"/>
            <w:noWrap/>
            <w:vAlign w:val="center"/>
            <w:hideMark/>
          </w:tcPr>
          <w:p w14:paraId="74775E1A"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10, 8</w:t>
            </w:r>
          </w:p>
        </w:tc>
        <w:tc>
          <w:tcPr>
            <w:tcW w:w="2831" w:type="pct"/>
            <w:vAlign w:val="center"/>
            <w:hideMark/>
          </w:tcPr>
          <w:p w14:paraId="226207D4"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poplar plantation 1st year after coppicing | presence in willow tree groups, open woodland, canopy closed</w:t>
            </w:r>
          </w:p>
        </w:tc>
      </w:tr>
      <w:tr w:rsidR="002B273B" w:rsidRPr="004A2AA7" w14:paraId="00F8C395" w14:textId="77777777" w:rsidTr="4C2C4C78">
        <w:trPr>
          <w:trHeight w:val="576"/>
        </w:trPr>
        <w:tc>
          <w:tcPr>
            <w:tcW w:w="1027" w:type="pct"/>
            <w:noWrap/>
            <w:vAlign w:val="center"/>
            <w:hideMark/>
          </w:tcPr>
          <w:p w14:paraId="2E3C27CA"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Poecile palustris</w:t>
            </w:r>
          </w:p>
        </w:tc>
        <w:tc>
          <w:tcPr>
            <w:tcW w:w="364" w:type="pct"/>
            <w:noWrap/>
            <w:vAlign w:val="center"/>
            <w:hideMark/>
          </w:tcPr>
          <w:p w14:paraId="54CF2B80"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2AC4B36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4, 11</w:t>
            </w:r>
          </w:p>
        </w:tc>
        <w:tc>
          <w:tcPr>
            <w:tcW w:w="2831" w:type="pct"/>
            <w:vAlign w:val="center"/>
            <w:hideMark/>
          </w:tcPr>
          <w:p w14:paraId="57235174"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number of the patches of tree plantations positively influenced presence | Negative at local scale, possibly neutral or weakly positive at landscape scale.</w:t>
            </w:r>
          </w:p>
        </w:tc>
      </w:tr>
      <w:tr w:rsidR="002B273B" w:rsidRPr="004A2AA7" w14:paraId="4326CA6F" w14:textId="77777777" w:rsidTr="4C2C4C78">
        <w:trPr>
          <w:trHeight w:val="288"/>
        </w:trPr>
        <w:tc>
          <w:tcPr>
            <w:tcW w:w="1027" w:type="pct"/>
            <w:noWrap/>
            <w:vAlign w:val="center"/>
            <w:hideMark/>
          </w:tcPr>
          <w:p w14:paraId="6273E8F1"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Saxicola rubetra</w:t>
            </w:r>
          </w:p>
        </w:tc>
        <w:tc>
          <w:tcPr>
            <w:tcW w:w="364" w:type="pct"/>
            <w:noWrap/>
            <w:vAlign w:val="center"/>
            <w:hideMark/>
          </w:tcPr>
          <w:p w14:paraId="13BC602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3CC0E3F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2, 5</w:t>
            </w:r>
          </w:p>
        </w:tc>
        <w:tc>
          <w:tcPr>
            <w:tcW w:w="2831" w:type="pct"/>
            <w:vAlign w:val="center"/>
            <w:hideMark/>
          </w:tcPr>
          <w:p w14:paraId="4EF5B4D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 | bird territories for different salix heights</w:t>
            </w:r>
          </w:p>
        </w:tc>
      </w:tr>
      <w:tr w:rsidR="002B273B" w:rsidRPr="004A2AA7" w14:paraId="45A1A133" w14:textId="77777777" w:rsidTr="4C2C4C78">
        <w:trPr>
          <w:trHeight w:val="576"/>
        </w:trPr>
        <w:tc>
          <w:tcPr>
            <w:tcW w:w="1027" w:type="pct"/>
            <w:noWrap/>
            <w:vAlign w:val="center"/>
            <w:hideMark/>
          </w:tcPr>
          <w:p w14:paraId="4230DE9D"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Streptopelia turtur</w:t>
            </w:r>
          </w:p>
        </w:tc>
        <w:tc>
          <w:tcPr>
            <w:tcW w:w="364" w:type="pct"/>
            <w:noWrap/>
            <w:vAlign w:val="center"/>
            <w:hideMark/>
          </w:tcPr>
          <w:p w14:paraId="67D9022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1.3</w:t>
            </w:r>
          </w:p>
        </w:tc>
        <w:tc>
          <w:tcPr>
            <w:tcW w:w="778" w:type="pct"/>
            <w:noWrap/>
            <w:vAlign w:val="center"/>
            <w:hideMark/>
          </w:tcPr>
          <w:p w14:paraId="0B34793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1, 3</w:t>
            </w:r>
          </w:p>
        </w:tc>
        <w:tc>
          <w:tcPr>
            <w:tcW w:w="2831" w:type="pct"/>
            <w:vAlign w:val="center"/>
            <w:hideMark/>
          </w:tcPr>
          <w:p w14:paraId="771A43A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density more than a 0 in one of all poplar states | positive correlation between species abundance (n/km2) and surface area (ha) of tree plantations</w:t>
            </w:r>
          </w:p>
        </w:tc>
      </w:tr>
      <w:tr w:rsidR="002B273B" w:rsidRPr="004A2AA7" w14:paraId="66F96167" w14:textId="77777777" w:rsidTr="4C2C4C78">
        <w:trPr>
          <w:trHeight w:val="288"/>
        </w:trPr>
        <w:tc>
          <w:tcPr>
            <w:tcW w:w="1027" w:type="pct"/>
            <w:noWrap/>
            <w:vAlign w:val="center"/>
            <w:hideMark/>
          </w:tcPr>
          <w:p w14:paraId="64B20B66"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Troglodytes troglodytes</w:t>
            </w:r>
          </w:p>
        </w:tc>
        <w:tc>
          <w:tcPr>
            <w:tcW w:w="364" w:type="pct"/>
            <w:noWrap/>
            <w:vAlign w:val="center"/>
            <w:hideMark/>
          </w:tcPr>
          <w:p w14:paraId="1D6C3B2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1.17</w:t>
            </w:r>
          </w:p>
        </w:tc>
        <w:tc>
          <w:tcPr>
            <w:tcW w:w="778" w:type="pct"/>
            <w:noWrap/>
            <w:vAlign w:val="center"/>
            <w:hideMark/>
          </w:tcPr>
          <w:p w14:paraId="5C25D44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1, 13</w:t>
            </w:r>
          </w:p>
        </w:tc>
        <w:tc>
          <w:tcPr>
            <w:tcW w:w="2831" w:type="pct"/>
            <w:vAlign w:val="center"/>
            <w:hideMark/>
          </w:tcPr>
          <w:p w14:paraId="324D9FD4"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density more than a 0 in one of all poplar states | more than 0 in poplar plantations</w:t>
            </w:r>
          </w:p>
        </w:tc>
      </w:tr>
      <w:tr w:rsidR="002B273B" w:rsidRPr="004A2AA7" w14:paraId="418CDACF" w14:textId="77777777" w:rsidTr="4C2C4C78">
        <w:trPr>
          <w:trHeight w:val="576"/>
        </w:trPr>
        <w:tc>
          <w:tcPr>
            <w:tcW w:w="1027" w:type="pct"/>
            <w:noWrap/>
            <w:vAlign w:val="center"/>
            <w:hideMark/>
          </w:tcPr>
          <w:p w14:paraId="081AA103"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Turdus viscivorus</w:t>
            </w:r>
          </w:p>
        </w:tc>
        <w:tc>
          <w:tcPr>
            <w:tcW w:w="364" w:type="pct"/>
            <w:noWrap/>
            <w:vAlign w:val="center"/>
            <w:hideMark/>
          </w:tcPr>
          <w:p w14:paraId="009F957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1.49</w:t>
            </w:r>
          </w:p>
        </w:tc>
        <w:tc>
          <w:tcPr>
            <w:tcW w:w="778" w:type="pct"/>
            <w:noWrap/>
            <w:vAlign w:val="center"/>
            <w:hideMark/>
          </w:tcPr>
          <w:p w14:paraId="05365BAA"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6, 8</w:t>
            </w:r>
          </w:p>
        </w:tc>
        <w:tc>
          <w:tcPr>
            <w:tcW w:w="2831" w:type="pct"/>
            <w:vAlign w:val="center"/>
            <w:hideMark/>
          </w:tcPr>
          <w:p w14:paraId="11674348" w14:textId="54BFA42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 xml:space="preserve">Forest and ecotone </w:t>
            </w:r>
            <w:r w:rsidR="000970ED" w:rsidRPr="002B273B">
              <w:rPr>
                <w:rFonts w:ascii="Aptos Narrow" w:eastAsia="Times New Roman" w:hAnsi="Aptos Narrow" w:cs="Times New Roman"/>
                <w:color w:val="000000"/>
                <w:kern w:val="0"/>
                <w:lang w:eastAsia="fi-FI"/>
                <w14:ligatures w14:val="none"/>
              </w:rPr>
              <w:t>birds’</w:t>
            </w:r>
            <w:r w:rsidRPr="004A2AA7">
              <w:rPr>
                <w:rFonts w:ascii="Aptos Narrow" w:eastAsia="Times New Roman" w:hAnsi="Aptos Narrow" w:cs="Times New Roman"/>
                <w:color w:val="000000"/>
                <w:kern w:val="0"/>
                <w:lang w:eastAsia="fi-FI"/>
                <w14:ligatures w14:val="none"/>
              </w:rPr>
              <w:t xml:space="preserve"> presence in tree stage SRC  | presence in willow tree groups, open woodland, canopy closed</w:t>
            </w:r>
          </w:p>
        </w:tc>
      </w:tr>
      <w:tr w:rsidR="002B273B" w:rsidRPr="004A2AA7" w14:paraId="72AB142A" w14:textId="77777777" w:rsidTr="4C2C4C78">
        <w:trPr>
          <w:trHeight w:val="288"/>
        </w:trPr>
        <w:tc>
          <w:tcPr>
            <w:tcW w:w="1027" w:type="pct"/>
            <w:noWrap/>
            <w:vAlign w:val="center"/>
            <w:hideMark/>
          </w:tcPr>
          <w:p w14:paraId="53B313DE"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Accipiter nisus</w:t>
            </w:r>
          </w:p>
        </w:tc>
        <w:tc>
          <w:tcPr>
            <w:tcW w:w="364" w:type="pct"/>
            <w:noWrap/>
            <w:vAlign w:val="center"/>
            <w:hideMark/>
          </w:tcPr>
          <w:p w14:paraId="180E017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6.654</w:t>
            </w:r>
          </w:p>
        </w:tc>
        <w:tc>
          <w:tcPr>
            <w:tcW w:w="778" w:type="pct"/>
            <w:noWrap/>
            <w:vAlign w:val="center"/>
            <w:hideMark/>
          </w:tcPr>
          <w:p w14:paraId="6C5A2510"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8</w:t>
            </w:r>
          </w:p>
        </w:tc>
        <w:tc>
          <w:tcPr>
            <w:tcW w:w="2831" w:type="pct"/>
            <w:vAlign w:val="center"/>
            <w:hideMark/>
          </w:tcPr>
          <w:p w14:paraId="594CCEE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willow tree groups, open woodland, canopy closed</w:t>
            </w:r>
          </w:p>
        </w:tc>
      </w:tr>
      <w:tr w:rsidR="002B273B" w:rsidRPr="004A2AA7" w14:paraId="1A591A58" w14:textId="77777777" w:rsidTr="4C2C4C78">
        <w:trPr>
          <w:trHeight w:val="288"/>
        </w:trPr>
        <w:tc>
          <w:tcPr>
            <w:tcW w:w="1027" w:type="pct"/>
            <w:noWrap/>
            <w:vAlign w:val="center"/>
            <w:hideMark/>
          </w:tcPr>
          <w:p w14:paraId="283186B2"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Acrocephalus dunetorum</w:t>
            </w:r>
          </w:p>
        </w:tc>
        <w:tc>
          <w:tcPr>
            <w:tcW w:w="364" w:type="pct"/>
            <w:noWrap/>
            <w:vAlign w:val="center"/>
            <w:hideMark/>
          </w:tcPr>
          <w:p w14:paraId="0F0922D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6C89A90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w:t>
            </w:r>
          </w:p>
        </w:tc>
        <w:tc>
          <w:tcPr>
            <w:tcW w:w="2831" w:type="pct"/>
            <w:vAlign w:val="center"/>
            <w:hideMark/>
          </w:tcPr>
          <w:p w14:paraId="782764F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w:t>
            </w:r>
          </w:p>
        </w:tc>
      </w:tr>
      <w:tr w:rsidR="002B273B" w:rsidRPr="004A2AA7" w14:paraId="605DE38A" w14:textId="77777777" w:rsidTr="4C2C4C78">
        <w:trPr>
          <w:trHeight w:val="288"/>
        </w:trPr>
        <w:tc>
          <w:tcPr>
            <w:tcW w:w="1027" w:type="pct"/>
            <w:noWrap/>
            <w:vAlign w:val="center"/>
            <w:hideMark/>
          </w:tcPr>
          <w:p w14:paraId="675467E0"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Acrocephalus schoenobaenus</w:t>
            </w:r>
          </w:p>
        </w:tc>
        <w:tc>
          <w:tcPr>
            <w:tcW w:w="364" w:type="pct"/>
            <w:noWrap/>
            <w:vAlign w:val="center"/>
            <w:hideMark/>
          </w:tcPr>
          <w:p w14:paraId="2C21E84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6.02</w:t>
            </w:r>
          </w:p>
        </w:tc>
        <w:tc>
          <w:tcPr>
            <w:tcW w:w="778" w:type="pct"/>
            <w:noWrap/>
            <w:vAlign w:val="center"/>
            <w:hideMark/>
          </w:tcPr>
          <w:p w14:paraId="2BD88E7D"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w:t>
            </w:r>
          </w:p>
        </w:tc>
        <w:tc>
          <w:tcPr>
            <w:tcW w:w="2831" w:type="pct"/>
            <w:vAlign w:val="center"/>
            <w:hideMark/>
          </w:tcPr>
          <w:p w14:paraId="2DDF08B5"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w:t>
            </w:r>
          </w:p>
        </w:tc>
      </w:tr>
      <w:tr w:rsidR="002B273B" w:rsidRPr="004A2AA7" w14:paraId="4DA43A5E" w14:textId="77777777" w:rsidTr="4C2C4C78">
        <w:trPr>
          <w:trHeight w:val="288"/>
        </w:trPr>
        <w:tc>
          <w:tcPr>
            <w:tcW w:w="1027" w:type="pct"/>
            <w:noWrap/>
            <w:vAlign w:val="center"/>
            <w:hideMark/>
          </w:tcPr>
          <w:p w14:paraId="0CEF1288"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Acrocephalus scirpaceus</w:t>
            </w:r>
          </w:p>
        </w:tc>
        <w:tc>
          <w:tcPr>
            <w:tcW w:w="364" w:type="pct"/>
            <w:noWrap/>
            <w:vAlign w:val="center"/>
            <w:hideMark/>
          </w:tcPr>
          <w:p w14:paraId="4AA6A660"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5.215</w:t>
            </w:r>
          </w:p>
        </w:tc>
        <w:tc>
          <w:tcPr>
            <w:tcW w:w="778" w:type="pct"/>
            <w:noWrap/>
            <w:vAlign w:val="center"/>
            <w:hideMark/>
          </w:tcPr>
          <w:p w14:paraId="764988D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5</w:t>
            </w:r>
          </w:p>
        </w:tc>
        <w:tc>
          <w:tcPr>
            <w:tcW w:w="2831" w:type="pct"/>
            <w:vAlign w:val="center"/>
            <w:hideMark/>
          </w:tcPr>
          <w:p w14:paraId="7E13836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bird territories for different salix heights</w:t>
            </w:r>
          </w:p>
        </w:tc>
      </w:tr>
      <w:tr w:rsidR="002B273B" w:rsidRPr="004A2AA7" w14:paraId="64C91E7C" w14:textId="77777777" w:rsidTr="4C2C4C78">
        <w:trPr>
          <w:trHeight w:val="576"/>
        </w:trPr>
        <w:tc>
          <w:tcPr>
            <w:tcW w:w="1027" w:type="pct"/>
            <w:noWrap/>
            <w:vAlign w:val="center"/>
            <w:hideMark/>
          </w:tcPr>
          <w:p w14:paraId="305FF40D"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lastRenderedPageBreak/>
              <w:t>Aegithalos caudatus</w:t>
            </w:r>
          </w:p>
        </w:tc>
        <w:tc>
          <w:tcPr>
            <w:tcW w:w="364" w:type="pct"/>
            <w:noWrap/>
            <w:vAlign w:val="center"/>
            <w:hideMark/>
          </w:tcPr>
          <w:p w14:paraId="6C2270A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2.176</w:t>
            </w:r>
          </w:p>
        </w:tc>
        <w:tc>
          <w:tcPr>
            <w:tcW w:w="778" w:type="pct"/>
            <w:noWrap/>
            <w:vAlign w:val="center"/>
            <w:hideMark/>
          </w:tcPr>
          <w:p w14:paraId="0047F5D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4</w:t>
            </w:r>
          </w:p>
        </w:tc>
        <w:tc>
          <w:tcPr>
            <w:tcW w:w="2831" w:type="pct"/>
            <w:vAlign w:val="center"/>
            <w:hideMark/>
          </w:tcPr>
          <w:p w14:paraId="63AFA7E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both natural and cultivated vegetation in</w:t>
            </w:r>
            <w:r w:rsidRPr="004A2AA7">
              <w:rPr>
                <w:rFonts w:ascii="Aptos Narrow" w:eastAsia="Times New Roman" w:hAnsi="Aptos Narrow" w:cs="Times New Roman"/>
                <w:color w:val="000000"/>
                <w:kern w:val="0"/>
                <w:lang w:eastAsia="fi-FI"/>
                <w14:ligatures w14:val="none"/>
              </w:rPr>
              <w:br/>
              <w:t>the surrounding context positively influenced the presence</w:t>
            </w:r>
          </w:p>
        </w:tc>
      </w:tr>
      <w:tr w:rsidR="002B273B" w:rsidRPr="004A2AA7" w14:paraId="1CD03BCA" w14:textId="77777777" w:rsidTr="4C2C4C78">
        <w:trPr>
          <w:trHeight w:val="288"/>
        </w:trPr>
        <w:tc>
          <w:tcPr>
            <w:tcW w:w="1027" w:type="pct"/>
            <w:noWrap/>
            <w:vAlign w:val="center"/>
            <w:hideMark/>
          </w:tcPr>
          <w:p w14:paraId="12A373E9"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Alauda arvensis</w:t>
            </w:r>
          </w:p>
        </w:tc>
        <w:tc>
          <w:tcPr>
            <w:tcW w:w="364" w:type="pct"/>
            <w:noWrap/>
            <w:vAlign w:val="center"/>
            <w:hideMark/>
          </w:tcPr>
          <w:p w14:paraId="23A2649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0.302</w:t>
            </w:r>
          </w:p>
        </w:tc>
        <w:tc>
          <w:tcPr>
            <w:tcW w:w="778" w:type="pct"/>
            <w:noWrap/>
            <w:vAlign w:val="center"/>
            <w:hideMark/>
          </w:tcPr>
          <w:p w14:paraId="27FA08D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w:t>
            </w:r>
          </w:p>
        </w:tc>
        <w:tc>
          <w:tcPr>
            <w:tcW w:w="2831" w:type="pct"/>
            <w:vAlign w:val="center"/>
            <w:hideMark/>
          </w:tcPr>
          <w:p w14:paraId="3E31EFF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Detected species in agroforestry and SRC strips</w:t>
            </w:r>
          </w:p>
        </w:tc>
      </w:tr>
      <w:tr w:rsidR="002B273B" w:rsidRPr="004A2AA7" w14:paraId="0901A661" w14:textId="77777777" w:rsidTr="4C2C4C78">
        <w:trPr>
          <w:trHeight w:val="288"/>
        </w:trPr>
        <w:tc>
          <w:tcPr>
            <w:tcW w:w="1027" w:type="pct"/>
            <w:noWrap/>
            <w:vAlign w:val="center"/>
            <w:hideMark/>
          </w:tcPr>
          <w:p w14:paraId="7B92726C"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Alectoris rufa</w:t>
            </w:r>
          </w:p>
        </w:tc>
        <w:tc>
          <w:tcPr>
            <w:tcW w:w="364" w:type="pct"/>
            <w:noWrap/>
            <w:vAlign w:val="center"/>
            <w:hideMark/>
          </w:tcPr>
          <w:p w14:paraId="3C3C825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7861D74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10</w:t>
            </w:r>
          </w:p>
        </w:tc>
        <w:tc>
          <w:tcPr>
            <w:tcW w:w="2831" w:type="pct"/>
            <w:vAlign w:val="center"/>
            <w:hideMark/>
          </w:tcPr>
          <w:p w14:paraId="5C8C2F5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poplar plantation 1st year after coppicing</w:t>
            </w:r>
          </w:p>
        </w:tc>
      </w:tr>
      <w:tr w:rsidR="002B273B" w:rsidRPr="004A2AA7" w14:paraId="65A57CF1" w14:textId="77777777" w:rsidTr="4C2C4C78">
        <w:trPr>
          <w:trHeight w:val="288"/>
        </w:trPr>
        <w:tc>
          <w:tcPr>
            <w:tcW w:w="1027" w:type="pct"/>
            <w:noWrap/>
            <w:vAlign w:val="center"/>
            <w:hideMark/>
          </w:tcPr>
          <w:p w14:paraId="1F58956E"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Asio otus</w:t>
            </w:r>
          </w:p>
        </w:tc>
        <w:tc>
          <w:tcPr>
            <w:tcW w:w="364" w:type="pct"/>
            <w:noWrap/>
            <w:vAlign w:val="center"/>
            <w:hideMark/>
          </w:tcPr>
          <w:p w14:paraId="24696DA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15.421</w:t>
            </w:r>
          </w:p>
        </w:tc>
        <w:tc>
          <w:tcPr>
            <w:tcW w:w="778" w:type="pct"/>
            <w:noWrap/>
            <w:vAlign w:val="center"/>
            <w:hideMark/>
          </w:tcPr>
          <w:p w14:paraId="7BA0B7E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8</w:t>
            </w:r>
          </w:p>
        </w:tc>
        <w:tc>
          <w:tcPr>
            <w:tcW w:w="2831" w:type="pct"/>
            <w:vAlign w:val="center"/>
            <w:hideMark/>
          </w:tcPr>
          <w:p w14:paraId="5FBCB62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willow tree groups, open woodland, canopy closed</w:t>
            </w:r>
          </w:p>
        </w:tc>
      </w:tr>
      <w:tr w:rsidR="002B273B" w:rsidRPr="004A2AA7" w14:paraId="1D0132ED" w14:textId="77777777" w:rsidTr="4C2C4C78">
        <w:trPr>
          <w:trHeight w:val="288"/>
        </w:trPr>
        <w:tc>
          <w:tcPr>
            <w:tcW w:w="1027" w:type="pct"/>
            <w:noWrap/>
            <w:vAlign w:val="center"/>
            <w:hideMark/>
          </w:tcPr>
          <w:p w14:paraId="18B703EB"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Buteo buteo</w:t>
            </w:r>
          </w:p>
        </w:tc>
        <w:tc>
          <w:tcPr>
            <w:tcW w:w="364" w:type="pct"/>
            <w:noWrap/>
            <w:vAlign w:val="center"/>
            <w:hideMark/>
          </w:tcPr>
          <w:p w14:paraId="401E0418"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12.096</w:t>
            </w:r>
          </w:p>
        </w:tc>
        <w:tc>
          <w:tcPr>
            <w:tcW w:w="778" w:type="pct"/>
            <w:noWrap/>
            <w:vAlign w:val="center"/>
            <w:hideMark/>
          </w:tcPr>
          <w:p w14:paraId="5A8FEF9F"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8</w:t>
            </w:r>
          </w:p>
        </w:tc>
        <w:tc>
          <w:tcPr>
            <w:tcW w:w="2831" w:type="pct"/>
            <w:vAlign w:val="center"/>
            <w:hideMark/>
          </w:tcPr>
          <w:p w14:paraId="5EE89DF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willow tree groups, open woodland, canopy closed</w:t>
            </w:r>
          </w:p>
        </w:tc>
      </w:tr>
      <w:tr w:rsidR="002B273B" w:rsidRPr="004A2AA7" w14:paraId="58CCF3D5" w14:textId="77777777" w:rsidTr="4C2C4C78">
        <w:trPr>
          <w:trHeight w:val="576"/>
        </w:trPr>
        <w:tc>
          <w:tcPr>
            <w:tcW w:w="1027" w:type="pct"/>
            <w:noWrap/>
            <w:vAlign w:val="center"/>
            <w:hideMark/>
          </w:tcPr>
          <w:p w14:paraId="520B5CED"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Colinus virginianus</w:t>
            </w:r>
          </w:p>
        </w:tc>
        <w:tc>
          <w:tcPr>
            <w:tcW w:w="364" w:type="pct"/>
            <w:noWrap/>
            <w:vAlign w:val="center"/>
            <w:hideMark/>
          </w:tcPr>
          <w:p w14:paraId="18F8DE18"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1E6D0B1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3</w:t>
            </w:r>
          </w:p>
        </w:tc>
        <w:tc>
          <w:tcPr>
            <w:tcW w:w="2831" w:type="pct"/>
            <w:vAlign w:val="center"/>
            <w:hideMark/>
          </w:tcPr>
          <w:p w14:paraId="584E8EE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correlation between species abundance (n/km2) and surface area (ha) of tree plantations</w:t>
            </w:r>
          </w:p>
        </w:tc>
      </w:tr>
      <w:tr w:rsidR="002B273B" w:rsidRPr="004A2AA7" w14:paraId="6AF77BB7" w14:textId="77777777" w:rsidTr="4C2C4C78">
        <w:trPr>
          <w:trHeight w:val="576"/>
        </w:trPr>
        <w:tc>
          <w:tcPr>
            <w:tcW w:w="1027" w:type="pct"/>
            <w:noWrap/>
            <w:vAlign w:val="center"/>
            <w:hideMark/>
          </w:tcPr>
          <w:p w14:paraId="49B309E5"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Corvus cornix</w:t>
            </w:r>
          </w:p>
        </w:tc>
        <w:tc>
          <w:tcPr>
            <w:tcW w:w="364" w:type="pct"/>
            <w:noWrap/>
            <w:vAlign w:val="center"/>
            <w:hideMark/>
          </w:tcPr>
          <w:p w14:paraId="748F760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3EAFAA3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3</w:t>
            </w:r>
          </w:p>
        </w:tc>
        <w:tc>
          <w:tcPr>
            <w:tcW w:w="2831" w:type="pct"/>
            <w:vAlign w:val="center"/>
            <w:hideMark/>
          </w:tcPr>
          <w:p w14:paraId="7422828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correlation between species abundance (n/km2) and surface area (ha) of tree plantations</w:t>
            </w:r>
          </w:p>
        </w:tc>
      </w:tr>
      <w:tr w:rsidR="002B273B" w:rsidRPr="004A2AA7" w14:paraId="51540846" w14:textId="77777777" w:rsidTr="4C2C4C78">
        <w:trPr>
          <w:trHeight w:val="288"/>
        </w:trPr>
        <w:tc>
          <w:tcPr>
            <w:tcW w:w="1027" w:type="pct"/>
            <w:noWrap/>
            <w:vAlign w:val="center"/>
            <w:hideMark/>
          </w:tcPr>
          <w:p w14:paraId="33521EAE"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Corvus frugilegus</w:t>
            </w:r>
          </w:p>
        </w:tc>
        <w:tc>
          <w:tcPr>
            <w:tcW w:w="364" w:type="pct"/>
            <w:noWrap/>
            <w:vAlign w:val="center"/>
            <w:hideMark/>
          </w:tcPr>
          <w:p w14:paraId="706FD525"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1.964</w:t>
            </w:r>
          </w:p>
        </w:tc>
        <w:tc>
          <w:tcPr>
            <w:tcW w:w="778" w:type="pct"/>
            <w:noWrap/>
            <w:vAlign w:val="center"/>
            <w:hideMark/>
          </w:tcPr>
          <w:p w14:paraId="0D50E7C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8</w:t>
            </w:r>
          </w:p>
        </w:tc>
        <w:tc>
          <w:tcPr>
            <w:tcW w:w="2831" w:type="pct"/>
            <w:vAlign w:val="center"/>
            <w:hideMark/>
          </w:tcPr>
          <w:p w14:paraId="73D8702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willow tree groups, open woodland, canopy closed</w:t>
            </w:r>
          </w:p>
        </w:tc>
      </w:tr>
      <w:tr w:rsidR="002B273B" w:rsidRPr="004A2AA7" w14:paraId="1E8AC8FD" w14:textId="77777777" w:rsidTr="4C2C4C78">
        <w:trPr>
          <w:trHeight w:val="288"/>
        </w:trPr>
        <w:tc>
          <w:tcPr>
            <w:tcW w:w="1027" w:type="pct"/>
            <w:noWrap/>
            <w:vAlign w:val="center"/>
            <w:hideMark/>
          </w:tcPr>
          <w:p w14:paraId="1FCE3994"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Emberiza cirlus</w:t>
            </w:r>
          </w:p>
        </w:tc>
        <w:tc>
          <w:tcPr>
            <w:tcW w:w="364" w:type="pct"/>
            <w:noWrap/>
            <w:vAlign w:val="center"/>
            <w:hideMark/>
          </w:tcPr>
          <w:p w14:paraId="45839591"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640DBB5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w:t>
            </w:r>
          </w:p>
        </w:tc>
        <w:tc>
          <w:tcPr>
            <w:tcW w:w="2831" w:type="pct"/>
            <w:vAlign w:val="center"/>
            <w:hideMark/>
          </w:tcPr>
          <w:p w14:paraId="7DD99089" w14:textId="6AB61BAF"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w:t>
            </w:r>
          </w:p>
        </w:tc>
      </w:tr>
      <w:tr w:rsidR="002B273B" w:rsidRPr="004A2AA7" w14:paraId="157B549C" w14:textId="77777777" w:rsidTr="4C2C4C78">
        <w:trPr>
          <w:trHeight w:val="288"/>
        </w:trPr>
        <w:tc>
          <w:tcPr>
            <w:tcW w:w="1027" w:type="pct"/>
            <w:noWrap/>
            <w:vAlign w:val="center"/>
            <w:hideMark/>
          </w:tcPr>
          <w:p w14:paraId="4D4D5712"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Emberiza hortulana</w:t>
            </w:r>
          </w:p>
        </w:tc>
        <w:tc>
          <w:tcPr>
            <w:tcW w:w="364" w:type="pct"/>
            <w:noWrap/>
            <w:vAlign w:val="center"/>
            <w:hideMark/>
          </w:tcPr>
          <w:p w14:paraId="2B121A1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7080BCC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w:t>
            </w:r>
          </w:p>
        </w:tc>
        <w:tc>
          <w:tcPr>
            <w:tcW w:w="2831" w:type="pct"/>
            <w:vAlign w:val="center"/>
            <w:hideMark/>
          </w:tcPr>
          <w:p w14:paraId="15D7DE64"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w:t>
            </w:r>
          </w:p>
        </w:tc>
      </w:tr>
      <w:tr w:rsidR="002B273B" w:rsidRPr="004A2AA7" w14:paraId="6D2D7E36" w14:textId="77777777" w:rsidTr="4C2C4C78">
        <w:trPr>
          <w:trHeight w:val="288"/>
        </w:trPr>
        <w:tc>
          <w:tcPr>
            <w:tcW w:w="1027" w:type="pct"/>
            <w:noWrap/>
            <w:vAlign w:val="center"/>
            <w:hideMark/>
          </w:tcPr>
          <w:p w14:paraId="37699394"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Falco tinnunculus</w:t>
            </w:r>
          </w:p>
        </w:tc>
        <w:tc>
          <w:tcPr>
            <w:tcW w:w="364" w:type="pct"/>
            <w:noWrap/>
            <w:vAlign w:val="center"/>
            <w:hideMark/>
          </w:tcPr>
          <w:p w14:paraId="684F635D"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14.005</w:t>
            </w:r>
          </w:p>
        </w:tc>
        <w:tc>
          <w:tcPr>
            <w:tcW w:w="778" w:type="pct"/>
            <w:noWrap/>
            <w:vAlign w:val="center"/>
            <w:hideMark/>
          </w:tcPr>
          <w:p w14:paraId="48A3D561"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8</w:t>
            </w:r>
          </w:p>
        </w:tc>
        <w:tc>
          <w:tcPr>
            <w:tcW w:w="2831" w:type="pct"/>
            <w:vAlign w:val="center"/>
            <w:hideMark/>
          </w:tcPr>
          <w:p w14:paraId="503DC7F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willow tree groups, open woodland, canopy closed</w:t>
            </w:r>
          </w:p>
        </w:tc>
      </w:tr>
      <w:tr w:rsidR="002B273B" w:rsidRPr="004A2AA7" w14:paraId="0312C670" w14:textId="77777777" w:rsidTr="4C2C4C78">
        <w:trPr>
          <w:trHeight w:val="288"/>
        </w:trPr>
        <w:tc>
          <w:tcPr>
            <w:tcW w:w="1027" w:type="pct"/>
            <w:noWrap/>
            <w:vAlign w:val="center"/>
            <w:hideMark/>
          </w:tcPr>
          <w:p w14:paraId="054FC6E5"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Hippolais polyglotta</w:t>
            </w:r>
          </w:p>
        </w:tc>
        <w:tc>
          <w:tcPr>
            <w:tcW w:w="364" w:type="pct"/>
            <w:noWrap/>
            <w:vAlign w:val="center"/>
            <w:hideMark/>
          </w:tcPr>
          <w:p w14:paraId="608DFA9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41D40E1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w:t>
            </w:r>
          </w:p>
        </w:tc>
        <w:tc>
          <w:tcPr>
            <w:tcW w:w="2831" w:type="pct"/>
            <w:vAlign w:val="center"/>
            <w:hideMark/>
          </w:tcPr>
          <w:p w14:paraId="7F2D2C8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density more than a 0 in one of all poplar states</w:t>
            </w:r>
          </w:p>
        </w:tc>
      </w:tr>
      <w:tr w:rsidR="002B273B" w:rsidRPr="004A2AA7" w14:paraId="59C88B1D" w14:textId="77777777" w:rsidTr="4C2C4C78">
        <w:trPr>
          <w:trHeight w:val="288"/>
        </w:trPr>
        <w:tc>
          <w:tcPr>
            <w:tcW w:w="1027" w:type="pct"/>
            <w:noWrap/>
            <w:vAlign w:val="center"/>
            <w:hideMark/>
          </w:tcPr>
          <w:p w14:paraId="02536692"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Jynx torquilla</w:t>
            </w:r>
          </w:p>
        </w:tc>
        <w:tc>
          <w:tcPr>
            <w:tcW w:w="364" w:type="pct"/>
            <w:noWrap/>
            <w:vAlign w:val="center"/>
            <w:hideMark/>
          </w:tcPr>
          <w:p w14:paraId="5492A524"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18D6261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w:t>
            </w:r>
          </w:p>
        </w:tc>
        <w:tc>
          <w:tcPr>
            <w:tcW w:w="2831" w:type="pct"/>
            <w:vAlign w:val="center"/>
            <w:hideMark/>
          </w:tcPr>
          <w:p w14:paraId="6A805EFA" w14:textId="26527F70"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w:t>
            </w:r>
          </w:p>
        </w:tc>
      </w:tr>
      <w:tr w:rsidR="002B273B" w:rsidRPr="004A2AA7" w14:paraId="548E18DA" w14:textId="77777777" w:rsidTr="4C2C4C78">
        <w:trPr>
          <w:trHeight w:val="288"/>
        </w:trPr>
        <w:tc>
          <w:tcPr>
            <w:tcW w:w="1027" w:type="pct"/>
            <w:noWrap/>
            <w:vAlign w:val="center"/>
            <w:hideMark/>
          </w:tcPr>
          <w:p w14:paraId="7D8DBFC2"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Lanius collurio</w:t>
            </w:r>
          </w:p>
        </w:tc>
        <w:tc>
          <w:tcPr>
            <w:tcW w:w="364" w:type="pct"/>
            <w:noWrap/>
            <w:vAlign w:val="center"/>
            <w:hideMark/>
          </w:tcPr>
          <w:p w14:paraId="420268B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71781C6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w:t>
            </w:r>
          </w:p>
        </w:tc>
        <w:tc>
          <w:tcPr>
            <w:tcW w:w="2831" w:type="pct"/>
            <w:vAlign w:val="center"/>
            <w:hideMark/>
          </w:tcPr>
          <w:p w14:paraId="27E6992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Detected species in agroforestry and SRC strips</w:t>
            </w:r>
          </w:p>
        </w:tc>
      </w:tr>
      <w:tr w:rsidR="002B273B" w:rsidRPr="004A2AA7" w14:paraId="30842B7D" w14:textId="77777777" w:rsidTr="4C2C4C78">
        <w:trPr>
          <w:trHeight w:val="288"/>
        </w:trPr>
        <w:tc>
          <w:tcPr>
            <w:tcW w:w="1027" w:type="pct"/>
            <w:noWrap/>
            <w:vAlign w:val="center"/>
            <w:hideMark/>
          </w:tcPr>
          <w:p w14:paraId="6A5C3910"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Lanius excubitor</w:t>
            </w:r>
          </w:p>
        </w:tc>
        <w:tc>
          <w:tcPr>
            <w:tcW w:w="364" w:type="pct"/>
            <w:noWrap/>
            <w:vAlign w:val="center"/>
            <w:hideMark/>
          </w:tcPr>
          <w:p w14:paraId="6F05FAC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537331B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w:t>
            </w:r>
          </w:p>
        </w:tc>
        <w:tc>
          <w:tcPr>
            <w:tcW w:w="2831" w:type="pct"/>
            <w:vAlign w:val="center"/>
            <w:hideMark/>
          </w:tcPr>
          <w:p w14:paraId="0547DA09" w14:textId="242E51CC"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Forest and ecotone birds presence in tree stage SRC</w:t>
            </w:r>
          </w:p>
        </w:tc>
      </w:tr>
      <w:tr w:rsidR="002B273B" w:rsidRPr="004A2AA7" w14:paraId="5C072506" w14:textId="77777777" w:rsidTr="4C2C4C78">
        <w:trPr>
          <w:trHeight w:val="288"/>
        </w:trPr>
        <w:tc>
          <w:tcPr>
            <w:tcW w:w="1027" w:type="pct"/>
            <w:noWrap/>
            <w:vAlign w:val="center"/>
            <w:hideMark/>
          </w:tcPr>
          <w:p w14:paraId="5985384B"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Lullula arborea</w:t>
            </w:r>
          </w:p>
        </w:tc>
        <w:tc>
          <w:tcPr>
            <w:tcW w:w="364" w:type="pct"/>
            <w:noWrap/>
            <w:vAlign w:val="center"/>
            <w:hideMark/>
          </w:tcPr>
          <w:p w14:paraId="66CD85F0"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7598293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w:t>
            </w:r>
          </w:p>
        </w:tc>
        <w:tc>
          <w:tcPr>
            <w:tcW w:w="2831" w:type="pct"/>
            <w:vAlign w:val="center"/>
            <w:hideMark/>
          </w:tcPr>
          <w:p w14:paraId="69722BC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w:t>
            </w:r>
          </w:p>
        </w:tc>
      </w:tr>
      <w:tr w:rsidR="002B273B" w:rsidRPr="004A2AA7" w14:paraId="4B187F69" w14:textId="77777777" w:rsidTr="4C2C4C78">
        <w:trPr>
          <w:trHeight w:val="288"/>
        </w:trPr>
        <w:tc>
          <w:tcPr>
            <w:tcW w:w="1027" w:type="pct"/>
            <w:noWrap/>
            <w:vAlign w:val="center"/>
            <w:hideMark/>
          </w:tcPr>
          <w:p w14:paraId="192430F2"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Motacilla alba</w:t>
            </w:r>
          </w:p>
        </w:tc>
        <w:tc>
          <w:tcPr>
            <w:tcW w:w="364" w:type="pct"/>
            <w:noWrap/>
            <w:vAlign w:val="center"/>
            <w:hideMark/>
          </w:tcPr>
          <w:p w14:paraId="1C767E9F"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5.164</w:t>
            </w:r>
          </w:p>
        </w:tc>
        <w:tc>
          <w:tcPr>
            <w:tcW w:w="778" w:type="pct"/>
            <w:noWrap/>
            <w:vAlign w:val="center"/>
            <w:hideMark/>
          </w:tcPr>
          <w:p w14:paraId="08E450EA"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w:t>
            </w:r>
          </w:p>
        </w:tc>
        <w:tc>
          <w:tcPr>
            <w:tcW w:w="2831" w:type="pct"/>
            <w:vAlign w:val="center"/>
            <w:hideMark/>
          </w:tcPr>
          <w:p w14:paraId="3A00C87F"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Detected species in agroforestry and SRC strips</w:t>
            </w:r>
          </w:p>
        </w:tc>
      </w:tr>
      <w:tr w:rsidR="002B273B" w:rsidRPr="004A2AA7" w14:paraId="4A007B25" w14:textId="77777777" w:rsidTr="4C2C4C78">
        <w:trPr>
          <w:trHeight w:val="288"/>
        </w:trPr>
        <w:tc>
          <w:tcPr>
            <w:tcW w:w="1027" w:type="pct"/>
            <w:noWrap/>
            <w:vAlign w:val="center"/>
            <w:hideMark/>
          </w:tcPr>
          <w:p w14:paraId="05DCBFBB"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Oriolus oriolus</w:t>
            </w:r>
          </w:p>
        </w:tc>
        <w:tc>
          <w:tcPr>
            <w:tcW w:w="364" w:type="pct"/>
            <w:noWrap/>
            <w:vAlign w:val="center"/>
            <w:hideMark/>
          </w:tcPr>
          <w:p w14:paraId="00B42195"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197910E5"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6</w:t>
            </w:r>
          </w:p>
        </w:tc>
        <w:tc>
          <w:tcPr>
            <w:tcW w:w="2831" w:type="pct"/>
            <w:vAlign w:val="center"/>
            <w:hideMark/>
          </w:tcPr>
          <w:p w14:paraId="5489EAC5" w14:textId="2004C7DE"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Forest and ecotone birds presence in tree stage SRC</w:t>
            </w:r>
          </w:p>
        </w:tc>
      </w:tr>
      <w:tr w:rsidR="002B273B" w:rsidRPr="004A2AA7" w14:paraId="6C75B455" w14:textId="77777777" w:rsidTr="4C2C4C78">
        <w:trPr>
          <w:trHeight w:val="288"/>
        </w:trPr>
        <w:tc>
          <w:tcPr>
            <w:tcW w:w="1027" w:type="pct"/>
            <w:noWrap/>
            <w:vAlign w:val="center"/>
            <w:hideMark/>
          </w:tcPr>
          <w:p w14:paraId="0F810812"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Parus ater</w:t>
            </w:r>
          </w:p>
        </w:tc>
        <w:tc>
          <w:tcPr>
            <w:tcW w:w="364" w:type="pct"/>
            <w:noWrap/>
            <w:vAlign w:val="center"/>
            <w:hideMark/>
          </w:tcPr>
          <w:p w14:paraId="641F54E8"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2.597</w:t>
            </w:r>
          </w:p>
        </w:tc>
        <w:tc>
          <w:tcPr>
            <w:tcW w:w="778" w:type="pct"/>
            <w:noWrap/>
            <w:vAlign w:val="center"/>
            <w:hideMark/>
          </w:tcPr>
          <w:p w14:paraId="2109353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w:t>
            </w:r>
          </w:p>
        </w:tc>
        <w:tc>
          <w:tcPr>
            <w:tcW w:w="2831" w:type="pct"/>
            <w:vAlign w:val="center"/>
            <w:hideMark/>
          </w:tcPr>
          <w:p w14:paraId="794BCFF4" w14:textId="18FE2ECA"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w:t>
            </w:r>
          </w:p>
        </w:tc>
      </w:tr>
      <w:tr w:rsidR="002B273B" w:rsidRPr="004A2AA7" w14:paraId="1DE78470" w14:textId="77777777" w:rsidTr="4C2C4C78">
        <w:trPr>
          <w:trHeight w:val="288"/>
        </w:trPr>
        <w:tc>
          <w:tcPr>
            <w:tcW w:w="1027" w:type="pct"/>
            <w:noWrap/>
            <w:vAlign w:val="center"/>
            <w:hideMark/>
          </w:tcPr>
          <w:p w14:paraId="7A9401E8"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Parus palustris</w:t>
            </w:r>
          </w:p>
        </w:tc>
        <w:tc>
          <w:tcPr>
            <w:tcW w:w="364" w:type="pct"/>
            <w:noWrap/>
            <w:vAlign w:val="center"/>
            <w:hideMark/>
          </w:tcPr>
          <w:p w14:paraId="1B1A2A2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55D0D4CA"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8</w:t>
            </w:r>
          </w:p>
        </w:tc>
        <w:tc>
          <w:tcPr>
            <w:tcW w:w="2831" w:type="pct"/>
            <w:vAlign w:val="center"/>
            <w:hideMark/>
          </w:tcPr>
          <w:p w14:paraId="47803E6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willow tree groups, open woodland, canopy closed</w:t>
            </w:r>
          </w:p>
        </w:tc>
      </w:tr>
      <w:tr w:rsidR="002B273B" w:rsidRPr="004A2AA7" w14:paraId="02FE40E2" w14:textId="77777777" w:rsidTr="4C2C4C78">
        <w:trPr>
          <w:trHeight w:val="288"/>
        </w:trPr>
        <w:tc>
          <w:tcPr>
            <w:tcW w:w="1027" w:type="pct"/>
            <w:noWrap/>
            <w:vAlign w:val="center"/>
            <w:hideMark/>
          </w:tcPr>
          <w:p w14:paraId="55D06FF0"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Passer domesticus</w:t>
            </w:r>
          </w:p>
        </w:tc>
        <w:tc>
          <w:tcPr>
            <w:tcW w:w="364" w:type="pct"/>
            <w:noWrap/>
            <w:vAlign w:val="center"/>
            <w:hideMark/>
          </w:tcPr>
          <w:p w14:paraId="38632D5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0.206</w:t>
            </w:r>
          </w:p>
        </w:tc>
        <w:tc>
          <w:tcPr>
            <w:tcW w:w="778" w:type="pct"/>
            <w:noWrap/>
            <w:vAlign w:val="center"/>
            <w:hideMark/>
          </w:tcPr>
          <w:p w14:paraId="4FCE622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10</w:t>
            </w:r>
          </w:p>
        </w:tc>
        <w:tc>
          <w:tcPr>
            <w:tcW w:w="2831" w:type="pct"/>
            <w:vAlign w:val="center"/>
            <w:hideMark/>
          </w:tcPr>
          <w:p w14:paraId="3B994BD0"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poplar plantation 1st year after coppicing</w:t>
            </w:r>
          </w:p>
        </w:tc>
      </w:tr>
      <w:tr w:rsidR="002B273B" w:rsidRPr="004A2AA7" w14:paraId="63F00A14" w14:textId="77777777" w:rsidTr="4C2C4C78">
        <w:trPr>
          <w:trHeight w:val="288"/>
        </w:trPr>
        <w:tc>
          <w:tcPr>
            <w:tcW w:w="1027" w:type="pct"/>
            <w:noWrap/>
            <w:vAlign w:val="center"/>
            <w:hideMark/>
          </w:tcPr>
          <w:p w14:paraId="6F0BDB2A"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Perdix perdix</w:t>
            </w:r>
          </w:p>
        </w:tc>
        <w:tc>
          <w:tcPr>
            <w:tcW w:w="364" w:type="pct"/>
            <w:noWrap/>
            <w:vAlign w:val="center"/>
            <w:hideMark/>
          </w:tcPr>
          <w:p w14:paraId="34E3DBE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24776729"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w:t>
            </w:r>
          </w:p>
        </w:tc>
        <w:tc>
          <w:tcPr>
            <w:tcW w:w="2831" w:type="pct"/>
            <w:vAlign w:val="center"/>
            <w:hideMark/>
          </w:tcPr>
          <w:p w14:paraId="13BD659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w:t>
            </w:r>
          </w:p>
        </w:tc>
      </w:tr>
      <w:tr w:rsidR="002B273B" w:rsidRPr="004A2AA7" w14:paraId="4C71D31C" w14:textId="77777777" w:rsidTr="4C2C4C78">
        <w:trPr>
          <w:trHeight w:val="288"/>
        </w:trPr>
        <w:tc>
          <w:tcPr>
            <w:tcW w:w="1027" w:type="pct"/>
            <w:noWrap/>
            <w:vAlign w:val="center"/>
            <w:hideMark/>
          </w:tcPr>
          <w:p w14:paraId="0ABF9D80"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Phoenicurus phoenicurus</w:t>
            </w:r>
          </w:p>
        </w:tc>
        <w:tc>
          <w:tcPr>
            <w:tcW w:w="364" w:type="pct"/>
            <w:noWrap/>
            <w:vAlign w:val="center"/>
            <w:hideMark/>
          </w:tcPr>
          <w:p w14:paraId="7409F11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3.873</w:t>
            </w:r>
          </w:p>
        </w:tc>
        <w:tc>
          <w:tcPr>
            <w:tcW w:w="778" w:type="pct"/>
            <w:noWrap/>
            <w:vAlign w:val="center"/>
            <w:hideMark/>
          </w:tcPr>
          <w:p w14:paraId="3C73FFE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8</w:t>
            </w:r>
          </w:p>
        </w:tc>
        <w:tc>
          <w:tcPr>
            <w:tcW w:w="2831" w:type="pct"/>
            <w:vAlign w:val="center"/>
            <w:hideMark/>
          </w:tcPr>
          <w:p w14:paraId="492C883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willow tree groups, open woodland, canopy closed</w:t>
            </w:r>
          </w:p>
        </w:tc>
      </w:tr>
      <w:tr w:rsidR="002B273B" w:rsidRPr="004A2AA7" w14:paraId="0B38F6F2" w14:textId="77777777" w:rsidTr="4C2C4C78">
        <w:trPr>
          <w:trHeight w:val="288"/>
        </w:trPr>
        <w:tc>
          <w:tcPr>
            <w:tcW w:w="1027" w:type="pct"/>
            <w:noWrap/>
            <w:vAlign w:val="center"/>
            <w:hideMark/>
          </w:tcPr>
          <w:p w14:paraId="45BCB70F"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Phylloscopus sibilatrix</w:t>
            </w:r>
          </w:p>
        </w:tc>
        <w:tc>
          <w:tcPr>
            <w:tcW w:w="364" w:type="pct"/>
            <w:noWrap/>
            <w:vAlign w:val="center"/>
            <w:hideMark/>
          </w:tcPr>
          <w:p w14:paraId="73C784C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483DA75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8</w:t>
            </w:r>
          </w:p>
        </w:tc>
        <w:tc>
          <w:tcPr>
            <w:tcW w:w="2831" w:type="pct"/>
            <w:vAlign w:val="center"/>
            <w:hideMark/>
          </w:tcPr>
          <w:p w14:paraId="0048FDB0"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presence in willow tree groups, open woodland, canopy closed</w:t>
            </w:r>
          </w:p>
        </w:tc>
      </w:tr>
      <w:tr w:rsidR="002B273B" w:rsidRPr="004A2AA7" w14:paraId="25F9D11C" w14:textId="77777777" w:rsidTr="4C2C4C78">
        <w:trPr>
          <w:trHeight w:val="288"/>
        </w:trPr>
        <w:tc>
          <w:tcPr>
            <w:tcW w:w="1027" w:type="pct"/>
            <w:noWrap/>
            <w:vAlign w:val="center"/>
            <w:hideMark/>
          </w:tcPr>
          <w:p w14:paraId="236669A0"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Regulus regulus</w:t>
            </w:r>
          </w:p>
        </w:tc>
        <w:tc>
          <w:tcPr>
            <w:tcW w:w="364" w:type="pct"/>
            <w:noWrap/>
            <w:vAlign w:val="center"/>
            <w:hideMark/>
          </w:tcPr>
          <w:p w14:paraId="2AEEDA76"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283FA611"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w:t>
            </w:r>
          </w:p>
        </w:tc>
        <w:tc>
          <w:tcPr>
            <w:tcW w:w="2831" w:type="pct"/>
            <w:vAlign w:val="center"/>
            <w:hideMark/>
          </w:tcPr>
          <w:p w14:paraId="2CD2970E"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w:t>
            </w:r>
          </w:p>
        </w:tc>
      </w:tr>
      <w:tr w:rsidR="002B273B" w:rsidRPr="004A2AA7" w14:paraId="590CF5E2" w14:textId="77777777" w:rsidTr="4C2C4C78">
        <w:trPr>
          <w:trHeight w:val="288"/>
        </w:trPr>
        <w:tc>
          <w:tcPr>
            <w:tcW w:w="1027" w:type="pct"/>
            <w:noWrap/>
            <w:vAlign w:val="center"/>
            <w:hideMark/>
          </w:tcPr>
          <w:p w14:paraId="7BD7F945"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Serinus serinus</w:t>
            </w:r>
          </w:p>
        </w:tc>
        <w:tc>
          <w:tcPr>
            <w:tcW w:w="364" w:type="pct"/>
            <w:noWrap/>
            <w:vAlign w:val="center"/>
            <w:hideMark/>
          </w:tcPr>
          <w:p w14:paraId="2782C950"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5F71B9E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9</w:t>
            </w:r>
          </w:p>
        </w:tc>
        <w:tc>
          <w:tcPr>
            <w:tcW w:w="2831" w:type="pct"/>
            <w:vAlign w:val="center"/>
            <w:hideMark/>
          </w:tcPr>
          <w:p w14:paraId="28F4F94E" w14:textId="75193478" w:rsidR="004A2AA7" w:rsidRPr="004A2AA7" w:rsidRDefault="00613EF9" w:rsidP="004A2AA7">
            <w:pPr>
              <w:spacing w:after="0" w:line="240" w:lineRule="auto"/>
              <w:jc w:val="center"/>
              <w:rPr>
                <w:rFonts w:ascii="Aptos Narrow" w:eastAsia="Times New Roman" w:hAnsi="Aptos Narrow" w:cs="Times New Roman"/>
                <w:color w:val="000000"/>
                <w:kern w:val="0"/>
                <w:lang w:eastAsia="fi-FI"/>
                <w14:ligatures w14:val="none"/>
              </w:rPr>
            </w:pPr>
            <w:r>
              <w:rPr>
                <w:rFonts w:ascii="Aptos Narrow" w:eastAsia="Times New Roman" w:hAnsi="Aptos Narrow" w:cs="Times New Roman"/>
                <w:color w:val="000000"/>
                <w:kern w:val="0"/>
                <w:lang w:eastAsia="fi-FI"/>
                <w14:ligatures w14:val="none"/>
              </w:rPr>
              <w:t>abundance</w:t>
            </w:r>
            <w:r w:rsidR="004A2AA7" w:rsidRPr="004A2AA7">
              <w:rPr>
                <w:rFonts w:ascii="Aptos Narrow" w:eastAsia="Times New Roman" w:hAnsi="Aptos Narrow" w:cs="Times New Roman"/>
                <w:color w:val="000000"/>
                <w:kern w:val="0"/>
                <w:lang w:eastAsia="fi-FI"/>
                <w14:ligatures w14:val="none"/>
              </w:rPr>
              <w:t xml:space="preserve"> more than 0 in poplar stands</w:t>
            </w:r>
          </w:p>
        </w:tc>
      </w:tr>
      <w:tr w:rsidR="002B273B" w:rsidRPr="004A2AA7" w14:paraId="25D6D545" w14:textId="77777777" w:rsidTr="4C2C4C78">
        <w:trPr>
          <w:trHeight w:val="288"/>
        </w:trPr>
        <w:tc>
          <w:tcPr>
            <w:tcW w:w="1027" w:type="pct"/>
            <w:noWrap/>
            <w:vAlign w:val="center"/>
            <w:hideMark/>
          </w:tcPr>
          <w:p w14:paraId="6141C30E"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Silvya borin</w:t>
            </w:r>
          </w:p>
        </w:tc>
        <w:tc>
          <w:tcPr>
            <w:tcW w:w="364" w:type="pct"/>
            <w:noWrap/>
            <w:vAlign w:val="center"/>
            <w:hideMark/>
          </w:tcPr>
          <w:p w14:paraId="32E4D5C4"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0FE98657"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7</w:t>
            </w:r>
          </w:p>
        </w:tc>
        <w:tc>
          <w:tcPr>
            <w:tcW w:w="2831" w:type="pct"/>
            <w:vAlign w:val="center"/>
            <w:hideMark/>
          </w:tcPr>
          <w:p w14:paraId="0CD36BAF"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Species with breeding attempts in poplar</w:t>
            </w:r>
          </w:p>
        </w:tc>
      </w:tr>
      <w:tr w:rsidR="002B273B" w:rsidRPr="004A2AA7" w14:paraId="6A088E88" w14:textId="77777777" w:rsidTr="4C2C4C78">
        <w:trPr>
          <w:trHeight w:val="288"/>
        </w:trPr>
        <w:tc>
          <w:tcPr>
            <w:tcW w:w="1027" w:type="pct"/>
            <w:noWrap/>
            <w:vAlign w:val="center"/>
            <w:hideMark/>
          </w:tcPr>
          <w:p w14:paraId="3DC0707D"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t>Sylvia curruca</w:t>
            </w:r>
          </w:p>
        </w:tc>
        <w:tc>
          <w:tcPr>
            <w:tcW w:w="364" w:type="pct"/>
            <w:noWrap/>
            <w:vAlign w:val="center"/>
            <w:hideMark/>
          </w:tcPr>
          <w:p w14:paraId="1AA83CA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16.886</w:t>
            </w:r>
          </w:p>
        </w:tc>
        <w:tc>
          <w:tcPr>
            <w:tcW w:w="778" w:type="pct"/>
            <w:noWrap/>
            <w:vAlign w:val="center"/>
            <w:hideMark/>
          </w:tcPr>
          <w:p w14:paraId="432AE8CB"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14</w:t>
            </w:r>
          </w:p>
        </w:tc>
        <w:tc>
          <w:tcPr>
            <w:tcW w:w="2831" w:type="pct"/>
            <w:vAlign w:val="center"/>
            <w:hideMark/>
          </w:tcPr>
          <w:p w14:paraId="60319AB2"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Detected species in agroforestry and SRC strips</w:t>
            </w:r>
          </w:p>
        </w:tc>
      </w:tr>
      <w:tr w:rsidR="002B273B" w:rsidRPr="004A2AA7" w14:paraId="0DD116ED" w14:textId="77777777" w:rsidTr="4C2C4C78">
        <w:trPr>
          <w:trHeight w:val="288"/>
        </w:trPr>
        <w:tc>
          <w:tcPr>
            <w:tcW w:w="1027" w:type="pct"/>
            <w:noWrap/>
            <w:vAlign w:val="center"/>
            <w:hideMark/>
          </w:tcPr>
          <w:p w14:paraId="6550D883" w14:textId="77777777" w:rsidR="004A2AA7" w:rsidRPr="004A2AA7" w:rsidRDefault="004A2AA7" w:rsidP="004A2AA7">
            <w:pPr>
              <w:spacing w:after="0" w:line="240" w:lineRule="auto"/>
              <w:jc w:val="center"/>
              <w:rPr>
                <w:rFonts w:ascii="Aptos Narrow" w:eastAsia="Times New Roman" w:hAnsi="Aptos Narrow" w:cs="Times New Roman"/>
                <w:i/>
                <w:iCs/>
                <w:color w:val="000000"/>
                <w:kern w:val="0"/>
                <w:lang w:eastAsia="fi-FI"/>
                <w14:ligatures w14:val="none"/>
              </w:rPr>
            </w:pPr>
            <w:r w:rsidRPr="004A2AA7">
              <w:rPr>
                <w:rFonts w:ascii="Aptos Narrow" w:eastAsia="Times New Roman" w:hAnsi="Aptos Narrow" w:cs="Times New Roman"/>
                <w:i/>
                <w:iCs/>
                <w:color w:val="000000"/>
                <w:kern w:val="0"/>
                <w:lang w:eastAsia="fi-FI"/>
                <w14:ligatures w14:val="none"/>
              </w:rPr>
              <w:lastRenderedPageBreak/>
              <w:t>Turdus iliacus</w:t>
            </w:r>
          </w:p>
        </w:tc>
        <w:tc>
          <w:tcPr>
            <w:tcW w:w="364" w:type="pct"/>
            <w:noWrap/>
            <w:vAlign w:val="center"/>
            <w:hideMark/>
          </w:tcPr>
          <w:p w14:paraId="698F0303"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NA</w:t>
            </w:r>
          </w:p>
        </w:tc>
        <w:tc>
          <w:tcPr>
            <w:tcW w:w="778" w:type="pct"/>
            <w:noWrap/>
            <w:vAlign w:val="center"/>
            <w:hideMark/>
          </w:tcPr>
          <w:p w14:paraId="2E7379BC" w14:textId="77777777" w:rsidR="004A2AA7" w:rsidRPr="004A2AA7" w:rsidRDefault="004A2AA7" w:rsidP="004A2AA7">
            <w:pPr>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2</w:t>
            </w:r>
          </w:p>
        </w:tc>
        <w:tc>
          <w:tcPr>
            <w:tcW w:w="2831" w:type="pct"/>
            <w:vAlign w:val="center"/>
            <w:hideMark/>
          </w:tcPr>
          <w:p w14:paraId="1F11ED80" w14:textId="77777777" w:rsidR="004A2AA7" w:rsidRPr="004A2AA7" w:rsidRDefault="004A2AA7" w:rsidP="00EB3731">
            <w:pPr>
              <w:keepNext/>
              <w:spacing w:after="0" w:line="240" w:lineRule="auto"/>
              <w:jc w:val="center"/>
              <w:rPr>
                <w:rFonts w:ascii="Aptos Narrow" w:eastAsia="Times New Roman" w:hAnsi="Aptos Narrow" w:cs="Times New Roman"/>
                <w:color w:val="000000"/>
                <w:kern w:val="0"/>
                <w:lang w:eastAsia="fi-FI"/>
                <w14:ligatures w14:val="none"/>
              </w:rPr>
            </w:pPr>
            <w:r w:rsidRPr="004A2AA7">
              <w:rPr>
                <w:rFonts w:ascii="Aptos Narrow" w:eastAsia="Times New Roman" w:hAnsi="Aptos Narrow" w:cs="Times New Roman"/>
                <w:color w:val="000000"/>
                <w:kern w:val="0"/>
                <w:lang w:eastAsia="fi-FI"/>
                <w14:ligatures w14:val="none"/>
              </w:rPr>
              <w:t>positive preference for salix</w:t>
            </w:r>
          </w:p>
        </w:tc>
      </w:tr>
    </w:tbl>
    <w:p w14:paraId="34AF44D3" w14:textId="354E4C56" w:rsidR="00935E36" w:rsidRDefault="00EB3731" w:rsidP="00EB3731">
      <w:pPr>
        <w:pStyle w:val="Caption"/>
        <w:rPr>
          <w:rFonts w:ascii="Calibri" w:hAnsi="Calibri" w:cs="Calibri"/>
          <w:i w:val="0"/>
          <w:iCs w:val="0"/>
          <w:color w:val="auto"/>
          <w:sz w:val="24"/>
          <w:szCs w:val="24"/>
        </w:rPr>
      </w:pPr>
      <w:r w:rsidRPr="008D5C91">
        <w:rPr>
          <w:rFonts w:ascii="Calibri" w:hAnsi="Calibri" w:cs="Calibri"/>
          <w:b/>
          <w:bCs/>
          <w:i w:val="0"/>
          <w:iCs w:val="0"/>
          <w:color w:val="auto"/>
          <w:sz w:val="24"/>
          <w:szCs w:val="24"/>
        </w:rPr>
        <w:t>Table S</w:t>
      </w:r>
      <w:r w:rsidRPr="008D5C91">
        <w:rPr>
          <w:rFonts w:ascii="Calibri" w:hAnsi="Calibri" w:cs="Calibri"/>
          <w:b/>
          <w:bCs/>
          <w:i w:val="0"/>
          <w:iCs w:val="0"/>
          <w:color w:val="auto"/>
          <w:sz w:val="24"/>
          <w:szCs w:val="24"/>
        </w:rPr>
        <w:fldChar w:fldCharType="begin"/>
      </w:r>
      <w:r w:rsidRPr="008D5C91">
        <w:rPr>
          <w:rFonts w:ascii="Calibri" w:hAnsi="Calibri" w:cs="Calibri"/>
          <w:b/>
          <w:bCs/>
          <w:i w:val="0"/>
          <w:iCs w:val="0"/>
          <w:color w:val="auto"/>
          <w:sz w:val="24"/>
          <w:szCs w:val="24"/>
        </w:rPr>
        <w:instrText xml:space="preserve"> SEQ Table \* ARABIC </w:instrText>
      </w:r>
      <w:r w:rsidRPr="008D5C91">
        <w:rPr>
          <w:rFonts w:ascii="Calibri" w:hAnsi="Calibri" w:cs="Calibri"/>
          <w:b/>
          <w:bCs/>
          <w:i w:val="0"/>
          <w:iCs w:val="0"/>
          <w:color w:val="auto"/>
          <w:sz w:val="24"/>
          <w:szCs w:val="24"/>
        </w:rPr>
        <w:fldChar w:fldCharType="separate"/>
      </w:r>
      <w:r w:rsidR="00FD69BB" w:rsidRPr="008D5C91">
        <w:rPr>
          <w:rFonts w:ascii="Calibri" w:hAnsi="Calibri" w:cs="Calibri"/>
          <w:b/>
          <w:bCs/>
          <w:i w:val="0"/>
          <w:iCs w:val="0"/>
          <w:noProof/>
          <w:color w:val="auto"/>
          <w:sz w:val="24"/>
          <w:szCs w:val="24"/>
        </w:rPr>
        <w:t>1</w:t>
      </w:r>
      <w:r w:rsidRPr="008D5C91">
        <w:rPr>
          <w:rFonts w:ascii="Calibri" w:hAnsi="Calibri" w:cs="Calibri"/>
          <w:b/>
          <w:bCs/>
          <w:i w:val="0"/>
          <w:iCs w:val="0"/>
          <w:color w:val="auto"/>
          <w:sz w:val="24"/>
          <w:szCs w:val="24"/>
        </w:rPr>
        <w:fldChar w:fldCharType="end"/>
      </w:r>
      <w:r w:rsidRPr="00027C8B">
        <w:rPr>
          <w:rFonts w:ascii="Calibri" w:hAnsi="Calibri" w:cs="Calibri"/>
          <w:i w:val="0"/>
          <w:iCs w:val="0"/>
          <w:color w:val="auto"/>
          <w:sz w:val="24"/>
          <w:szCs w:val="24"/>
        </w:rPr>
        <w:t>.</w:t>
      </w:r>
      <w:r>
        <w:rPr>
          <w:rFonts w:ascii="Calibri" w:hAnsi="Calibri" w:cs="Calibri"/>
          <w:i w:val="0"/>
          <w:iCs w:val="0"/>
          <w:color w:val="auto"/>
          <w:sz w:val="24"/>
          <w:szCs w:val="24"/>
        </w:rPr>
        <w:t xml:space="preserve"> </w:t>
      </w:r>
      <w:r w:rsidR="00027C8B">
        <w:rPr>
          <w:rFonts w:ascii="Calibri" w:hAnsi="Calibri" w:cs="Calibri"/>
          <w:i w:val="0"/>
          <w:iCs w:val="0"/>
          <w:color w:val="auto"/>
          <w:sz w:val="24"/>
          <w:szCs w:val="24"/>
        </w:rPr>
        <w:t xml:space="preserve">Species reported in </w:t>
      </w:r>
      <w:r w:rsidR="008A703F">
        <w:rPr>
          <w:rFonts w:ascii="Calibri" w:hAnsi="Calibri" w:cs="Calibri"/>
          <w:i w:val="0"/>
          <w:iCs w:val="0"/>
          <w:color w:val="auto"/>
          <w:sz w:val="24"/>
          <w:szCs w:val="24"/>
        </w:rPr>
        <w:t>fast-growing plantations</w:t>
      </w:r>
      <w:r w:rsidR="00027C8B">
        <w:rPr>
          <w:rFonts w:ascii="Calibri" w:hAnsi="Calibri" w:cs="Calibri"/>
          <w:i w:val="0"/>
          <w:iCs w:val="0"/>
          <w:color w:val="auto"/>
          <w:sz w:val="24"/>
          <w:szCs w:val="24"/>
        </w:rPr>
        <w:t xml:space="preserve"> in Europe. Dispersal distance</w:t>
      </w:r>
      <w:r w:rsidR="00E14FCD">
        <w:rPr>
          <w:rFonts w:ascii="Calibri" w:hAnsi="Calibri" w:cs="Calibri"/>
          <w:i w:val="0"/>
          <w:iCs w:val="0"/>
          <w:color w:val="auto"/>
          <w:sz w:val="24"/>
          <w:szCs w:val="24"/>
        </w:rPr>
        <w:t xml:space="preserve">s are from </w:t>
      </w:r>
      <w:r w:rsidR="00E14FCD">
        <w:rPr>
          <w:rFonts w:ascii="Calibri" w:hAnsi="Calibri" w:cs="Calibri"/>
          <w:i w:val="0"/>
          <w:iCs w:val="0"/>
          <w:color w:val="auto"/>
          <w:sz w:val="24"/>
          <w:szCs w:val="24"/>
        </w:rPr>
        <w:fldChar w:fldCharType="begin"/>
      </w:r>
      <w:r w:rsidR="00E14FCD">
        <w:rPr>
          <w:rFonts w:ascii="Calibri" w:hAnsi="Calibri" w:cs="Calibri"/>
          <w:i w:val="0"/>
          <w:iCs w:val="0"/>
          <w:color w:val="auto"/>
          <w:sz w:val="24"/>
          <w:szCs w:val="24"/>
        </w:rPr>
        <w:instrText xml:space="preserve"> ADDIN ZOTERO_ITEM CSL_CITATION {"citationID":"cV6hpWCJ","properties":{"formattedCitation":"(Paradis et al., 1998)","plainCitation":"(Paradis et al., 1998)","noteIndex":0},"citationItems":[{"id":1571,"uris":["http://zotero.org/users/11264418/items/XPRCPKKL"],"itemData":{"id":1571,"type":"article-journal","abstract":"1.  \n              Dispersal is of critical ecological and evolutionary importance for several issues of population biology, particularly population synchrony, colonization and range expansion, metapopulation and source–sink dynamics, and population genetic structure, but it has not previously been possible to compare dispersal patterns across a wide range of species or to study movement outside the confines of local study areas.\n            \n            \n              2.  \n              Using resampling methods, we verified that statistically unbiased estimates of average dispersal distance and of intraspecific variance in dispersal distance could be extracted from the bird ringing data of the British Trust for Ornithology.\n            \n            \n              3.  \n              Using data on 75 terrestrial bird species, we tested whether natal and breeding dispersal were influenced by a species’ habitat requirements, diet, geographical range, abundance, morphology, social system, life history or migratory status. We used allometric techniques to ascertain whether these relationships were independent of body size, and used the method of phylogenetically independent contrasts to ascertain whether they were independent of phylogeny.\n            \n            \n              4.  \n              Both natal and breeding dispersal distances were lower among abundant species and among species with large geographical ranges. Dispersal distances and life‐history variables were correlated independent of phylogeny, but these relationships did not persist after controlling for body size. All morphometrical variables (wing length, tarsus length and bill length) were not significantly correlated with dispersal distances after correcting for body size or phylogenetic relatedness.\n            \n            \n              5.  \n              Migrant species disperse further than resident ones, this relation was independent of body size but not of phylogeny. A significant positive relation was observed between breeding dispersal distance and long‐term population decline among migrants, but not among residents.\n            \n            \n              6.  \n              The species living in wet habitats disperse further than those living in dry habitats, which could be explained by the greater patchiness of wet habitats in space and/or time. This relationship was observed only for breeding dispersal, suggesting that this habitat variable does not impose the same constraint on natal dispersal.","container-title":"Journal of Animal Ecology","DOI":"10.1046/j.1365-2656.1998.00215.x","ISSN":"0021-8790, 1365-2656","issue":"4","journalAbbreviation":"Journal of Animal Ecology","language":"en","license":"http://onlinelibrary.wiley.com/termsAndConditions#vor","page":"518-536","source":"DOI.org (Crossref)","title":"Patterns of natal and breeding dispersal in birds","volume":"67","author":[{"family":"Paradis","given":"Emmanuel"},{"family":"Baillie","given":"Stephen R."},{"family":"Sutherland","given":"William J."},{"family":"Gregory","given":"Richard D."}],"issued":{"date-parts":[["1998",7]]}}}],"schema":"https://github.com/citation-style-language/schema/raw/master/csl-citation.json"} </w:instrText>
      </w:r>
      <w:r w:rsidR="00E14FCD">
        <w:rPr>
          <w:rFonts w:ascii="Calibri" w:hAnsi="Calibri" w:cs="Calibri"/>
          <w:i w:val="0"/>
          <w:iCs w:val="0"/>
          <w:color w:val="auto"/>
          <w:sz w:val="24"/>
          <w:szCs w:val="24"/>
        </w:rPr>
        <w:fldChar w:fldCharType="separate"/>
      </w:r>
      <w:r w:rsidR="00E14FCD" w:rsidRPr="00E14FCD">
        <w:rPr>
          <w:rFonts w:ascii="Calibri" w:hAnsi="Calibri" w:cs="Calibri"/>
          <w:sz w:val="24"/>
        </w:rPr>
        <w:t>(Paradis et al., 1998)</w:t>
      </w:r>
      <w:r w:rsidR="00E14FCD">
        <w:rPr>
          <w:rFonts w:ascii="Calibri" w:hAnsi="Calibri" w:cs="Calibri"/>
          <w:i w:val="0"/>
          <w:iCs w:val="0"/>
          <w:color w:val="auto"/>
          <w:sz w:val="24"/>
          <w:szCs w:val="24"/>
        </w:rPr>
        <w:fldChar w:fldCharType="end"/>
      </w:r>
      <w:r w:rsidR="00E14FCD">
        <w:rPr>
          <w:rFonts w:ascii="Calibri" w:hAnsi="Calibri" w:cs="Calibri"/>
          <w:i w:val="0"/>
          <w:iCs w:val="0"/>
          <w:color w:val="auto"/>
          <w:sz w:val="24"/>
          <w:szCs w:val="24"/>
        </w:rPr>
        <w:t>.</w:t>
      </w:r>
      <w:r w:rsidR="00F73519">
        <w:rPr>
          <w:rFonts w:ascii="Calibri" w:hAnsi="Calibri" w:cs="Calibri"/>
          <w:i w:val="0"/>
          <w:iCs w:val="0"/>
          <w:color w:val="auto"/>
          <w:sz w:val="24"/>
          <w:szCs w:val="24"/>
        </w:rPr>
        <w:t xml:space="preserve"> </w:t>
      </w:r>
    </w:p>
    <w:p w14:paraId="48841CD8" w14:textId="325B497D" w:rsidR="00344978" w:rsidRPr="00344978" w:rsidRDefault="00344978" w:rsidP="00344978">
      <w:r>
        <w:rPr>
          <w:vertAlign w:val="superscript"/>
        </w:rPr>
        <w:t xml:space="preserve">a </w:t>
      </w:r>
      <w:r>
        <w:t>SRC: Short Rotation Coppice</w:t>
      </w:r>
    </w:p>
    <w:p w14:paraId="7A029CAC" w14:textId="08091F6B" w:rsidR="00E5678B" w:rsidRDefault="00E5678B" w:rsidP="008D36ED">
      <w:pPr>
        <w:jc w:val="both"/>
        <w:rPr>
          <w:rFonts w:ascii="Calibri" w:hAnsi="Calibri" w:cs="Calibri"/>
          <w:b/>
          <w:bCs/>
          <w:sz w:val="24"/>
          <w:szCs w:val="24"/>
        </w:rPr>
      </w:pPr>
      <w:r w:rsidRPr="0BDF731F">
        <w:rPr>
          <w:rFonts w:ascii="Calibri" w:hAnsi="Calibri" w:cs="Calibri"/>
          <w:b/>
          <w:bCs/>
          <w:sz w:val="24"/>
          <w:szCs w:val="24"/>
        </w:rPr>
        <w:t>Paper ID list</w:t>
      </w:r>
    </w:p>
    <w:p w14:paraId="51481682" w14:textId="184CB078" w:rsidR="00027C8B" w:rsidRPr="00027C8B" w:rsidRDefault="00027C8B" w:rsidP="00027C8B">
      <w:pPr>
        <w:jc w:val="both"/>
        <w:rPr>
          <w:rFonts w:ascii="Calibri" w:hAnsi="Calibri" w:cs="Calibri"/>
          <w:sz w:val="24"/>
          <w:szCs w:val="24"/>
        </w:rPr>
      </w:pPr>
      <w:r w:rsidRPr="00027C8B">
        <w:rPr>
          <w:rFonts w:ascii="Calibri" w:hAnsi="Calibri" w:cs="Calibri"/>
          <w:sz w:val="24"/>
          <w:szCs w:val="24"/>
        </w:rPr>
        <w:t>1.</w:t>
      </w:r>
      <w:r>
        <w:rPr>
          <w:rFonts w:ascii="Calibri" w:hAnsi="Calibri" w:cs="Calibri"/>
          <w:sz w:val="24"/>
          <w:szCs w:val="24"/>
        </w:rPr>
        <w:t xml:space="preserve"> </w:t>
      </w:r>
      <w:r w:rsidRPr="00027C8B">
        <w:rPr>
          <w:rFonts w:ascii="Calibri" w:hAnsi="Calibri" w:cs="Calibri"/>
          <w:sz w:val="24"/>
          <w:szCs w:val="24"/>
        </w:rPr>
        <w:t>Archaux, F., &amp; Martin, H. (2009). Hybrid poplar plantations in a floodplain have balanced impacts on farmland and woodland birds. Forest Ecology and Management, 257(6), 1474–1479. https://doi.org/10.1016/j.foreco.2008.12.021</w:t>
      </w:r>
    </w:p>
    <w:p w14:paraId="559460B4" w14:textId="218577AB" w:rsidR="00027C8B" w:rsidRPr="006E5586" w:rsidRDefault="00027C8B" w:rsidP="00027C8B">
      <w:pPr>
        <w:jc w:val="both"/>
        <w:rPr>
          <w:rFonts w:ascii="Calibri" w:hAnsi="Calibri" w:cs="Calibri"/>
          <w:sz w:val="24"/>
          <w:szCs w:val="24"/>
          <w:lang w:val="it-IT"/>
        </w:rPr>
      </w:pPr>
      <w:r w:rsidRPr="00027C8B">
        <w:rPr>
          <w:rFonts w:ascii="Calibri" w:hAnsi="Calibri" w:cs="Calibri"/>
          <w:sz w:val="24"/>
          <w:szCs w:val="24"/>
        </w:rPr>
        <w:t>2.</w:t>
      </w:r>
      <w:r>
        <w:rPr>
          <w:rFonts w:ascii="Calibri" w:hAnsi="Calibri" w:cs="Calibri"/>
          <w:sz w:val="24"/>
          <w:szCs w:val="24"/>
        </w:rPr>
        <w:t xml:space="preserve"> </w:t>
      </w:r>
      <w:r w:rsidRPr="00027C8B">
        <w:rPr>
          <w:rFonts w:ascii="Calibri" w:hAnsi="Calibri" w:cs="Calibri"/>
          <w:sz w:val="24"/>
          <w:szCs w:val="24"/>
        </w:rPr>
        <w:t xml:space="preserve">Berg, Å. (2002). Breeding birds in short-rotation coppices on farmland in central Sweden—The importance of Salix height and adjacent habitats. </w:t>
      </w:r>
      <w:r w:rsidRPr="006E5586">
        <w:rPr>
          <w:rFonts w:ascii="Calibri" w:hAnsi="Calibri" w:cs="Calibri"/>
          <w:sz w:val="24"/>
          <w:szCs w:val="24"/>
          <w:lang w:val="it-IT"/>
        </w:rPr>
        <w:t>Agriculture, Ecosystems &amp; Environment, 90(3), 265–276. https://doi.org/10.1016/S0167-8809(01)00212-2</w:t>
      </w:r>
    </w:p>
    <w:p w14:paraId="384EAD50" w14:textId="000A2DA3" w:rsidR="00027C8B" w:rsidRPr="006E5586" w:rsidRDefault="00027C8B" w:rsidP="00027C8B">
      <w:pPr>
        <w:jc w:val="both"/>
        <w:rPr>
          <w:rFonts w:ascii="Calibri" w:hAnsi="Calibri" w:cs="Calibri"/>
          <w:sz w:val="24"/>
          <w:szCs w:val="24"/>
          <w:lang w:val="it-IT"/>
        </w:rPr>
      </w:pPr>
      <w:r w:rsidRPr="006E5586">
        <w:rPr>
          <w:rFonts w:ascii="Calibri" w:hAnsi="Calibri" w:cs="Calibri"/>
          <w:sz w:val="24"/>
          <w:szCs w:val="24"/>
          <w:lang w:val="it-IT"/>
        </w:rPr>
        <w:t xml:space="preserve">3. Chiatante, G., Giordano, M., &amp; Meriggi, A. (2019). </w:t>
      </w:r>
      <w:r w:rsidRPr="00027C8B">
        <w:rPr>
          <w:rFonts w:ascii="Calibri" w:hAnsi="Calibri" w:cs="Calibri"/>
          <w:sz w:val="24"/>
          <w:szCs w:val="24"/>
        </w:rPr>
        <w:t xml:space="preserve">Bird Diversity in Short Rotation Coppice in Northern Italy. </w:t>
      </w:r>
      <w:r w:rsidRPr="006E5586">
        <w:rPr>
          <w:rFonts w:ascii="Calibri" w:hAnsi="Calibri" w:cs="Calibri"/>
          <w:sz w:val="24"/>
          <w:szCs w:val="24"/>
          <w:lang w:val="it-IT"/>
        </w:rPr>
        <w:t>Ardea, 107(1), 5. https://doi.org/10.5253/arde.v107i1.a10</w:t>
      </w:r>
    </w:p>
    <w:p w14:paraId="3D5B9A53" w14:textId="11A19CD4" w:rsidR="00027C8B" w:rsidRPr="00027C8B" w:rsidRDefault="00027C8B" w:rsidP="00027C8B">
      <w:pPr>
        <w:jc w:val="both"/>
        <w:rPr>
          <w:rFonts w:ascii="Calibri" w:hAnsi="Calibri" w:cs="Calibri"/>
          <w:sz w:val="24"/>
          <w:szCs w:val="24"/>
        </w:rPr>
      </w:pPr>
      <w:r w:rsidRPr="006E5586">
        <w:rPr>
          <w:rFonts w:ascii="Calibri" w:hAnsi="Calibri" w:cs="Calibri"/>
          <w:sz w:val="24"/>
          <w:szCs w:val="24"/>
          <w:lang w:val="it-IT"/>
        </w:rPr>
        <w:t xml:space="preserve">4. Chiatante, G., Porro, Z., Musacchio, A., Bazzocchi, A., &amp; Meriggi, A. (2019). </w:t>
      </w:r>
      <w:r w:rsidRPr="00027C8B">
        <w:rPr>
          <w:rFonts w:ascii="Calibri" w:hAnsi="Calibri" w:cs="Calibri"/>
          <w:sz w:val="24"/>
          <w:szCs w:val="24"/>
        </w:rPr>
        <w:t>Multi-scale habitat requirements of forest bird species in a highly fragmented landscape. Journal of Ornithology, 160(3), 773–788. https://doi.org/10.1007/s10336-019-01664-9</w:t>
      </w:r>
    </w:p>
    <w:p w14:paraId="7E3C27D5" w14:textId="299538EE" w:rsidR="00027C8B" w:rsidRPr="00027C8B" w:rsidRDefault="00027C8B" w:rsidP="00027C8B">
      <w:pPr>
        <w:jc w:val="both"/>
        <w:rPr>
          <w:rFonts w:ascii="Calibri" w:hAnsi="Calibri" w:cs="Calibri"/>
          <w:sz w:val="24"/>
          <w:szCs w:val="24"/>
        </w:rPr>
      </w:pPr>
      <w:r w:rsidRPr="00027C8B">
        <w:rPr>
          <w:rFonts w:ascii="Calibri" w:hAnsi="Calibri" w:cs="Calibri"/>
          <w:sz w:val="24"/>
          <w:szCs w:val="24"/>
        </w:rPr>
        <w:t>5.</w:t>
      </w:r>
      <w:r>
        <w:rPr>
          <w:rFonts w:ascii="Calibri" w:hAnsi="Calibri" w:cs="Calibri"/>
          <w:sz w:val="24"/>
          <w:szCs w:val="24"/>
        </w:rPr>
        <w:t xml:space="preserve"> </w:t>
      </w:r>
      <w:r w:rsidRPr="00027C8B">
        <w:rPr>
          <w:rFonts w:ascii="Calibri" w:hAnsi="Calibri" w:cs="Calibri"/>
          <w:sz w:val="24"/>
          <w:szCs w:val="24"/>
        </w:rPr>
        <w:t>Göransson, G. (1994). Bird fauna of cultivated energy shrub forests at different heights. Biomass and Bioenergy, 6(1–2), 49–52. https://doi.org/10.1016/0961-9534(94)90084-1</w:t>
      </w:r>
    </w:p>
    <w:p w14:paraId="64D113BB" w14:textId="5832A29D" w:rsidR="00027C8B" w:rsidRPr="00027C8B" w:rsidRDefault="00027C8B" w:rsidP="00027C8B">
      <w:pPr>
        <w:jc w:val="both"/>
        <w:rPr>
          <w:rFonts w:ascii="Calibri" w:hAnsi="Calibri" w:cs="Calibri"/>
          <w:sz w:val="24"/>
          <w:szCs w:val="24"/>
        </w:rPr>
      </w:pPr>
      <w:r w:rsidRPr="00027C8B">
        <w:rPr>
          <w:rFonts w:ascii="Calibri" w:hAnsi="Calibri" w:cs="Calibri"/>
          <w:sz w:val="24"/>
          <w:szCs w:val="24"/>
        </w:rPr>
        <w:t>6.</w:t>
      </w:r>
      <w:r>
        <w:rPr>
          <w:rFonts w:ascii="Calibri" w:hAnsi="Calibri" w:cs="Calibri"/>
          <w:sz w:val="24"/>
          <w:szCs w:val="24"/>
        </w:rPr>
        <w:t xml:space="preserve"> </w:t>
      </w:r>
      <w:r w:rsidRPr="00027C8B">
        <w:rPr>
          <w:rFonts w:ascii="Calibri" w:hAnsi="Calibri" w:cs="Calibri"/>
          <w:sz w:val="24"/>
          <w:szCs w:val="24"/>
        </w:rPr>
        <w:t>Gruss, H., &amp; Schulz, U. (2014). Diversity and Composition of Breeding Bird Communities in Short Rotation Coppices and Surrounding Agricultural Landscape.</w:t>
      </w:r>
    </w:p>
    <w:p w14:paraId="43EEE8CA" w14:textId="321B30FA" w:rsidR="00027C8B" w:rsidRPr="00027C8B" w:rsidRDefault="00027C8B" w:rsidP="00027C8B">
      <w:pPr>
        <w:jc w:val="both"/>
        <w:rPr>
          <w:rFonts w:ascii="Calibri" w:hAnsi="Calibri" w:cs="Calibri"/>
          <w:sz w:val="24"/>
          <w:szCs w:val="24"/>
        </w:rPr>
      </w:pPr>
      <w:r w:rsidRPr="00027C8B">
        <w:rPr>
          <w:rFonts w:ascii="Calibri" w:hAnsi="Calibri" w:cs="Calibri"/>
          <w:sz w:val="24"/>
          <w:szCs w:val="24"/>
        </w:rPr>
        <w:t>7.</w:t>
      </w:r>
      <w:r>
        <w:rPr>
          <w:rFonts w:ascii="Calibri" w:hAnsi="Calibri" w:cs="Calibri"/>
          <w:sz w:val="24"/>
          <w:szCs w:val="24"/>
        </w:rPr>
        <w:t xml:space="preserve"> </w:t>
      </w:r>
      <w:r w:rsidRPr="00027C8B">
        <w:rPr>
          <w:rFonts w:ascii="Calibri" w:hAnsi="Calibri" w:cs="Calibri"/>
          <w:sz w:val="24"/>
          <w:szCs w:val="24"/>
        </w:rPr>
        <w:t>Linnebank, J., &amp; Zitzmann, F. (2025). Mixing-in native thorny shrubs greatly improves the habitat quality of short rotation coppice strips within a modern agroforestry system for breeding birds. Global Ecology and Conservation, 58, e03506. https://doi.org/10.1016/j.gecco.2025.e03506</w:t>
      </w:r>
    </w:p>
    <w:p w14:paraId="3F6570E3" w14:textId="44DECAE9" w:rsidR="00027C8B" w:rsidRPr="00027C8B" w:rsidRDefault="00027C8B" w:rsidP="00027C8B">
      <w:pPr>
        <w:jc w:val="both"/>
        <w:rPr>
          <w:rFonts w:ascii="Calibri" w:hAnsi="Calibri" w:cs="Calibri"/>
          <w:sz w:val="24"/>
          <w:szCs w:val="24"/>
        </w:rPr>
      </w:pPr>
      <w:r w:rsidRPr="00D0657E">
        <w:rPr>
          <w:rFonts w:ascii="Calibri" w:hAnsi="Calibri" w:cs="Calibri"/>
          <w:sz w:val="24"/>
          <w:szCs w:val="24"/>
          <w:lang w:val="sv-SE"/>
        </w:rPr>
        <w:t xml:space="preserve">8. Londo, M., Dekker, J., &amp; Terkeurs, W. (2005). </w:t>
      </w:r>
      <w:r w:rsidRPr="00027C8B">
        <w:rPr>
          <w:rFonts w:ascii="Calibri" w:hAnsi="Calibri" w:cs="Calibri"/>
          <w:sz w:val="24"/>
          <w:szCs w:val="24"/>
        </w:rPr>
        <w:t>Willow short-rotation coppice for energy and breeding birds: An exploration of potentials in relation to management. Biomass and Bioenergy, 28(3), 281–293. https://doi.org/10.1016/j.biombioe.2004.06.007</w:t>
      </w:r>
    </w:p>
    <w:p w14:paraId="31A896B2" w14:textId="2DA598AC" w:rsidR="00027C8B" w:rsidRPr="00027C8B" w:rsidRDefault="00027C8B" w:rsidP="00027C8B">
      <w:pPr>
        <w:jc w:val="both"/>
        <w:rPr>
          <w:rFonts w:ascii="Calibri" w:hAnsi="Calibri" w:cs="Calibri"/>
          <w:sz w:val="24"/>
          <w:szCs w:val="24"/>
          <w:lang w:val="es-ES"/>
        </w:rPr>
      </w:pPr>
      <w:r w:rsidRPr="006E5586">
        <w:rPr>
          <w:rFonts w:ascii="Calibri" w:hAnsi="Calibri" w:cs="Calibri"/>
          <w:sz w:val="24"/>
          <w:szCs w:val="24"/>
        </w:rPr>
        <w:t xml:space="preserve">9. Martín-García, J., Barbaro, L., Diez, J., &amp; Jactel, H. (2013). </w:t>
      </w:r>
      <w:r w:rsidRPr="00027C8B">
        <w:rPr>
          <w:rFonts w:ascii="Calibri" w:hAnsi="Calibri" w:cs="Calibri"/>
          <w:sz w:val="24"/>
          <w:szCs w:val="24"/>
        </w:rPr>
        <w:t xml:space="preserve">Contribution of poplar plantations to bird conservation in riparian landscapes. </w:t>
      </w:r>
      <w:r w:rsidRPr="00027C8B">
        <w:rPr>
          <w:rFonts w:ascii="Calibri" w:hAnsi="Calibri" w:cs="Calibri"/>
          <w:sz w:val="24"/>
          <w:szCs w:val="24"/>
          <w:lang w:val="es-ES"/>
        </w:rPr>
        <w:t>Silva Fennica, 47(4). https://doi.org/10.14214/sf.1043</w:t>
      </w:r>
    </w:p>
    <w:p w14:paraId="2BAA0986" w14:textId="53A9A180" w:rsidR="00027C8B" w:rsidRPr="00027C8B" w:rsidRDefault="00027C8B" w:rsidP="00027C8B">
      <w:pPr>
        <w:jc w:val="both"/>
        <w:rPr>
          <w:rFonts w:ascii="Calibri" w:hAnsi="Calibri" w:cs="Calibri"/>
          <w:sz w:val="24"/>
          <w:szCs w:val="24"/>
        </w:rPr>
      </w:pPr>
      <w:r w:rsidRPr="00027C8B">
        <w:rPr>
          <w:rFonts w:ascii="Calibri" w:hAnsi="Calibri" w:cs="Calibri"/>
          <w:sz w:val="24"/>
          <w:szCs w:val="24"/>
          <w:lang w:val="es-ES"/>
        </w:rPr>
        <w:lastRenderedPageBreak/>
        <w:t>10.</w:t>
      </w:r>
      <w:r>
        <w:rPr>
          <w:rFonts w:ascii="Calibri" w:hAnsi="Calibri" w:cs="Calibri"/>
          <w:sz w:val="24"/>
          <w:szCs w:val="24"/>
          <w:lang w:val="es-ES"/>
        </w:rPr>
        <w:t xml:space="preserve"> </w:t>
      </w:r>
      <w:r w:rsidRPr="00027C8B">
        <w:rPr>
          <w:rFonts w:ascii="Calibri" w:hAnsi="Calibri" w:cs="Calibri"/>
          <w:sz w:val="24"/>
          <w:szCs w:val="24"/>
          <w:lang w:val="es-ES"/>
        </w:rPr>
        <w:t xml:space="preserve">Oliveira, N., Cañellas, I., Fuertes, A., Pascual, S., González, I., Montes, F., &amp; Sixto, H. (2024). </w:t>
      </w:r>
      <w:r w:rsidRPr="00027C8B">
        <w:rPr>
          <w:rFonts w:ascii="Calibri" w:hAnsi="Calibri" w:cs="Calibri"/>
          <w:sz w:val="24"/>
          <w:szCs w:val="24"/>
        </w:rPr>
        <w:t>Beyond biomass production: Enhancing biodiversity while capturing carbon in short rotation coppice poplar plantations. Science of The Total Environment, 933, 172932. https://doi.org/10.1016/j.scitotenv.2024.172932</w:t>
      </w:r>
    </w:p>
    <w:p w14:paraId="353C31DF" w14:textId="36116056" w:rsidR="00027C8B" w:rsidRPr="00027C8B" w:rsidRDefault="00027C8B" w:rsidP="00027C8B">
      <w:pPr>
        <w:jc w:val="both"/>
        <w:rPr>
          <w:rFonts w:ascii="Calibri" w:hAnsi="Calibri" w:cs="Calibri"/>
          <w:sz w:val="24"/>
          <w:szCs w:val="24"/>
          <w:lang w:val="it-IT"/>
        </w:rPr>
      </w:pPr>
      <w:r w:rsidRPr="00027C8B">
        <w:rPr>
          <w:rFonts w:ascii="Calibri" w:hAnsi="Calibri" w:cs="Calibri"/>
          <w:sz w:val="24"/>
          <w:szCs w:val="24"/>
          <w:lang w:val="it-IT"/>
        </w:rPr>
        <w:t>11.</w:t>
      </w:r>
      <w:r>
        <w:rPr>
          <w:rFonts w:ascii="Calibri" w:hAnsi="Calibri" w:cs="Calibri"/>
          <w:sz w:val="24"/>
          <w:szCs w:val="24"/>
          <w:lang w:val="it-IT"/>
        </w:rPr>
        <w:t xml:space="preserve"> </w:t>
      </w:r>
      <w:r w:rsidRPr="00027C8B">
        <w:rPr>
          <w:rFonts w:ascii="Calibri" w:hAnsi="Calibri" w:cs="Calibri"/>
          <w:sz w:val="24"/>
          <w:szCs w:val="24"/>
          <w:lang w:val="it-IT"/>
        </w:rPr>
        <w:t xml:space="preserve">Porro, Z., Chiatante, G., &amp; Bogliani, G. (2020). </w:t>
      </w:r>
      <w:r w:rsidRPr="00027C8B">
        <w:rPr>
          <w:rFonts w:ascii="Calibri" w:hAnsi="Calibri" w:cs="Calibri"/>
          <w:sz w:val="24"/>
          <w:szCs w:val="24"/>
        </w:rPr>
        <w:t xml:space="preserve">Associations between forest specialist birds and composition of woodland habitats in a highly modified landscape. </w:t>
      </w:r>
      <w:r w:rsidRPr="00027C8B">
        <w:rPr>
          <w:rFonts w:ascii="Calibri" w:hAnsi="Calibri" w:cs="Calibri"/>
          <w:sz w:val="24"/>
          <w:szCs w:val="24"/>
          <w:lang w:val="it-IT"/>
        </w:rPr>
        <w:t>Forest Ecology and Management, 458, 117732. https://doi.org/10.1016/j.foreco.2019.117732</w:t>
      </w:r>
    </w:p>
    <w:p w14:paraId="615209D5" w14:textId="39957760" w:rsidR="00027C8B" w:rsidRPr="00027C8B" w:rsidRDefault="00027C8B" w:rsidP="00027C8B">
      <w:pPr>
        <w:jc w:val="both"/>
        <w:rPr>
          <w:rFonts w:ascii="Calibri" w:hAnsi="Calibri" w:cs="Calibri"/>
          <w:sz w:val="24"/>
          <w:szCs w:val="24"/>
        </w:rPr>
      </w:pPr>
      <w:r w:rsidRPr="00027C8B">
        <w:rPr>
          <w:rFonts w:ascii="Calibri" w:hAnsi="Calibri" w:cs="Calibri"/>
          <w:sz w:val="24"/>
          <w:szCs w:val="24"/>
          <w:lang w:val="it-IT"/>
        </w:rPr>
        <w:t>12.</w:t>
      </w:r>
      <w:r>
        <w:rPr>
          <w:rFonts w:ascii="Calibri" w:hAnsi="Calibri" w:cs="Calibri"/>
          <w:sz w:val="24"/>
          <w:szCs w:val="24"/>
          <w:lang w:val="it-IT"/>
        </w:rPr>
        <w:t xml:space="preserve"> </w:t>
      </w:r>
      <w:r w:rsidRPr="00027C8B">
        <w:rPr>
          <w:rFonts w:ascii="Calibri" w:hAnsi="Calibri" w:cs="Calibri"/>
          <w:sz w:val="24"/>
          <w:szCs w:val="24"/>
          <w:lang w:val="it-IT"/>
        </w:rPr>
        <w:t xml:space="preserve">Porro, Z., Odicino, M., Bogliani, G., &amp; Chiatante, G. (2021). </w:t>
      </w:r>
      <w:r w:rsidRPr="00027C8B">
        <w:rPr>
          <w:rFonts w:ascii="Calibri" w:hAnsi="Calibri" w:cs="Calibri"/>
          <w:sz w:val="24"/>
          <w:szCs w:val="24"/>
        </w:rPr>
        <w:t>Intensive forestry and biodiversity: Use of poplar plantations by woodpeckers in a lowland area of Northern Italy. Forest Ecology and Management, 497, 119490. https://doi.org/10.1016/j.foreco.2021.119490</w:t>
      </w:r>
    </w:p>
    <w:p w14:paraId="235017B5" w14:textId="26E4FB9D" w:rsidR="00027C8B" w:rsidRPr="00027C8B" w:rsidRDefault="00027C8B" w:rsidP="00027C8B">
      <w:pPr>
        <w:jc w:val="both"/>
        <w:rPr>
          <w:rFonts w:ascii="Calibri" w:hAnsi="Calibri" w:cs="Calibri"/>
          <w:sz w:val="24"/>
          <w:szCs w:val="24"/>
        </w:rPr>
      </w:pPr>
      <w:r w:rsidRPr="006E5586">
        <w:rPr>
          <w:rFonts w:ascii="Calibri" w:hAnsi="Calibri" w:cs="Calibri"/>
          <w:sz w:val="24"/>
          <w:szCs w:val="24"/>
        </w:rPr>
        <w:t xml:space="preserve">13. Sage, R. B., &amp; Robertson, P. A. (1996). </w:t>
      </w:r>
      <w:r w:rsidRPr="00027C8B">
        <w:rPr>
          <w:rFonts w:ascii="Calibri" w:hAnsi="Calibri" w:cs="Calibri"/>
          <w:sz w:val="24"/>
          <w:szCs w:val="24"/>
        </w:rPr>
        <w:t>Factors affecting songbird communities using new short rotation coppice habitats in spring. Bird Study, 43(2), 201–213. https://doi.org/10.1080/00063659609461012</w:t>
      </w:r>
    </w:p>
    <w:p w14:paraId="52AA40BC" w14:textId="5A4F14FC" w:rsidR="00027C8B" w:rsidRPr="00027C8B" w:rsidRDefault="00027C8B" w:rsidP="00027C8B">
      <w:pPr>
        <w:jc w:val="both"/>
        <w:rPr>
          <w:rFonts w:ascii="Calibri" w:hAnsi="Calibri" w:cs="Calibri"/>
          <w:sz w:val="24"/>
          <w:szCs w:val="24"/>
        </w:rPr>
      </w:pPr>
      <w:r w:rsidRPr="00027C8B">
        <w:rPr>
          <w:rFonts w:ascii="Calibri" w:hAnsi="Calibri" w:cs="Calibri"/>
          <w:sz w:val="24"/>
          <w:szCs w:val="24"/>
        </w:rPr>
        <w:t>14.</w:t>
      </w:r>
      <w:r>
        <w:rPr>
          <w:rFonts w:ascii="Calibri" w:hAnsi="Calibri" w:cs="Calibri"/>
          <w:sz w:val="24"/>
          <w:szCs w:val="24"/>
        </w:rPr>
        <w:t xml:space="preserve"> </w:t>
      </w:r>
      <w:r w:rsidRPr="00027C8B">
        <w:rPr>
          <w:rFonts w:ascii="Calibri" w:hAnsi="Calibri" w:cs="Calibri"/>
          <w:sz w:val="24"/>
          <w:szCs w:val="24"/>
        </w:rPr>
        <w:t>Zitzmann, F., &amp; Langhof, M. (2023). Development of the breeding bird community of a silvoarable agroforestry system with short rotation coppice strips over a 16-year period. Agroforestry Systems, 97(8), 1601–1612. https://doi.org/10.1007/s10457-023-00881-9</w:t>
      </w:r>
    </w:p>
    <w:p w14:paraId="7ED3141A" w14:textId="1CADFD96" w:rsidR="00AB630A" w:rsidRPr="00AB630A" w:rsidRDefault="00AB630A" w:rsidP="00AB630A">
      <w:pPr>
        <w:jc w:val="both"/>
        <w:rPr>
          <w:rFonts w:ascii="Calibri" w:hAnsi="Calibri" w:cs="Calibri"/>
          <w:b/>
          <w:bCs/>
          <w:sz w:val="24"/>
          <w:szCs w:val="24"/>
        </w:rPr>
      </w:pPr>
    </w:p>
    <w:p w14:paraId="63A30F0C" w14:textId="77777777" w:rsidR="008B32B1" w:rsidRDefault="008B32B1">
      <w:pPr>
        <w:spacing w:line="278" w:lineRule="auto"/>
        <w:rPr>
          <w:rFonts w:ascii="Calibri" w:hAnsi="Calibri" w:cs="Calibri"/>
          <w:b/>
          <w:bCs/>
          <w:sz w:val="24"/>
          <w:szCs w:val="24"/>
        </w:rPr>
      </w:pPr>
    </w:p>
    <w:p w14:paraId="63AD0A93" w14:textId="77777777" w:rsidR="005145BC" w:rsidRDefault="005145BC">
      <w:pPr>
        <w:spacing w:line="278" w:lineRule="auto"/>
        <w:rPr>
          <w:rFonts w:ascii="Calibri" w:hAnsi="Calibri" w:cs="Calibri"/>
          <w:b/>
          <w:bCs/>
          <w:sz w:val="24"/>
          <w:szCs w:val="24"/>
        </w:rPr>
        <w:sectPr w:rsidR="005145BC" w:rsidSect="008B32B1">
          <w:pgSz w:w="16838" w:h="11906" w:orient="landscape"/>
          <w:pgMar w:top="1138" w:right="1411" w:bottom="1138" w:left="1411" w:header="706" w:footer="706"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145BC" w14:paraId="04A4F7F2" w14:textId="77777777" w:rsidTr="005145BC">
        <w:tc>
          <w:tcPr>
            <w:tcW w:w="9628" w:type="dxa"/>
          </w:tcPr>
          <w:p w14:paraId="7415CBCB" w14:textId="7F38B3D1" w:rsidR="005145BC" w:rsidRPr="00CE11BB" w:rsidRDefault="005145BC" w:rsidP="00CE11BB">
            <w:pPr>
              <w:pStyle w:val="ListParagraph"/>
              <w:numPr>
                <w:ilvl w:val="0"/>
                <w:numId w:val="12"/>
              </w:numPr>
              <w:jc w:val="both"/>
              <w:rPr>
                <w:rFonts w:ascii="Calibri" w:hAnsi="Calibri" w:cs="Calibri"/>
                <w:b/>
                <w:bCs/>
                <w:sz w:val="24"/>
                <w:szCs w:val="24"/>
              </w:rPr>
            </w:pPr>
            <w:r w:rsidRPr="00CE11BB">
              <w:rPr>
                <w:rFonts w:ascii="Calibri" w:hAnsi="Calibri" w:cs="Calibri"/>
                <w:b/>
                <w:bCs/>
                <w:sz w:val="24"/>
                <w:szCs w:val="24"/>
              </w:rPr>
              <w:lastRenderedPageBreak/>
              <w:t>Spain</w:t>
            </w:r>
          </w:p>
          <w:p w14:paraId="43829BEF" w14:textId="74B5D677" w:rsidR="005145BC" w:rsidRDefault="005145BC" w:rsidP="005145BC">
            <w:pPr>
              <w:jc w:val="both"/>
              <w:rPr>
                <w:rFonts w:ascii="Calibri" w:hAnsi="Calibri" w:cs="Calibri"/>
                <w:b/>
                <w:bCs/>
                <w:sz w:val="24"/>
                <w:szCs w:val="24"/>
              </w:rPr>
            </w:pPr>
            <w:r>
              <w:rPr>
                <w:rFonts w:ascii="Calibri" w:hAnsi="Calibri" w:cs="Calibri"/>
                <w:noProof/>
                <w:sz w:val="24"/>
                <w:szCs w:val="24"/>
              </w:rPr>
              <w:drawing>
                <wp:inline distT="0" distB="0" distL="0" distR="0" wp14:anchorId="7EF1862B" wp14:editId="5817ADA8">
                  <wp:extent cx="5495925" cy="2936846"/>
                  <wp:effectExtent l="0" t="0" r="0" b="0"/>
                  <wp:docPr id="1731153218" name="Picture 2" descr="A graph of a number of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53218" name="Picture 2" descr="A graph of a number of plant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51110" cy="2966335"/>
                          </a:xfrm>
                          <a:prstGeom prst="rect">
                            <a:avLst/>
                          </a:prstGeom>
                          <a:noFill/>
                        </pic:spPr>
                      </pic:pic>
                    </a:graphicData>
                  </a:graphic>
                </wp:inline>
              </w:drawing>
            </w:r>
          </w:p>
        </w:tc>
      </w:tr>
      <w:tr w:rsidR="005145BC" w14:paraId="773191DD" w14:textId="77777777" w:rsidTr="005145BC">
        <w:tc>
          <w:tcPr>
            <w:tcW w:w="9628" w:type="dxa"/>
          </w:tcPr>
          <w:p w14:paraId="3192B345" w14:textId="23700BE1" w:rsidR="005145BC" w:rsidRPr="00CE11BB" w:rsidRDefault="005145BC" w:rsidP="00CE11BB">
            <w:pPr>
              <w:pStyle w:val="ListParagraph"/>
              <w:numPr>
                <w:ilvl w:val="0"/>
                <w:numId w:val="12"/>
              </w:numPr>
              <w:jc w:val="both"/>
              <w:rPr>
                <w:rFonts w:ascii="Calibri" w:hAnsi="Calibri" w:cs="Calibri"/>
                <w:b/>
                <w:bCs/>
                <w:sz w:val="24"/>
                <w:szCs w:val="24"/>
              </w:rPr>
            </w:pPr>
            <w:r w:rsidRPr="00CE11BB">
              <w:rPr>
                <w:rFonts w:ascii="Calibri" w:hAnsi="Calibri" w:cs="Calibri"/>
                <w:b/>
                <w:bCs/>
                <w:sz w:val="24"/>
                <w:szCs w:val="24"/>
              </w:rPr>
              <w:t>France</w:t>
            </w:r>
          </w:p>
          <w:p w14:paraId="47C8A367" w14:textId="2687FD3F" w:rsidR="005145BC" w:rsidRDefault="005145BC" w:rsidP="005145BC">
            <w:pPr>
              <w:keepNext/>
              <w:jc w:val="both"/>
              <w:rPr>
                <w:rFonts w:ascii="Calibri" w:hAnsi="Calibri" w:cs="Calibri"/>
                <w:b/>
                <w:bCs/>
                <w:sz w:val="24"/>
                <w:szCs w:val="24"/>
              </w:rPr>
            </w:pPr>
            <w:r>
              <w:rPr>
                <w:rFonts w:ascii="Calibri" w:hAnsi="Calibri" w:cs="Calibri"/>
                <w:noProof/>
                <w:sz w:val="24"/>
                <w:szCs w:val="24"/>
              </w:rPr>
              <w:drawing>
                <wp:inline distT="0" distB="0" distL="0" distR="0" wp14:anchorId="4A0B2377" wp14:editId="08934A56">
                  <wp:extent cx="5571323" cy="2524125"/>
                  <wp:effectExtent l="0" t="0" r="0" b="0"/>
                  <wp:docPr id="70084882" name="Picture 6" descr="A graph of a forest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4882" name="Picture 6" descr="A graph of a forest area&#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2481" cy="2538241"/>
                          </a:xfrm>
                          <a:prstGeom prst="rect">
                            <a:avLst/>
                          </a:prstGeom>
                          <a:noFill/>
                        </pic:spPr>
                      </pic:pic>
                    </a:graphicData>
                  </a:graphic>
                </wp:inline>
              </w:drawing>
            </w:r>
          </w:p>
        </w:tc>
      </w:tr>
    </w:tbl>
    <w:p w14:paraId="68EA02EE" w14:textId="2D5B613E" w:rsidR="005145BC" w:rsidRPr="005145BC" w:rsidRDefault="005145BC" w:rsidP="005145BC">
      <w:pPr>
        <w:pStyle w:val="Caption"/>
        <w:rPr>
          <w:rFonts w:ascii="Calibri" w:hAnsi="Calibri" w:cs="Calibri"/>
          <w:i w:val="0"/>
          <w:iCs w:val="0"/>
          <w:color w:val="auto"/>
          <w:sz w:val="24"/>
          <w:szCs w:val="24"/>
        </w:rPr>
      </w:pPr>
      <w:r w:rsidRPr="005014C3">
        <w:rPr>
          <w:rFonts w:ascii="Calibri" w:hAnsi="Calibri" w:cs="Calibri"/>
          <w:b/>
          <w:bCs/>
          <w:i w:val="0"/>
          <w:iCs w:val="0"/>
          <w:color w:val="auto"/>
          <w:sz w:val="24"/>
          <w:szCs w:val="24"/>
        </w:rPr>
        <w:t>Figure S</w:t>
      </w:r>
      <w:r w:rsidRPr="005014C3">
        <w:rPr>
          <w:rFonts w:ascii="Calibri" w:hAnsi="Calibri" w:cs="Calibri"/>
          <w:b/>
          <w:bCs/>
          <w:i w:val="0"/>
          <w:iCs w:val="0"/>
          <w:color w:val="auto"/>
          <w:sz w:val="24"/>
          <w:szCs w:val="24"/>
        </w:rPr>
        <w:fldChar w:fldCharType="begin"/>
      </w:r>
      <w:r w:rsidRPr="005014C3">
        <w:rPr>
          <w:rFonts w:ascii="Calibri" w:hAnsi="Calibri" w:cs="Calibri"/>
          <w:b/>
          <w:bCs/>
          <w:i w:val="0"/>
          <w:iCs w:val="0"/>
          <w:color w:val="auto"/>
          <w:sz w:val="24"/>
          <w:szCs w:val="24"/>
        </w:rPr>
        <w:instrText xml:space="preserve"> SEQ Figure \* ARABIC </w:instrText>
      </w:r>
      <w:r w:rsidRPr="005014C3">
        <w:rPr>
          <w:rFonts w:ascii="Calibri" w:hAnsi="Calibri" w:cs="Calibri"/>
          <w:b/>
          <w:bCs/>
          <w:i w:val="0"/>
          <w:iCs w:val="0"/>
          <w:color w:val="auto"/>
          <w:sz w:val="24"/>
          <w:szCs w:val="24"/>
        </w:rPr>
        <w:fldChar w:fldCharType="separate"/>
      </w:r>
      <w:r w:rsidR="00D0657E">
        <w:rPr>
          <w:rFonts w:ascii="Calibri" w:hAnsi="Calibri" w:cs="Calibri"/>
          <w:b/>
          <w:bCs/>
          <w:i w:val="0"/>
          <w:iCs w:val="0"/>
          <w:noProof/>
          <w:color w:val="auto"/>
          <w:sz w:val="24"/>
          <w:szCs w:val="24"/>
        </w:rPr>
        <w:t>1</w:t>
      </w:r>
      <w:r w:rsidRPr="005014C3">
        <w:rPr>
          <w:rFonts w:ascii="Calibri" w:hAnsi="Calibri" w:cs="Calibri"/>
          <w:b/>
          <w:bCs/>
          <w:i w:val="0"/>
          <w:iCs w:val="0"/>
          <w:color w:val="auto"/>
          <w:sz w:val="24"/>
          <w:szCs w:val="24"/>
        </w:rPr>
        <w:fldChar w:fldCharType="end"/>
      </w:r>
      <w:r w:rsidRPr="005014C3">
        <w:rPr>
          <w:rFonts w:ascii="Calibri" w:hAnsi="Calibri" w:cs="Calibri"/>
          <w:b/>
          <w:bCs/>
          <w:i w:val="0"/>
          <w:iCs w:val="0"/>
          <w:color w:val="auto"/>
          <w:sz w:val="24"/>
          <w:szCs w:val="24"/>
        </w:rPr>
        <w:t>.</w:t>
      </w:r>
      <w:r w:rsidRPr="005145BC">
        <w:rPr>
          <w:rFonts w:ascii="Calibri" w:hAnsi="Calibri" w:cs="Calibri"/>
          <w:i w:val="0"/>
          <w:iCs w:val="0"/>
          <w:color w:val="auto"/>
          <w:sz w:val="24"/>
          <w:szCs w:val="24"/>
        </w:rPr>
        <w:t xml:space="preserve"> Size distribution of</w:t>
      </w:r>
      <w:r w:rsidR="00FB4810">
        <w:rPr>
          <w:rFonts w:ascii="Calibri" w:hAnsi="Calibri" w:cs="Calibri"/>
          <w:i w:val="0"/>
          <w:iCs w:val="0"/>
          <w:color w:val="auto"/>
          <w:sz w:val="24"/>
          <w:szCs w:val="24"/>
        </w:rPr>
        <w:t xml:space="preserve"> forest</w:t>
      </w:r>
      <w:r w:rsidR="00CE11BB">
        <w:rPr>
          <w:rFonts w:ascii="Calibri" w:hAnsi="Calibri" w:cs="Calibri"/>
          <w:i w:val="0"/>
          <w:iCs w:val="0"/>
          <w:color w:val="auto"/>
          <w:sz w:val="24"/>
          <w:szCs w:val="24"/>
        </w:rPr>
        <w:t xml:space="preserve"> and </w:t>
      </w:r>
      <w:r w:rsidR="008A703F">
        <w:rPr>
          <w:rFonts w:ascii="Calibri" w:hAnsi="Calibri" w:cs="Calibri"/>
          <w:i w:val="0"/>
          <w:iCs w:val="0"/>
          <w:color w:val="auto"/>
          <w:sz w:val="24"/>
          <w:szCs w:val="24"/>
        </w:rPr>
        <w:t>plantation</w:t>
      </w:r>
      <w:r w:rsidR="00CE11BB">
        <w:rPr>
          <w:rFonts w:ascii="Calibri" w:hAnsi="Calibri" w:cs="Calibri"/>
          <w:i w:val="0"/>
          <w:iCs w:val="0"/>
          <w:color w:val="auto"/>
          <w:sz w:val="24"/>
          <w:szCs w:val="24"/>
        </w:rPr>
        <w:t xml:space="preserve"> </w:t>
      </w:r>
      <w:r w:rsidR="00613EF9">
        <w:rPr>
          <w:rFonts w:ascii="Calibri" w:hAnsi="Calibri" w:cs="Calibri"/>
          <w:i w:val="0"/>
          <w:iCs w:val="0"/>
          <w:color w:val="auto"/>
          <w:sz w:val="24"/>
          <w:szCs w:val="24"/>
        </w:rPr>
        <w:t>patches in</w:t>
      </w:r>
      <w:r w:rsidR="00CE11BB">
        <w:rPr>
          <w:rFonts w:ascii="Calibri" w:hAnsi="Calibri" w:cs="Calibri"/>
          <w:i w:val="0"/>
          <w:iCs w:val="0"/>
          <w:color w:val="auto"/>
          <w:sz w:val="24"/>
          <w:szCs w:val="24"/>
        </w:rPr>
        <w:t xml:space="preserve"> a) Spain and b) France.</w:t>
      </w:r>
    </w:p>
    <w:p w14:paraId="36F2A1FD" w14:textId="77777777" w:rsidR="005145BC" w:rsidRDefault="005145B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200F7" w14:paraId="6B14432B" w14:textId="77777777" w:rsidTr="00F25961">
        <w:tc>
          <w:tcPr>
            <w:tcW w:w="9628" w:type="dxa"/>
          </w:tcPr>
          <w:p w14:paraId="30BE08DD" w14:textId="0B5E2D0A" w:rsidR="00CE3E21" w:rsidRDefault="00F470AD" w:rsidP="00CE3E21">
            <w:pPr>
              <w:rPr>
                <w:rFonts w:ascii="Calibri" w:hAnsi="Calibri" w:cs="Calibri"/>
                <w:b/>
                <w:bCs/>
                <w:sz w:val="24"/>
                <w:szCs w:val="24"/>
              </w:rPr>
            </w:pPr>
            <w:r>
              <w:rPr>
                <w:rFonts w:ascii="Calibri" w:hAnsi="Calibri" w:cs="Calibri"/>
                <w:b/>
                <w:bCs/>
                <w:sz w:val="24"/>
                <w:szCs w:val="24"/>
              </w:rPr>
              <w:lastRenderedPageBreak/>
              <w:t>a)</w:t>
            </w:r>
          </w:p>
          <w:p w14:paraId="256D3EF0" w14:textId="519A8A72" w:rsidR="009200F7" w:rsidRDefault="00F82EA6" w:rsidP="00CE3E21">
            <w:pPr>
              <w:jc w:val="center"/>
              <w:rPr>
                <w:rFonts w:ascii="Calibri" w:hAnsi="Calibri" w:cs="Calibri"/>
                <w:b/>
                <w:bCs/>
                <w:sz w:val="24"/>
                <w:szCs w:val="24"/>
              </w:rPr>
            </w:pPr>
            <w:r>
              <w:rPr>
                <w:rFonts w:ascii="Calibri" w:hAnsi="Calibri" w:cs="Calibri"/>
                <w:b/>
                <w:bCs/>
                <w:noProof/>
                <w:sz w:val="24"/>
                <w:szCs w:val="24"/>
              </w:rPr>
              <w:drawing>
                <wp:inline distT="0" distB="0" distL="0" distR="0" wp14:anchorId="6CBA9D99" wp14:editId="672E6561">
                  <wp:extent cx="3676650" cy="3171825"/>
                  <wp:effectExtent l="0" t="0" r="0" b="9525"/>
                  <wp:docPr id="1638915757" name="Picture 5" descr="A map of a large area with red and yellow sp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15757" name="Picture 5" descr="A map of a large area with red and yellow spots&#10;&#10;AI-generated content may be incorrect."/>
                          <pic:cNvPicPr/>
                        </pic:nvPicPr>
                        <pic:blipFill rotWithShape="1">
                          <a:blip r:embed="rId9" cstate="print">
                            <a:extLst>
                              <a:ext uri="{28A0092B-C50C-407E-A947-70E740481C1C}">
                                <a14:useLocalDpi xmlns:a14="http://schemas.microsoft.com/office/drawing/2010/main" val="0"/>
                              </a:ext>
                            </a:extLst>
                          </a:blip>
                          <a:srcRect l="16018" r="12914" b="13279"/>
                          <a:stretch>
                            <a:fillRect/>
                          </a:stretch>
                        </pic:blipFill>
                        <pic:spPr bwMode="auto">
                          <a:xfrm>
                            <a:off x="0" y="0"/>
                            <a:ext cx="3676731" cy="3171895"/>
                          </a:xfrm>
                          <a:prstGeom prst="rect">
                            <a:avLst/>
                          </a:prstGeom>
                          <a:ln>
                            <a:noFill/>
                          </a:ln>
                          <a:extLst>
                            <a:ext uri="{53640926-AAD7-44D8-BBD7-CCE9431645EC}">
                              <a14:shadowObscured xmlns:a14="http://schemas.microsoft.com/office/drawing/2010/main"/>
                            </a:ext>
                          </a:extLst>
                        </pic:spPr>
                      </pic:pic>
                    </a:graphicData>
                  </a:graphic>
                </wp:inline>
              </w:drawing>
            </w:r>
          </w:p>
        </w:tc>
      </w:tr>
      <w:tr w:rsidR="009200F7" w14:paraId="57626F6B" w14:textId="77777777" w:rsidTr="00F25961">
        <w:tc>
          <w:tcPr>
            <w:tcW w:w="9628" w:type="dxa"/>
          </w:tcPr>
          <w:p w14:paraId="25265747" w14:textId="77777777" w:rsidR="009200F7" w:rsidRDefault="00F470AD" w:rsidP="004604C5">
            <w:pPr>
              <w:keepNext/>
              <w:rPr>
                <w:rFonts w:ascii="Calibri" w:hAnsi="Calibri" w:cs="Calibri"/>
                <w:b/>
                <w:bCs/>
                <w:noProof/>
                <w:sz w:val="24"/>
                <w:szCs w:val="24"/>
              </w:rPr>
            </w:pPr>
            <w:r>
              <w:rPr>
                <w:rFonts w:ascii="Calibri" w:hAnsi="Calibri" w:cs="Calibri"/>
                <w:b/>
                <w:bCs/>
                <w:noProof/>
                <w:sz w:val="24"/>
                <w:szCs w:val="24"/>
              </w:rPr>
              <w:t>b)</w:t>
            </w:r>
          </w:p>
          <w:p w14:paraId="0361BB7D" w14:textId="3349E9D2" w:rsidR="004604C5" w:rsidRDefault="00F82EA6" w:rsidP="00935E36">
            <w:pPr>
              <w:keepNext/>
              <w:jc w:val="center"/>
              <w:rPr>
                <w:rFonts w:ascii="Calibri" w:hAnsi="Calibri" w:cs="Calibri"/>
                <w:b/>
                <w:bCs/>
                <w:sz w:val="24"/>
                <w:szCs w:val="24"/>
              </w:rPr>
            </w:pPr>
            <w:r>
              <w:rPr>
                <w:rFonts w:ascii="Calibri" w:hAnsi="Calibri" w:cs="Calibri"/>
                <w:b/>
                <w:bCs/>
                <w:noProof/>
                <w:sz w:val="24"/>
                <w:szCs w:val="24"/>
              </w:rPr>
              <w:drawing>
                <wp:inline distT="0" distB="0" distL="0" distR="0" wp14:anchorId="359BF51B" wp14:editId="2F2630E4">
                  <wp:extent cx="5172499" cy="3190875"/>
                  <wp:effectExtent l="0" t="0" r="9525" b="0"/>
                  <wp:docPr id="1202945778" name="Picture 6"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45778" name="Picture 6" descr="A map of the world&#10;&#10;AI-generated content may be incorrect."/>
                          <pic:cNvPicPr/>
                        </pic:nvPicPr>
                        <pic:blipFill rotWithShape="1">
                          <a:blip r:embed="rId10" cstate="print">
                            <a:extLst>
                              <a:ext uri="{28A0092B-C50C-407E-A947-70E740481C1C}">
                                <a14:useLocalDpi xmlns:a14="http://schemas.microsoft.com/office/drawing/2010/main" val="0"/>
                              </a:ext>
                            </a:extLst>
                          </a:blip>
                          <a:srcRect t="7292" b="5453"/>
                          <a:stretch>
                            <a:fillRect/>
                          </a:stretch>
                        </pic:blipFill>
                        <pic:spPr bwMode="auto">
                          <a:xfrm>
                            <a:off x="0" y="0"/>
                            <a:ext cx="5173459" cy="3191467"/>
                          </a:xfrm>
                          <a:prstGeom prst="rect">
                            <a:avLst/>
                          </a:prstGeom>
                          <a:ln>
                            <a:noFill/>
                          </a:ln>
                          <a:extLst>
                            <a:ext uri="{53640926-AAD7-44D8-BBD7-CCE9431645EC}">
                              <a14:shadowObscured xmlns:a14="http://schemas.microsoft.com/office/drawing/2010/main"/>
                            </a:ext>
                          </a:extLst>
                        </pic:spPr>
                      </pic:pic>
                    </a:graphicData>
                  </a:graphic>
                </wp:inline>
              </w:drawing>
            </w:r>
          </w:p>
        </w:tc>
      </w:tr>
    </w:tbl>
    <w:p w14:paraId="6A434CD8" w14:textId="654B0B27" w:rsidR="009200F7" w:rsidRDefault="009200F7" w:rsidP="009200F7">
      <w:pPr>
        <w:pStyle w:val="Caption"/>
        <w:rPr>
          <w:rFonts w:ascii="Calibri" w:hAnsi="Calibri" w:cs="Calibri"/>
          <w:i w:val="0"/>
          <w:iCs w:val="0"/>
          <w:color w:val="auto"/>
          <w:sz w:val="24"/>
          <w:szCs w:val="24"/>
        </w:rPr>
      </w:pPr>
      <w:r w:rsidRPr="008321E3">
        <w:rPr>
          <w:rFonts w:ascii="Calibri" w:hAnsi="Calibri" w:cs="Calibri"/>
          <w:b/>
          <w:bCs/>
          <w:i w:val="0"/>
          <w:iCs w:val="0"/>
          <w:color w:val="auto"/>
          <w:sz w:val="24"/>
          <w:szCs w:val="24"/>
        </w:rPr>
        <w:t xml:space="preserve">Figure </w:t>
      </w:r>
      <w:r w:rsidR="004F649E">
        <w:rPr>
          <w:rFonts w:ascii="Calibri" w:hAnsi="Calibri" w:cs="Calibri"/>
          <w:b/>
          <w:bCs/>
          <w:i w:val="0"/>
          <w:iCs w:val="0"/>
          <w:color w:val="auto"/>
          <w:sz w:val="24"/>
          <w:szCs w:val="24"/>
        </w:rPr>
        <w:t>S</w:t>
      </w:r>
      <w:r w:rsidRPr="008321E3">
        <w:rPr>
          <w:rFonts w:ascii="Calibri" w:hAnsi="Calibri" w:cs="Calibri"/>
          <w:b/>
          <w:bCs/>
          <w:i w:val="0"/>
          <w:iCs w:val="0"/>
          <w:color w:val="auto"/>
          <w:sz w:val="24"/>
          <w:szCs w:val="24"/>
        </w:rPr>
        <w:fldChar w:fldCharType="begin"/>
      </w:r>
      <w:r w:rsidRPr="008321E3">
        <w:rPr>
          <w:rFonts w:ascii="Calibri" w:hAnsi="Calibri" w:cs="Calibri"/>
          <w:b/>
          <w:bCs/>
          <w:i w:val="0"/>
          <w:iCs w:val="0"/>
          <w:color w:val="auto"/>
          <w:sz w:val="24"/>
          <w:szCs w:val="24"/>
        </w:rPr>
        <w:instrText xml:space="preserve"> SEQ Figure \* ARABIC </w:instrText>
      </w:r>
      <w:r w:rsidRPr="008321E3">
        <w:rPr>
          <w:rFonts w:ascii="Calibri" w:hAnsi="Calibri" w:cs="Calibri"/>
          <w:b/>
          <w:bCs/>
          <w:i w:val="0"/>
          <w:iCs w:val="0"/>
          <w:color w:val="auto"/>
          <w:sz w:val="24"/>
          <w:szCs w:val="24"/>
        </w:rPr>
        <w:fldChar w:fldCharType="separate"/>
      </w:r>
      <w:r w:rsidR="00D0657E">
        <w:rPr>
          <w:rFonts w:ascii="Calibri" w:hAnsi="Calibri" w:cs="Calibri"/>
          <w:b/>
          <w:bCs/>
          <w:i w:val="0"/>
          <w:iCs w:val="0"/>
          <w:noProof/>
          <w:color w:val="auto"/>
          <w:sz w:val="24"/>
          <w:szCs w:val="24"/>
        </w:rPr>
        <w:t>2</w:t>
      </w:r>
      <w:r w:rsidRPr="008321E3">
        <w:rPr>
          <w:rFonts w:ascii="Calibri" w:hAnsi="Calibri" w:cs="Calibri"/>
          <w:b/>
          <w:bCs/>
          <w:i w:val="0"/>
          <w:iCs w:val="0"/>
          <w:color w:val="auto"/>
          <w:sz w:val="24"/>
          <w:szCs w:val="24"/>
        </w:rPr>
        <w:fldChar w:fldCharType="end"/>
      </w:r>
      <w:r w:rsidR="00141B12" w:rsidRPr="008321E3">
        <w:rPr>
          <w:rFonts w:ascii="Calibri" w:hAnsi="Calibri" w:cs="Calibri"/>
          <w:b/>
          <w:bCs/>
          <w:i w:val="0"/>
          <w:iCs w:val="0"/>
          <w:color w:val="auto"/>
          <w:sz w:val="24"/>
          <w:szCs w:val="24"/>
        </w:rPr>
        <w:t>.</w:t>
      </w:r>
      <w:r w:rsidR="00141B12" w:rsidRPr="008321E3">
        <w:rPr>
          <w:rFonts w:ascii="Calibri" w:hAnsi="Calibri" w:cs="Calibri"/>
          <w:i w:val="0"/>
          <w:iCs w:val="0"/>
          <w:color w:val="auto"/>
          <w:sz w:val="24"/>
          <w:szCs w:val="24"/>
        </w:rPr>
        <w:t xml:space="preserve"> Node importance (dPC) for scenario 2 (forests and plantations intersecting </w:t>
      </w:r>
      <w:r w:rsidR="00947115">
        <w:rPr>
          <w:rFonts w:ascii="Calibri" w:hAnsi="Calibri" w:cs="Calibri"/>
          <w:i w:val="0"/>
          <w:iCs w:val="0"/>
          <w:color w:val="auto"/>
          <w:sz w:val="24"/>
          <w:szCs w:val="24"/>
        </w:rPr>
        <w:t>N</w:t>
      </w:r>
      <w:r w:rsidR="00141B12" w:rsidRPr="008321E3">
        <w:rPr>
          <w:rFonts w:ascii="Calibri" w:hAnsi="Calibri" w:cs="Calibri"/>
          <w:i w:val="0"/>
          <w:iCs w:val="0"/>
          <w:color w:val="auto"/>
          <w:sz w:val="24"/>
          <w:szCs w:val="24"/>
        </w:rPr>
        <w:t xml:space="preserve">atura 2000 areas) in a) Spain and b) France using a median dispersal distance of </w:t>
      </w:r>
      <w:r w:rsidR="00947115" w:rsidRPr="00947115">
        <w:rPr>
          <w:rFonts w:ascii="Calibri" w:hAnsi="Calibri" w:cs="Calibri"/>
          <w:i w:val="0"/>
          <w:iCs w:val="0"/>
          <w:color w:val="auto"/>
          <w:sz w:val="24"/>
          <w:szCs w:val="24"/>
        </w:rPr>
        <w:t>0.79</w:t>
      </w:r>
      <w:r w:rsidR="00141B12" w:rsidRPr="00947115">
        <w:rPr>
          <w:rFonts w:ascii="Calibri" w:hAnsi="Calibri" w:cs="Calibri"/>
          <w:i w:val="0"/>
          <w:iCs w:val="0"/>
          <w:color w:val="auto"/>
          <w:sz w:val="24"/>
          <w:szCs w:val="24"/>
        </w:rPr>
        <w:t xml:space="preserve"> km (</w:t>
      </w:r>
      <w:r w:rsidR="008321E3" w:rsidRPr="00947115">
        <w:rPr>
          <w:rFonts w:ascii="Calibri" w:hAnsi="Calibri" w:cs="Calibri"/>
          <w:i w:val="0"/>
          <w:iCs w:val="0"/>
          <w:color w:val="auto"/>
          <w:sz w:val="24"/>
          <w:szCs w:val="24"/>
        </w:rPr>
        <w:t>Common chaffinch</w:t>
      </w:r>
      <w:r w:rsidR="00141B12" w:rsidRPr="00947115">
        <w:rPr>
          <w:rFonts w:ascii="Calibri" w:hAnsi="Calibri" w:cs="Calibri"/>
          <w:i w:val="0"/>
          <w:iCs w:val="0"/>
          <w:color w:val="auto"/>
          <w:sz w:val="24"/>
          <w:szCs w:val="24"/>
        </w:rPr>
        <w:t>).</w:t>
      </w:r>
      <w:r w:rsidR="00141B12" w:rsidRPr="008321E3">
        <w:rPr>
          <w:rFonts w:ascii="Calibri" w:hAnsi="Calibri" w:cs="Calibri"/>
          <w:i w:val="0"/>
          <w:iCs w:val="0"/>
          <w:color w:val="auto"/>
          <w:sz w:val="24"/>
          <w:szCs w:val="24"/>
        </w:rPr>
        <w:t xml:space="preserve"> Darker colors represent the nodes with higher importance to maintain landscape connectivity</w:t>
      </w:r>
    </w:p>
    <w:p w14:paraId="7216447D" w14:textId="5B4E5563" w:rsidR="002772A8" w:rsidRDefault="002772A8">
      <w:pPr>
        <w:spacing w:line="278"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E36FEF" w14:paraId="7AEE927D" w14:textId="77777777" w:rsidTr="00F25961">
        <w:tc>
          <w:tcPr>
            <w:tcW w:w="9628" w:type="dxa"/>
          </w:tcPr>
          <w:p w14:paraId="56DBFD09" w14:textId="77777777" w:rsidR="00CE3E21" w:rsidRPr="00CE3E21" w:rsidRDefault="00F82EA6" w:rsidP="00CE3E21">
            <w:pPr>
              <w:rPr>
                <w:b/>
                <w:bCs/>
              </w:rPr>
            </w:pPr>
            <w:r w:rsidRPr="00CE3E21">
              <w:rPr>
                <w:b/>
                <w:bCs/>
              </w:rPr>
              <w:lastRenderedPageBreak/>
              <w:t>a)</w:t>
            </w:r>
          </w:p>
          <w:p w14:paraId="3AF598AA" w14:textId="37B932BB" w:rsidR="00E36FEF" w:rsidRDefault="00CE3E21" w:rsidP="004604C5">
            <w:pPr>
              <w:jc w:val="center"/>
            </w:pPr>
            <w:r>
              <w:rPr>
                <w:noProof/>
              </w:rPr>
              <w:drawing>
                <wp:inline distT="0" distB="0" distL="0" distR="0" wp14:anchorId="479DA95A" wp14:editId="49431FC2">
                  <wp:extent cx="3695700" cy="3181350"/>
                  <wp:effectExtent l="0" t="0" r="0" b="0"/>
                  <wp:docPr id="1820202576" name="Picture 7"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02576" name="Picture 7" descr="A map of a forest&#10;&#10;AI-generated content may be incorrect."/>
                          <pic:cNvPicPr/>
                        </pic:nvPicPr>
                        <pic:blipFill rotWithShape="1">
                          <a:blip r:embed="rId11" cstate="print">
                            <a:extLst>
                              <a:ext uri="{28A0092B-C50C-407E-A947-70E740481C1C}">
                                <a14:useLocalDpi xmlns:a14="http://schemas.microsoft.com/office/drawing/2010/main" val="0"/>
                              </a:ext>
                            </a:extLst>
                          </a:blip>
                          <a:srcRect l="15097" r="13465" b="13019"/>
                          <a:stretch>
                            <a:fillRect/>
                          </a:stretch>
                        </pic:blipFill>
                        <pic:spPr bwMode="auto">
                          <a:xfrm>
                            <a:off x="0" y="0"/>
                            <a:ext cx="3695782" cy="3181420"/>
                          </a:xfrm>
                          <a:prstGeom prst="rect">
                            <a:avLst/>
                          </a:prstGeom>
                          <a:ln>
                            <a:noFill/>
                          </a:ln>
                          <a:extLst>
                            <a:ext uri="{53640926-AAD7-44D8-BBD7-CCE9431645EC}">
                              <a14:shadowObscured xmlns:a14="http://schemas.microsoft.com/office/drawing/2010/main"/>
                            </a:ext>
                          </a:extLst>
                        </pic:spPr>
                      </pic:pic>
                    </a:graphicData>
                  </a:graphic>
                </wp:inline>
              </w:drawing>
            </w:r>
          </w:p>
        </w:tc>
      </w:tr>
      <w:tr w:rsidR="00E36FEF" w14:paraId="3DA52B18" w14:textId="77777777" w:rsidTr="00F25961">
        <w:tc>
          <w:tcPr>
            <w:tcW w:w="9628" w:type="dxa"/>
          </w:tcPr>
          <w:p w14:paraId="69C715EB" w14:textId="77777777" w:rsidR="00CE3E21" w:rsidRPr="00CE3E21" w:rsidRDefault="00CE3E21" w:rsidP="00E36FEF">
            <w:pPr>
              <w:rPr>
                <w:b/>
                <w:bCs/>
              </w:rPr>
            </w:pPr>
            <w:r w:rsidRPr="00CE3E21">
              <w:rPr>
                <w:b/>
                <w:bCs/>
              </w:rPr>
              <w:t>b)</w:t>
            </w:r>
          </w:p>
          <w:p w14:paraId="2D76B25B" w14:textId="50871896" w:rsidR="00E36FEF" w:rsidRDefault="00CE3E21" w:rsidP="00CE3E21">
            <w:pPr>
              <w:keepNext/>
              <w:jc w:val="center"/>
            </w:pPr>
            <w:r>
              <w:rPr>
                <w:noProof/>
              </w:rPr>
              <w:drawing>
                <wp:inline distT="0" distB="0" distL="0" distR="0" wp14:anchorId="651B5431" wp14:editId="14242243">
                  <wp:extent cx="5172495" cy="3181350"/>
                  <wp:effectExtent l="0" t="0" r="9525" b="0"/>
                  <wp:docPr id="1216264797" name="Picture 8"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64797" name="Picture 8" descr="A map of the world&#10;&#10;AI-generated content may be incorrect."/>
                          <pic:cNvPicPr/>
                        </pic:nvPicPr>
                        <pic:blipFill rotWithShape="1">
                          <a:blip r:embed="rId12" cstate="print">
                            <a:extLst>
                              <a:ext uri="{28A0092B-C50C-407E-A947-70E740481C1C}">
                                <a14:useLocalDpi xmlns:a14="http://schemas.microsoft.com/office/drawing/2010/main" val="0"/>
                              </a:ext>
                            </a:extLst>
                          </a:blip>
                          <a:srcRect t="7812" b="5192"/>
                          <a:stretch>
                            <a:fillRect/>
                          </a:stretch>
                        </pic:blipFill>
                        <pic:spPr bwMode="auto">
                          <a:xfrm>
                            <a:off x="0" y="0"/>
                            <a:ext cx="5173459" cy="31819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E8C6B02" w14:textId="59AF1D06" w:rsidR="00E36FEF" w:rsidRDefault="00CE3E21" w:rsidP="00D615DF">
      <w:pPr>
        <w:pStyle w:val="Caption"/>
        <w:jc w:val="both"/>
        <w:rPr>
          <w:rFonts w:ascii="Calibri" w:hAnsi="Calibri" w:cs="Calibri"/>
          <w:i w:val="0"/>
          <w:iCs w:val="0"/>
          <w:color w:val="auto"/>
          <w:sz w:val="24"/>
          <w:szCs w:val="24"/>
        </w:rPr>
      </w:pPr>
      <w:r w:rsidRPr="00F25961">
        <w:rPr>
          <w:rFonts w:ascii="Calibri" w:hAnsi="Calibri" w:cs="Calibri"/>
          <w:b/>
          <w:bCs/>
          <w:i w:val="0"/>
          <w:iCs w:val="0"/>
          <w:color w:val="auto"/>
          <w:sz w:val="24"/>
          <w:szCs w:val="24"/>
        </w:rPr>
        <w:t xml:space="preserve">Figure </w:t>
      </w:r>
      <w:r w:rsidR="00F25961" w:rsidRPr="00F25961">
        <w:rPr>
          <w:rFonts w:ascii="Calibri" w:hAnsi="Calibri" w:cs="Calibri"/>
          <w:b/>
          <w:bCs/>
          <w:i w:val="0"/>
          <w:iCs w:val="0"/>
          <w:color w:val="auto"/>
          <w:sz w:val="24"/>
          <w:szCs w:val="24"/>
        </w:rPr>
        <w:t>S</w:t>
      </w:r>
      <w:r w:rsidRPr="00F25961">
        <w:rPr>
          <w:rFonts w:ascii="Calibri" w:hAnsi="Calibri" w:cs="Calibri"/>
          <w:b/>
          <w:bCs/>
          <w:i w:val="0"/>
          <w:iCs w:val="0"/>
          <w:color w:val="auto"/>
          <w:sz w:val="24"/>
          <w:szCs w:val="24"/>
        </w:rPr>
        <w:fldChar w:fldCharType="begin"/>
      </w:r>
      <w:r w:rsidRPr="00F25961">
        <w:rPr>
          <w:rFonts w:ascii="Calibri" w:hAnsi="Calibri" w:cs="Calibri"/>
          <w:b/>
          <w:bCs/>
          <w:i w:val="0"/>
          <w:iCs w:val="0"/>
          <w:color w:val="auto"/>
          <w:sz w:val="24"/>
          <w:szCs w:val="24"/>
        </w:rPr>
        <w:instrText xml:space="preserve"> SEQ Figure \* ARABIC </w:instrText>
      </w:r>
      <w:r w:rsidRPr="00F25961">
        <w:rPr>
          <w:rFonts w:ascii="Calibri" w:hAnsi="Calibri" w:cs="Calibri"/>
          <w:b/>
          <w:bCs/>
          <w:i w:val="0"/>
          <w:iCs w:val="0"/>
          <w:color w:val="auto"/>
          <w:sz w:val="24"/>
          <w:szCs w:val="24"/>
        </w:rPr>
        <w:fldChar w:fldCharType="separate"/>
      </w:r>
      <w:r w:rsidR="00D0657E">
        <w:rPr>
          <w:rFonts w:ascii="Calibri" w:hAnsi="Calibri" w:cs="Calibri"/>
          <w:b/>
          <w:bCs/>
          <w:i w:val="0"/>
          <w:iCs w:val="0"/>
          <w:noProof/>
          <w:color w:val="auto"/>
          <w:sz w:val="24"/>
          <w:szCs w:val="24"/>
        </w:rPr>
        <w:t>3</w:t>
      </w:r>
      <w:r w:rsidRPr="00F25961">
        <w:rPr>
          <w:rFonts w:ascii="Calibri" w:hAnsi="Calibri" w:cs="Calibri"/>
          <w:b/>
          <w:bCs/>
          <w:i w:val="0"/>
          <w:iCs w:val="0"/>
          <w:color w:val="auto"/>
          <w:sz w:val="24"/>
          <w:szCs w:val="24"/>
        </w:rPr>
        <w:fldChar w:fldCharType="end"/>
      </w:r>
      <w:r w:rsidRPr="00F25961">
        <w:rPr>
          <w:rFonts w:ascii="Calibri" w:hAnsi="Calibri" w:cs="Calibri"/>
          <w:b/>
          <w:bCs/>
          <w:i w:val="0"/>
          <w:iCs w:val="0"/>
          <w:color w:val="auto"/>
          <w:sz w:val="24"/>
          <w:szCs w:val="24"/>
        </w:rPr>
        <w:t>.</w:t>
      </w:r>
      <w:r>
        <w:t xml:space="preserve"> </w:t>
      </w:r>
      <w:r w:rsidRPr="008321E3">
        <w:rPr>
          <w:rFonts w:ascii="Calibri" w:hAnsi="Calibri" w:cs="Calibri"/>
          <w:i w:val="0"/>
          <w:iCs w:val="0"/>
          <w:color w:val="auto"/>
          <w:sz w:val="24"/>
          <w:szCs w:val="24"/>
        </w:rPr>
        <w:t xml:space="preserve">Node importance (dPC) for scenario 2 (forests and plantations intersecting </w:t>
      </w:r>
      <w:r>
        <w:rPr>
          <w:rFonts w:ascii="Calibri" w:hAnsi="Calibri" w:cs="Calibri"/>
          <w:i w:val="0"/>
          <w:iCs w:val="0"/>
          <w:color w:val="auto"/>
          <w:sz w:val="24"/>
          <w:szCs w:val="24"/>
        </w:rPr>
        <w:t>N</w:t>
      </w:r>
      <w:r w:rsidRPr="008321E3">
        <w:rPr>
          <w:rFonts w:ascii="Calibri" w:hAnsi="Calibri" w:cs="Calibri"/>
          <w:i w:val="0"/>
          <w:iCs w:val="0"/>
          <w:color w:val="auto"/>
          <w:sz w:val="24"/>
          <w:szCs w:val="24"/>
        </w:rPr>
        <w:t xml:space="preserve">atura 2000 areas) in a) Spain and b) France using a median dispersal distance of </w:t>
      </w:r>
      <w:r w:rsidR="00F25961">
        <w:rPr>
          <w:rFonts w:ascii="Calibri" w:hAnsi="Calibri" w:cs="Calibri"/>
          <w:i w:val="0"/>
          <w:iCs w:val="0"/>
          <w:color w:val="auto"/>
          <w:sz w:val="24"/>
          <w:szCs w:val="24"/>
        </w:rPr>
        <w:t>5.9</w:t>
      </w:r>
      <w:r w:rsidRPr="00947115">
        <w:rPr>
          <w:rFonts w:ascii="Calibri" w:hAnsi="Calibri" w:cs="Calibri"/>
          <w:i w:val="0"/>
          <w:iCs w:val="0"/>
          <w:color w:val="auto"/>
          <w:sz w:val="24"/>
          <w:szCs w:val="24"/>
        </w:rPr>
        <w:t xml:space="preserve"> km (</w:t>
      </w:r>
      <w:r w:rsidR="00265EB4">
        <w:rPr>
          <w:rFonts w:ascii="Calibri" w:hAnsi="Calibri" w:cs="Calibri"/>
          <w:i w:val="0"/>
          <w:iCs w:val="0"/>
          <w:color w:val="auto"/>
          <w:sz w:val="24"/>
          <w:szCs w:val="24"/>
        </w:rPr>
        <w:t>Gr</w:t>
      </w:r>
      <w:r w:rsidR="00F25961">
        <w:rPr>
          <w:rFonts w:ascii="Calibri" w:hAnsi="Calibri" w:cs="Calibri"/>
          <w:i w:val="0"/>
          <w:iCs w:val="0"/>
          <w:color w:val="auto"/>
          <w:sz w:val="24"/>
          <w:szCs w:val="24"/>
        </w:rPr>
        <w:t>e</w:t>
      </w:r>
      <w:r w:rsidR="00265EB4">
        <w:rPr>
          <w:rFonts w:ascii="Calibri" w:hAnsi="Calibri" w:cs="Calibri"/>
          <w:i w:val="0"/>
          <w:iCs w:val="0"/>
          <w:color w:val="auto"/>
          <w:sz w:val="24"/>
          <w:szCs w:val="24"/>
        </w:rPr>
        <w:t>at Spotted Woodpecker</w:t>
      </w:r>
      <w:r w:rsidRPr="00947115">
        <w:rPr>
          <w:rFonts w:ascii="Calibri" w:hAnsi="Calibri" w:cs="Calibri"/>
          <w:i w:val="0"/>
          <w:iCs w:val="0"/>
          <w:color w:val="auto"/>
          <w:sz w:val="24"/>
          <w:szCs w:val="24"/>
        </w:rPr>
        <w:t>).</w:t>
      </w:r>
      <w:r w:rsidRPr="008321E3">
        <w:rPr>
          <w:rFonts w:ascii="Calibri" w:hAnsi="Calibri" w:cs="Calibri"/>
          <w:i w:val="0"/>
          <w:iCs w:val="0"/>
          <w:color w:val="auto"/>
          <w:sz w:val="24"/>
          <w:szCs w:val="24"/>
        </w:rPr>
        <w:t xml:space="preserve"> Darker colors represent the nodes with higher importance to maintain landscape connectivity</w:t>
      </w:r>
    </w:p>
    <w:p w14:paraId="43780A78" w14:textId="6F3683B8" w:rsidR="002772A8" w:rsidRDefault="002772A8">
      <w:pPr>
        <w:spacing w:line="278"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D69BB" w14:paraId="50245016" w14:textId="77777777" w:rsidTr="00B83DD4">
        <w:tc>
          <w:tcPr>
            <w:tcW w:w="9628" w:type="dxa"/>
          </w:tcPr>
          <w:p w14:paraId="0CA02AA0" w14:textId="77777777" w:rsidR="00B83DD4" w:rsidRDefault="00B83DD4" w:rsidP="00A0160A">
            <w:pPr>
              <w:rPr>
                <w:b/>
                <w:bCs/>
                <w:noProof/>
              </w:rPr>
            </w:pPr>
            <w:r>
              <w:rPr>
                <w:b/>
                <w:bCs/>
                <w:noProof/>
              </w:rPr>
              <w:lastRenderedPageBreak/>
              <w:t>a)</w:t>
            </w:r>
          </w:p>
          <w:p w14:paraId="2A2E5FF7" w14:textId="449B15CD" w:rsidR="00FD69BB" w:rsidRDefault="00FD69BB" w:rsidP="00A0160A">
            <w:pPr>
              <w:rPr>
                <w:b/>
                <w:bCs/>
              </w:rPr>
            </w:pPr>
            <w:r>
              <w:rPr>
                <w:b/>
                <w:bCs/>
                <w:noProof/>
              </w:rPr>
              <w:drawing>
                <wp:inline distT="0" distB="0" distL="0" distR="0" wp14:anchorId="5B0A8512" wp14:editId="52DD8064">
                  <wp:extent cx="5746750" cy="2615714"/>
                  <wp:effectExtent l="0" t="0" r="6350" b="0"/>
                  <wp:docPr id="64857592" name="Picture 11" descr="A diagram of different types of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7592" name="Picture 11" descr="A diagram of different types of plants&#10;&#10;AI-generated content may be incorrect."/>
                          <pic:cNvPicPr>
                            <a:picLocks noChangeAspect="1" noChangeArrowheads="1"/>
                          </pic:cNvPicPr>
                        </pic:nvPicPr>
                        <pic:blipFill rotWithShape="1">
                          <a:blip r:embed="rId13">
                            <a:extLst>
                              <a:ext uri="{28A0092B-C50C-407E-A947-70E740481C1C}">
                                <a14:useLocalDpi xmlns:a14="http://schemas.microsoft.com/office/drawing/2010/main" val="0"/>
                              </a:ext>
                            </a:extLst>
                          </a:blip>
                          <a:srcRect r="14550"/>
                          <a:stretch>
                            <a:fillRect/>
                          </a:stretch>
                        </pic:blipFill>
                        <pic:spPr bwMode="auto">
                          <a:xfrm>
                            <a:off x="0" y="0"/>
                            <a:ext cx="5799571" cy="26397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69BB" w14:paraId="401B2990" w14:textId="77777777" w:rsidTr="00B83DD4">
        <w:tc>
          <w:tcPr>
            <w:tcW w:w="9628" w:type="dxa"/>
          </w:tcPr>
          <w:p w14:paraId="74E4AC13" w14:textId="77777777" w:rsidR="00B83DD4" w:rsidRDefault="00B83DD4" w:rsidP="00A0160A">
            <w:pPr>
              <w:rPr>
                <w:b/>
                <w:bCs/>
                <w:noProof/>
              </w:rPr>
            </w:pPr>
            <w:r>
              <w:rPr>
                <w:b/>
                <w:bCs/>
                <w:noProof/>
              </w:rPr>
              <w:t>b)</w:t>
            </w:r>
          </w:p>
          <w:p w14:paraId="1C212F2A" w14:textId="49C064B7" w:rsidR="00FD69BB" w:rsidRDefault="00FD69BB" w:rsidP="00A0160A">
            <w:pPr>
              <w:rPr>
                <w:b/>
                <w:bCs/>
              </w:rPr>
            </w:pPr>
            <w:r>
              <w:rPr>
                <w:b/>
                <w:bCs/>
                <w:noProof/>
              </w:rPr>
              <w:drawing>
                <wp:inline distT="0" distB="0" distL="0" distR="0" wp14:anchorId="0C90EEA3" wp14:editId="644F0A4E">
                  <wp:extent cx="5810250" cy="2583422"/>
                  <wp:effectExtent l="0" t="0" r="0" b="7620"/>
                  <wp:docPr id="1745264575" name="Picture 13" descr="A graph of different types of woodpeck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264575" name="Picture 13" descr="A graph of different types of woodpeckers&#10;&#10;AI-generated content may be incorrect."/>
                          <pic:cNvPicPr>
                            <a:picLocks noChangeAspect="1" noChangeArrowheads="1"/>
                          </pic:cNvPicPr>
                        </pic:nvPicPr>
                        <pic:blipFill rotWithShape="1">
                          <a:blip r:embed="rId14">
                            <a:extLst>
                              <a:ext uri="{28A0092B-C50C-407E-A947-70E740481C1C}">
                                <a14:useLocalDpi xmlns:a14="http://schemas.microsoft.com/office/drawing/2010/main" val="0"/>
                              </a:ext>
                            </a:extLst>
                          </a:blip>
                          <a:srcRect r="12526"/>
                          <a:stretch>
                            <a:fillRect/>
                          </a:stretch>
                        </pic:blipFill>
                        <pic:spPr bwMode="auto">
                          <a:xfrm>
                            <a:off x="0" y="0"/>
                            <a:ext cx="5840476" cy="25968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69BB" w14:paraId="09E8CEB8" w14:textId="77777777" w:rsidTr="00B83DD4">
        <w:tc>
          <w:tcPr>
            <w:tcW w:w="9628" w:type="dxa"/>
          </w:tcPr>
          <w:p w14:paraId="6D1641D7" w14:textId="719C803B" w:rsidR="00FD69BB" w:rsidRDefault="00B83DD4" w:rsidP="00FD69BB">
            <w:pPr>
              <w:keepNext/>
              <w:rPr>
                <w:b/>
                <w:bCs/>
              </w:rPr>
            </w:pPr>
            <w:r>
              <w:rPr>
                <w:b/>
                <w:bCs/>
                <w:noProof/>
              </w:rPr>
              <w:t>c)</w:t>
            </w:r>
            <w:r w:rsidR="00FD69BB">
              <w:rPr>
                <w:b/>
                <w:bCs/>
                <w:noProof/>
              </w:rPr>
              <w:drawing>
                <wp:inline distT="0" distB="0" distL="0" distR="0" wp14:anchorId="2DE1919F" wp14:editId="585E9044">
                  <wp:extent cx="5859031" cy="2619252"/>
                  <wp:effectExtent l="0" t="0" r="8890" b="0"/>
                  <wp:docPr id="1050512600" name="Picture 15" descr="A graph of different types of vege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12600" name="Picture 15" descr="A graph of different types of vegetation&#10;&#10;AI-generated content may be incorrect."/>
                          <pic:cNvPicPr>
                            <a:picLocks noChangeAspect="1" noChangeArrowheads="1"/>
                          </pic:cNvPicPr>
                        </pic:nvPicPr>
                        <pic:blipFill rotWithShape="1">
                          <a:blip r:embed="rId15">
                            <a:extLst>
                              <a:ext uri="{28A0092B-C50C-407E-A947-70E740481C1C}">
                                <a14:useLocalDpi xmlns:a14="http://schemas.microsoft.com/office/drawing/2010/main" val="0"/>
                              </a:ext>
                            </a:extLst>
                          </a:blip>
                          <a:srcRect r="12998"/>
                          <a:stretch>
                            <a:fillRect/>
                          </a:stretch>
                        </pic:blipFill>
                        <pic:spPr bwMode="auto">
                          <a:xfrm>
                            <a:off x="0" y="0"/>
                            <a:ext cx="5901205" cy="26381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4F22C23" w14:textId="0F73E1CF" w:rsidR="00FD69BB" w:rsidRDefault="00FD69BB" w:rsidP="00600A41">
      <w:pPr>
        <w:jc w:val="both"/>
        <w:rPr>
          <w:b/>
          <w:bCs/>
        </w:rPr>
      </w:pPr>
      <w:r w:rsidRPr="008D5C91">
        <w:rPr>
          <w:rFonts w:ascii="Calibri" w:hAnsi="Calibri" w:cs="Calibri"/>
          <w:b/>
          <w:bCs/>
          <w:sz w:val="24"/>
          <w:szCs w:val="24"/>
        </w:rPr>
        <w:t xml:space="preserve">Figure </w:t>
      </w:r>
      <w:r w:rsidR="00600A41" w:rsidRPr="008D5C91">
        <w:rPr>
          <w:rFonts w:ascii="Calibri" w:hAnsi="Calibri" w:cs="Calibri"/>
          <w:b/>
          <w:bCs/>
          <w:sz w:val="24"/>
          <w:szCs w:val="24"/>
        </w:rPr>
        <w:t>S</w:t>
      </w:r>
      <w:r w:rsidRPr="008D5C91">
        <w:rPr>
          <w:rFonts w:ascii="Calibri" w:hAnsi="Calibri" w:cs="Calibri"/>
          <w:b/>
          <w:bCs/>
          <w:sz w:val="24"/>
          <w:szCs w:val="24"/>
        </w:rPr>
        <w:fldChar w:fldCharType="begin"/>
      </w:r>
      <w:r w:rsidRPr="008D5C91">
        <w:rPr>
          <w:rFonts w:ascii="Calibri" w:hAnsi="Calibri" w:cs="Calibri"/>
          <w:b/>
          <w:bCs/>
          <w:sz w:val="24"/>
          <w:szCs w:val="24"/>
        </w:rPr>
        <w:instrText xml:space="preserve"> SEQ Figure \* ARABIC </w:instrText>
      </w:r>
      <w:r w:rsidRPr="008D5C91">
        <w:rPr>
          <w:rFonts w:ascii="Calibri" w:hAnsi="Calibri" w:cs="Calibri"/>
          <w:b/>
          <w:bCs/>
          <w:sz w:val="24"/>
          <w:szCs w:val="24"/>
        </w:rPr>
        <w:fldChar w:fldCharType="separate"/>
      </w:r>
      <w:r w:rsidR="00D0657E">
        <w:rPr>
          <w:rFonts w:ascii="Calibri" w:hAnsi="Calibri" w:cs="Calibri"/>
          <w:b/>
          <w:bCs/>
          <w:noProof/>
          <w:sz w:val="24"/>
          <w:szCs w:val="24"/>
        </w:rPr>
        <w:t>4</w:t>
      </w:r>
      <w:r w:rsidRPr="008D5C91">
        <w:rPr>
          <w:rFonts w:ascii="Calibri" w:hAnsi="Calibri" w:cs="Calibri"/>
          <w:b/>
          <w:bCs/>
          <w:sz w:val="24"/>
          <w:szCs w:val="24"/>
        </w:rPr>
        <w:fldChar w:fldCharType="end"/>
      </w:r>
      <w:r w:rsidRPr="008D5C91">
        <w:rPr>
          <w:rFonts w:ascii="Calibri" w:hAnsi="Calibri" w:cs="Calibri"/>
          <w:b/>
          <w:bCs/>
          <w:sz w:val="24"/>
          <w:szCs w:val="24"/>
        </w:rPr>
        <w:t>.</w:t>
      </w:r>
      <w:r w:rsidRPr="00600A41">
        <w:rPr>
          <w:rFonts w:ascii="Calibri" w:hAnsi="Calibri" w:cs="Calibri"/>
          <w:sz w:val="24"/>
          <w:szCs w:val="24"/>
        </w:rPr>
        <w:t xml:space="preserve"> </w:t>
      </w:r>
      <w:r w:rsidR="008231DF">
        <w:rPr>
          <w:rFonts w:ascii="Calibri" w:hAnsi="Calibri" w:cs="Calibri"/>
          <w:sz w:val="24"/>
          <w:szCs w:val="24"/>
        </w:rPr>
        <w:t>Median</w:t>
      </w:r>
      <w:r w:rsidR="00A951BA" w:rsidRPr="00A951BA">
        <w:rPr>
          <w:rFonts w:ascii="Calibri" w:hAnsi="Calibri" w:cs="Calibri"/>
          <w:sz w:val="24"/>
          <w:szCs w:val="24"/>
        </w:rPr>
        <w:t xml:space="preserve"> habitat suitability values for </w:t>
      </w:r>
      <w:r w:rsidR="00A951BA">
        <w:rPr>
          <w:rFonts w:ascii="Calibri" w:hAnsi="Calibri" w:cs="Calibri"/>
          <w:sz w:val="24"/>
          <w:szCs w:val="24"/>
        </w:rPr>
        <w:t>a)</w:t>
      </w:r>
      <w:r w:rsidR="00F814A5">
        <w:rPr>
          <w:rFonts w:ascii="Calibri" w:hAnsi="Calibri" w:cs="Calibri"/>
          <w:sz w:val="24"/>
          <w:szCs w:val="24"/>
        </w:rPr>
        <w:t xml:space="preserve"> Common chaffinch, b) Great spotted woodpecker, c) Eurasian blackcap</w:t>
      </w:r>
      <w:r w:rsidR="00A951BA" w:rsidRPr="00A951BA">
        <w:rPr>
          <w:rFonts w:ascii="Calibri" w:hAnsi="Calibri" w:cs="Calibri"/>
          <w:sz w:val="24"/>
          <w:szCs w:val="24"/>
        </w:rPr>
        <w:t xml:space="preserve"> in </w:t>
      </w:r>
      <w:r w:rsidR="00096559">
        <w:rPr>
          <w:rFonts w:ascii="Calibri" w:hAnsi="Calibri" w:cs="Calibri"/>
          <w:sz w:val="24"/>
          <w:szCs w:val="24"/>
        </w:rPr>
        <w:t>plantations</w:t>
      </w:r>
      <w:r w:rsidR="00A951BA" w:rsidRPr="00A951BA">
        <w:rPr>
          <w:rFonts w:ascii="Calibri" w:hAnsi="Calibri" w:cs="Calibri"/>
          <w:sz w:val="24"/>
          <w:szCs w:val="24"/>
        </w:rPr>
        <w:t xml:space="preserve"> and natural forest </w:t>
      </w:r>
      <w:r w:rsidR="00F814A5">
        <w:rPr>
          <w:rFonts w:ascii="Calibri" w:hAnsi="Calibri" w:cs="Calibri"/>
          <w:sz w:val="24"/>
          <w:szCs w:val="24"/>
        </w:rPr>
        <w:t>patches</w:t>
      </w:r>
      <w:r w:rsidR="00A951BA" w:rsidRPr="00A951BA">
        <w:rPr>
          <w:rFonts w:ascii="Calibri" w:hAnsi="Calibri" w:cs="Calibri"/>
          <w:sz w:val="24"/>
          <w:szCs w:val="24"/>
        </w:rPr>
        <w:t xml:space="preserve">. </w:t>
      </w:r>
      <w:r w:rsidR="008231DF">
        <w:rPr>
          <w:rFonts w:ascii="Calibri" w:hAnsi="Calibri" w:cs="Calibri"/>
          <w:sz w:val="24"/>
          <w:szCs w:val="24"/>
        </w:rPr>
        <w:t>Median suitability</w:t>
      </w:r>
      <w:r w:rsidR="00A951BA" w:rsidRPr="00A951BA">
        <w:rPr>
          <w:rFonts w:ascii="Calibri" w:hAnsi="Calibri" w:cs="Calibri"/>
          <w:sz w:val="24"/>
          <w:szCs w:val="24"/>
        </w:rPr>
        <w:t xml:space="preserve"> values were </w:t>
      </w:r>
      <w:r w:rsidR="00A951BA" w:rsidRPr="00A951BA">
        <w:rPr>
          <w:rFonts w:ascii="Calibri" w:hAnsi="Calibri" w:cs="Calibri"/>
          <w:sz w:val="24"/>
          <w:szCs w:val="24"/>
        </w:rPr>
        <w:lastRenderedPageBreak/>
        <w:t xml:space="preserve">extracted from a 1 km resolution dataset of modeled species distributions across Europe </w:t>
      </w:r>
      <w:r w:rsidR="00F814A5">
        <w:rPr>
          <w:rFonts w:ascii="Calibri" w:hAnsi="Calibri" w:cs="Calibri"/>
          <w:sz w:val="24"/>
          <w:szCs w:val="24"/>
        </w:rPr>
        <w:fldChar w:fldCharType="begin"/>
      </w:r>
      <w:r w:rsidR="00F814A5">
        <w:rPr>
          <w:rFonts w:ascii="Calibri" w:hAnsi="Calibri" w:cs="Calibri"/>
          <w:sz w:val="24"/>
          <w:szCs w:val="24"/>
        </w:rPr>
        <w:instrText xml:space="preserve"> ADDIN ZOTERO_ITEM CSL_CITATION {"citationID":"7gnVtfX2","properties":{"formattedCitation":"(Si-moussi &amp; Thuiller, 2024)","plainCitation":"(Si-moussi &amp; Thuiller, 2024)","noteIndex":0},"citationItems":[{"id":1652,"uris":["http://zotero.org/users/11264418/items/IMRYR7MY"],"itemData":{"id":1652,"type":"dataset","abstract":"Predicted habitat suitability of most terrestrial vertebrate species (1,207 species) in Europe at 1km resolution under current conditions (1990-2020). Predictions for each species were obtained from an ensemble of species distribution models (ensemble SDMs). The provided data are the raw weighted mean of habitat suitability through the ensemble SDMs, the rescaled weighted mean of habitat suitability through the ensemble SDMs but spatially constrained by expert range maps, the committee averaging score (% of predicted presence across models), and the coefficient of variation of predicted habitat suitability across models.","DOI":"10.25829/WPFN43","publisher":"German Centre for Integrative Biodiversity Research","source":"DOI.org (Datacite)","title":"Species habitat suitability of European terrestrial vertebrates for contemporary climate and land use","URL":"https://portal.geobon.org/ebv-detail?id=84&amp;v=1","version":"1","author":[{"family":"Si-moussi","given":"Sara"},{"family":"Thuiller","given":"Wilfried"}],"accessed":{"date-parts":[["2025",4,1]]},"issued":{"date-parts":[["2024"]]}}}],"schema":"https://github.com/citation-style-language/schema/raw/master/csl-citation.json"} </w:instrText>
      </w:r>
      <w:r w:rsidR="00F814A5">
        <w:rPr>
          <w:rFonts w:ascii="Calibri" w:hAnsi="Calibri" w:cs="Calibri"/>
          <w:sz w:val="24"/>
          <w:szCs w:val="24"/>
        </w:rPr>
        <w:fldChar w:fldCharType="separate"/>
      </w:r>
      <w:r w:rsidR="00F814A5" w:rsidRPr="00F814A5">
        <w:rPr>
          <w:rFonts w:ascii="Calibri" w:hAnsi="Calibri" w:cs="Calibri"/>
          <w:sz w:val="24"/>
        </w:rPr>
        <w:t>(Si-moussi &amp; Thuiller, 2024)</w:t>
      </w:r>
      <w:r w:rsidR="00F814A5">
        <w:rPr>
          <w:rFonts w:ascii="Calibri" w:hAnsi="Calibri" w:cs="Calibri"/>
          <w:sz w:val="24"/>
          <w:szCs w:val="24"/>
        </w:rPr>
        <w:fldChar w:fldCharType="end"/>
      </w:r>
      <w:r w:rsidR="00F814A5">
        <w:rPr>
          <w:rFonts w:ascii="Calibri" w:hAnsi="Calibri" w:cs="Calibri"/>
          <w:sz w:val="24"/>
          <w:szCs w:val="24"/>
        </w:rPr>
        <w:t>.</w:t>
      </w:r>
      <w:r w:rsidR="007B2803">
        <w:rPr>
          <w:rFonts w:ascii="Calibri" w:hAnsi="Calibri" w:cs="Calibri"/>
          <w:sz w:val="24"/>
          <w:szCs w:val="24"/>
        </w:rPr>
        <w:t xml:space="preserve"> </w:t>
      </w:r>
      <w:r w:rsidR="00A951BA" w:rsidRPr="00A951BA">
        <w:rPr>
          <w:rFonts w:ascii="Calibri" w:hAnsi="Calibri" w:cs="Calibri"/>
          <w:sz w:val="24"/>
          <w:szCs w:val="24"/>
        </w:rPr>
        <w:t xml:space="preserve">Higher values indicate greater predicted habitat </w:t>
      </w:r>
      <w:r w:rsidR="00A922F8" w:rsidRPr="00A951BA">
        <w:rPr>
          <w:rFonts w:ascii="Calibri" w:hAnsi="Calibri" w:cs="Calibri"/>
          <w:sz w:val="24"/>
          <w:szCs w:val="24"/>
        </w:rPr>
        <w:t>suitability</w:t>
      </w:r>
      <w:r w:rsidR="00A922F8">
        <w:rPr>
          <w:rFonts w:ascii="Calibri" w:hAnsi="Calibri" w:cs="Calibri"/>
          <w:sz w:val="24"/>
          <w:szCs w:val="24"/>
        </w:rPr>
        <w:t>;</w:t>
      </w:r>
      <w:r w:rsidR="007B2803">
        <w:rPr>
          <w:rFonts w:ascii="Calibri" w:hAnsi="Calibri" w:cs="Calibri"/>
          <w:sz w:val="24"/>
          <w:szCs w:val="24"/>
        </w:rPr>
        <w:t xml:space="preserve"> error </w:t>
      </w:r>
      <w:r w:rsidR="00A951BA" w:rsidRPr="00A951BA">
        <w:rPr>
          <w:rFonts w:ascii="Calibri" w:hAnsi="Calibri" w:cs="Calibri"/>
          <w:sz w:val="24"/>
          <w:szCs w:val="24"/>
        </w:rPr>
        <w:t xml:space="preserve">bars represent the standard deviation across </w:t>
      </w:r>
      <w:r w:rsidR="007B2803">
        <w:rPr>
          <w:rFonts w:ascii="Calibri" w:hAnsi="Calibri" w:cs="Calibri"/>
          <w:sz w:val="24"/>
          <w:szCs w:val="24"/>
        </w:rPr>
        <w:t>patches</w:t>
      </w:r>
      <w:r w:rsidR="00A951BA" w:rsidRPr="00A951BA">
        <w:rPr>
          <w:rFonts w:ascii="Calibri" w:hAnsi="Calibri" w:cs="Calibri"/>
          <w:sz w:val="24"/>
          <w:szCs w:val="24"/>
        </w:rPr>
        <w:t>.</w:t>
      </w:r>
    </w:p>
    <w:p w14:paraId="09CE42B2" w14:textId="509DFC35" w:rsidR="00455D31" w:rsidRDefault="00455D31">
      <w:pPr>
        <w:rPr>
          <w:b/>
          <w:bCs/>
        </w:rPr>
      </w:pPr>
    </w:p>
    <w:sectPr w:rsidR="00455D3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2E77"/>
    <w:multiLevelType w:val="hybridMultilevel"/>
    <w:tmpl w:val="BFBCFF5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9DD5B7E"/>
    <w:multiLevelType w:val="hybridMultilevel"/>
    <w:tmpl w:val="5276CE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2A7B594A"/>
    <w:multiLevelType w:val="hybridMultilevel"/>
    <w:tmpl w:val="4524CC1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DAA161D"/>
    <w:multiLevelType w:val="hybridMultilevel"/>
    <w:tmpl w:val="D44035D8"/>
    <w:lvl w:ilvl="0" w:tplc="1100895A">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392448AA"/>
    <w:multiLevelType w:val="hybridMultilevel"/>
    <w:tmpl w:val="C23E4728"/>
    <w:lvl w:ilvl="0" w:tplc="3516DB04">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403B4FC1"/>
    <w:multiLevelType w:val="hybridMultilevel"/>
    <w:tmpl w:val="5C7A2D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554A29"/>
    <w:multiLevelType w:val="hybridMultilevel"/>
    <w:tmpl w:val="96DCDF9E"/>
    <w:lvl w:ilvl="0" w:tplc="5A1A0A18">
      <w:start w:val="1"/>
      <w:numFmt w:val="decimal"/>
      <w:lvlText w:val="%1."/>
      <w:lvlJc w:val="left"/>
      <w:pPr>
        <w:ind w:left="1020" w:hanging="360"/>
      </w:pPr>
    </w:lvl>
    <w:lvl w:ilvl="1" w:tplc="9CC833C2">
      <w:start w:val="1"/>
      <w:numFmt w:val="decimal"/>
      <w:lvlText w:val="%2."/>
      <w:lvlJc w:val="left"/>
      <w:pPr>
        <w:ind w:left="1020" w:hanging="360"/>
      </w:pPr>
    </w:lvl>
    <w:lvl w:ilvl="2" w:tplc="20E699F8">
      <w:start w:val="1"/>
      <w:numFmt w:val="decimal"/>
      <w:lvlText w:val="%3."/>
      <w:lvlJc w:val="left"/>
      <w:pPr>
        <w:ind w:left="1020" w:hanging="360"/>
      </w:pPr>
    </w:lvl>
    <w:lvl w:ilvl="3" w:tplc="5F82904E">
      <w:start w:val="1"/>
      <w:numFmt w:val="decimal"/>
      <w:lvlText w:val="%4."/>
      <w:lvlJc w:val="left"/>
      <w:pPr>
        <w:ind w:left="1020" w:hanging="360"/>
      </w:pPr>
    </w:lvl>
    <w:lvl w:ilvl="4" w:tplc="9C0ACFC4">
      <w:start w:val="1"/>
      <w:numFmt w:val="decimal"/>
      <w:lvlText w:val="%5."/>
      <w:lvlJc w:val="left"/>
      <w:pPr>
        <w:ind w:left="1020" w:hanging="360"/>
      </w:pPr>
    </w:lvl>
    <w:lvl w:ilvl="5" w:tplc="370A0D14">
      <w:start w:val="1"/>
      <w:numFmt w:val="decimal"/>
      <w:lvlText w:val="%6."/>
      <w:lvlJc w:val="left"/>
      <w:pPr>
        <w:ind w:left="1020" w:hanging="360"/>
      </w:pPr>
    </w:lvl>
    <w:lvl w:ilvl="6" w:tplc="33A22D62">
      <w:start w:val="1"/>
      <w:numFmt w:val="decimal"/>
      <w:lvlText w:val="%7."/>
      <w:lvlJc w:val="left"/>
      <w:pPr>
        <w:ind w:left="1020" w:hanging="360"/>
      </w:pPr>
    </w:lvl>
    <w:lvl w:ilvl="7" w:tplc="5BF648F0">
      <w:start w:val="1"/>
      <w:numFmt w:val="decimal"/>
      <w:lvlText w:val="%8."/>
      <w:lvlJc w:val="left"/>
      <w:pPr>
        <w:ind w:left="1020" w:hanging="360"/>
      </w:pPr>
    </w:lvl>
    <w:lvl w:ilvl="8" w:tplc="A3883260">
      <w:start w:val="1"/>
      <w:numFmt w:val="decimal"/>
      <w:lvlText w:val="%9."/>
      <w:lvlJc w:val="left"/>
      <w:pPr>
        <w:ind w:left="1020" w:hanging="360"/>
      </w:pPr>
    </w:lvl>
  </w:abstractNum>
  <w:abstractNum w:abstractNumId="7" w15:restartNumberingAfterBreak="0">
    <w:nsid w:val="4C3856D4"/>
    <w:multiLevelType w:val="hybridMultilevel"/>
    <w:tmpl w:val="BFBCFF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950C48"/>
    <w:multiLevelType w:val="hybridMultilevel"/>
    <w:tmpl w:val="BEDA4E0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60AD1341"/>
    <w:multiLevelType w:val="hybridMultilevel"/>
    <w:tmpl w:val="5C7A2DD4"/>
    <w:lvl w:ilvl="0" w:tplc="FFFFFFF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65C17746"/>
    <w:multiLevelType w:val="hybridMultilevel"/>
    <w:tmpl w:val="07721F7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79E75A4F"/>
    <w:multiLevelType w:val="hybridMultilevel"/>
    <w:tmpl w:val="889A26B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891768352">
    <w:abstractNumId w:val="6"/>
  </w:num>
  <w:num w:numId="2" w16cid:durableId="3947462">
    <w:abstractNumId w:val="8"/>
  </w:num>
  <w:num w:numId="3" w16cid:durableId="1684551757">
    <w:abstractNumId w:val="2"/>
  </w:num>
  <w:num w:numId="4" w16cid:durableId="2010907364">
    <w:abstractNumId w:val="0"/>
  </w:num>
  <w:num w:numId="5" w16cid:durableId="1838227571">
    <w:abstractNumId w:val="4"/>
  </w:num>
  <w:num w:numId="6" w16cid:durableId="1249995896">
    <w:abstractNumId w:val="3"/>
  </w:num>
  <w:num w:numId="7" w16cid:durableId="789861408">
    <w:abstractNumId w:val="1"/>
  </w:num>
  <w:num w:numId="8" w16cid:durableId="1709455490">
    <w:abstractNumId w:val="10"/>
  </w:num>
  <w:num w:numId="9" w16cid:durableId="1066413485">
    <w:abstractNumId w:val="7"/>
  </w:num>
  <w:num w:numId="10" w16cid:durableId="1248537948">
    <w:abstractNumId w:val="9"/>
  </w:num>
  <w:num w:numId="11" w16cid:durableId="1592616148">
    <w:abstractNumId w:val="5"/>
  </w:num>
  <w:num w:numId="12" w16cid:durableId="12797951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9FA"/>
    <w:rsid w:val="000073C4"/>
    <w:rsid w:val="00027C8B"/>
    <w:rsid w:val="00033B0C"/>
    <w:rsid w:val="000548F9"/>
    <w:rsid w:val="000622D8"/>
    <w:rsid w:val="00071818"/>
    <w:rsid w:val="00072752"/>
    <w:rsid w:val="00082E7A"/>
    <w:rsid w:val="00085E25"/>
    <w:rsid w:val="00096559"/>
    <w:rsid w:val="000970ED"/>
    <w:rsid w:val="000D5E08"/>
    <w:rsid w:val="000E03D8"/>
    <w:rsid w:val="000F2DC2"/>
    <w:rsid w:val="000F4FD4"/>
    <w:rsid w:val="000F64B3"/>
    <w:rsid w:val="001052DF"/>
    <w:rsid w:val="00141B12"/>
    <w:rsid w:val="00162E5B"/>
    <w:rsid w:val="00177297"/>
    <w:rsid w:val="0018065F"/>
    <w:rsid w:val="00182A31"/>
    <w:rsid w:val="00183791"/>
    <w:rsid w:val="001A29BF"/>
    <w:rsid w:val="001B07E1"/>
    <w:rsid w:val="001C0779"/>
    <w:rsid w:val="001E4E08"/>
    <w:rsid w:val="001F2BF3"/>
    <w:rsid w:val="00223B06"/>
    <w:rsid w:val="002410CE"/>
    <w:rsid w:val="00265EB4"/>
    <w:rsid w:val="002772A8"/>
    <w:rsid w:val="002B273B"/>
    <w:rsid w:val="00317BB0"/>
    <w:rsid w:val="00344978"/>
    <w:rsid w:val="003571CC"/>
    <w:rsid w:val="00360CDE"/>
    <w:rsid w:val="003620AB"/>
    <w:rsid w:val="003634F0"/>
    <w:rsid w:val="00397EBA"/>
    <w:rsid w:val="003B7B13"/>
    <w:rsid w:val="003E5EA3"/>
    <w:rsid w:val="00404ECD"/>
    <w:rsid w:val="00424AA5"/>
    <w:rsid w:val="004509FA"/>
    <w:rsid w:val="00455D31"/>
    <w:rsid w:val="004604C5"/>
    <w:rsid w:val="004604EF"/>
    <w:rsid w:val="00482E59"/>
    <w:rsid w:val="004A2AA7"/>
    <w:rsid w:val="004A30F6"/>
    <w:rsid w:val="004E24B2"/>
    <w:rsid w:val="004E779E"/>
    <w:rsid w:val="004F649E"/>
    <w:rsid w:val="005014C3"/>
    <w:rsid w:val="005145BC"/>
    <w:rsid w:val="00522740"/>
    <w:rsid w:val="00570070"/>
    <w:rsid w:val="00595BA4"/>
    <w:rsid w:val="005C0D33"/>
    <w:rsid w:val="005C10AC"/>
    <w:rsid w:val="005C1759"/>
    <w:rsid w:val="005D184D"/>
    <w:rsid w:val="005E0CC0"/>
    <w:rsid w:val="00600A41"/>
    <w:rsid w:val="00601525"/>
    <w:rsid w:val="00607E32"/>
    <w:rsid w:val="00613EF9"/>
    <w:rsid w:val="00617658"/>
    <w:rsid w:val="00627D88"/>
    <w:rsid w:val="00627F2F"/>
    <w:rsid w:val="00633E9B"/>
    <w:rsid w:val="0065685E"/>
    <w:rsid w:val="006575A7"/>
    <w:rsid w:val="00672E0F"/>
    <w:rsid w:val="00691F14"/>
    <w:rsid w:val="006A1443"/>
    <w:rsid w:val="006E250B"/>
    <w:rsid w:val="006E5586"/>
    <w:rsid w:val="00733928"/>
    <w:rsid w:val="0077015B"/>
    <w:rsid w:val="007A10E2"/>
    <w:rsid w:val="007A3FD9"/>
    <w:rsid w:val="007B2803"/>
    <w:rsid w:val="008231DF"/>
    <w:rsid w:val="0082774B"/>
    <w:rsid w:val="008321E3"/>
    <w:rsid w:val="00890B86"/>
    <w:rsid w:val="008A703F"/>
    <w:rsid w:val="008B32B1"/>
    <w:rsid w:val="008B45EB"/>
    <w:rsid w:val="008D36ED"/>
    <w:rsid w:val="008D5C91"/>
    <w:rsid w:val="008D7891"/>
    <w:rsid w:val="008E3400"/>
    <w:rsid w:val="009200F7"/>
    <w:rsid w:val="00935E36"/>
    <w:rsid w:val="00947115"/>
    <w:rsid w:val="009A30DD"/>
    <w:rsid w:val="009B7ADF"/>
    <w:rsid w:val="009E1039"/>
    <w:rsid w:val="009E156B"/>
    <w:rsid w:val="009F3402"/>
    <w:rsid w:val="00A0160A"/>
    <w:rsid w:val="00A04C79"/>
    <w:rsid w:val="00A16BFC"/>
    <w:rsid w:val="00A27E70"/>
    <w:rsid w:val="00A37098"/>
    <w:rsid w:val="00A614FF"/>
    <w:rsid w:val="00A63203"/>
    <w:rsid w:val="00A66A2D"/>
    <w:rsid w:val="00A803E5"/>
    <w:rsid w:val="00A922F8"/>
    <w:rsid w:val="00A951BA"/>
    <w:rsid w:val="00A96A2D"/>
    <w:rsid w:val="00AB630A"/>
    <w:rsid w:val="00B0541A"/>
    <w:rsid w:val="00B213FA"/>
    <w:rsid w:val="00B415F8"/>
    <w:rsid w:val="00B41794"/>
    <w:rsid w:val="00B431E5"/>
    <w:rsid w:val="00B502A9"/>
    <w:rsid w:val="00B770EE"/>
    <w:rsid w:val="00B83DD4"/>
    <w:rsid w:val="00B9582C"/>
    <w:rsid w:val="00BB0812"/>
    <w:rsid w:val="00BB0CF5"/>
    <w:rsid w:val="00BB5E9F"/>
    <w:rsid w:val="00BC6F24"/>
    <w:rsid w:val="00BD2C04"/>
    <w:rsid w:val="00BF7B81"/>
    <w:rsid w:val="00C0038F"/>
    <w:rsid w:val="00C14C8D"/>
    <w:rsid w:val="00C338BE"/>
    <w:rsid w:val="00C47DD4"/>
    <w:rsid w:val="00C76304"/>
    <w:rsid w:val="00C95EEF"/>
    <w:rsid w:val="00C96BB0"/>
    <w:rsid w:val="00CD042F"/>
    <w:rsid w:val="00CE11BB"/>
    <w:rsid w:val="00CE3E21"/>
    <w:rsid w:val="00CF2221"/>
    <w:rsid w:val="00D039C7"/>
    <w:rsid w:val="00D039D6"/>
    <w:rsid w:val="00D0657E"/>
    <w:rsid w:val="00D14877"/>
    <w:rsid w:val="00D324A8"/>
    <w:rsid w:val="00D615DF"/>
    <w:rsid w:val="00D72354"/>
    <w:rsid w:val="00D95846"/>
    <w:rsid w:val="00DA06D1"/>
    <w:rsid w:val="00DB1703"/>
    <w:rsid w:val="00DE01EF"/>
    <w:rsid w:val="00DF1EA6"/>
    <w:rsid w:val="00E02C7D"/>
    <w:rsid w:val="00E12EDD"/>
    <w:rsid w:val="00E14FCD"/>
    <w:rsid w:val="00E36FEF"/>
    <w:rsid w:val="00E5678B"/>
    <w:rsid w:val="00E837E2"/>
    <w:rsid w:val="00EB3731"/>
    <w:rsid w:val="00EE21A0"/>
    <w:rsid w:val="00F06890"/>
    <w:rsid w:val="00F25961"/>
    <w:rsid w:val="00F27808"/>
    <w:rsid w:val="00F470AD"/>
    <w:rsid w:val="00F5654A"/>
    <w:rsid w:val="00F6033D"/>
    <w:rsid w:val="00F642FC"/>
    <w:rsid w:val="00F73519"/>
    <w:rsid w:val="00F75657"/>
    <w:rsid w:val="00F814A5"/>
    <w:rsid w:val="00F82EA6"/>
    <w:rsid w:val="00F90F09"/>
    <w:rsid w:val="00F945C2"/>
    <w:rsid w:val="00FB10C7"/>
    <w:rsid w:val="00FB4810"/>
    <w:rsid w:val="00FC27B3"/>
    <w:rsid w:val="00FC2BB0"/>
    <w:rsid w:val="00FD69BB"/>
    <w:rsid w:val="00FF0C5F"/>
    <w:rsid w:val="0BDF731F"/>
    <w:rsid w:val="16B39867"/>
    <w:rsid w:val="4BE0F1C0"/>
    <w:rsid w:val="4C2C4C7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FCDCB"/>
  <w15:chartTrackingRefBased/>
  <w15:docId w15:val="{CC74DD6C-2767-4F18-9414-04BBDBA4D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6ED"/>
    <w:pPr>
      <w:spacing w:line="259" w:lineRule="auto"/>
    </w:pPr>
    <w:rPr>
      <w:sz w:val="22"/>
      <w:szCs w:val="22"/>
      <w:lang w:val="en-US"/>
    </w:rPr>
  </w:style>
  <w:style w:type="paragraph" w:styleId="Heading1">
    <w:name w:val="heading 1"/>
    <w:basedOn w:val="Normal"/>
    <w:next w:val="Normal"/>
    <w:link w:val="Heading1Char"/>
    <w:uiPriority w:val="9"/>
    <w:qFormat/>
    <w:rsid w:val="004509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9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9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9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09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09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9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9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9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9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9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9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9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09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09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9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9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9FA"/>
    <w:rPr>
      <w:rFonts w:eastAsiaTheme="majorEastAsia" w:cstheme="majorBidi"/>
      <w:color w:val="272727" w:themeColor="text1" w:themeTint="D8"/>
    </w:rPr>
  </w:style>
  <w:style w:type="paragraph" w:styleId="Title">
    <w:name w:val="Title"/>
    <w:basedOn w:val="Normal"/>
    <w:next w:val="Normal"/>
    <w:link w:val="TitleChar"/>
    <w:uiPriority w:val="10"/>
    <w:qFormat/>
    <w:rsid w:val="004509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9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9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9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9FA"/>
    <w:pPr>
      <w:spacing w:before="160"/>
      <w:jc w:val="center"/>
    </w:pPr>
    <w:rPr>
      <w:i/>
      <w:iCs/>
      <w:color w:val="404040" w:themeColor="text1" w:themeTint="BF"/>
    </w:rPr>
  </w:style>
  <w:style w:type="character" w:customStyle="1" w:styleId="QuoteChar">
    <w:name w:val="Quote Char"/>
    <w:basedOn w:val="DefaultParagraphFont"/>
    <w:link w:val="Quote"/>
    <w:uiPriority w:val="29"/>
    <w:rsid w:val="004509FA"/>
    <w:rPr>
      <w:i/>
      <w:iCs/>
      <w:color w:val="404040" w:themeColor="text1" w:themeTint="BF"/>
    </w:rPr>
  </w:style>
  <w:style w:type="paragraph" w:styleId="ListParagraph">
    <w:name w:val="List Paragraph"/>
    <w:basedOn w:val="Normal"/>
    <w:uiPriority w:val="34"/>
    <w:qFormat/>
    <w:rsid w:val="004509FA"/>
    <w:pPr>
      <w:ind w:left="720"/>
      <w:contextualSpacing/>
    </w:pPr>
  </w:style>
  <w:style w:type="character" w:styleId="IntenseEmphasis">
    <w:name w:val="Intense Emphasis"/>
    <w:basedOn w:val="DefaultParagraphFont"/>
    <w:uiPriority w:val="21"/>
    <w:qFormat/>
    <w:rsid w:val="004509FA"/>
    <w:rPr>
      <w:i/>
      <w:iCs/>
      <w:color w:val="0F4761" w:themeColor="accent1" w:themeShade="BF"/>
    </w:rPr>
  </w:style>
  <w:style w:type="paragraph" w:styleId="IntenseQuote">
    <w:name w:val="Intense Quote"/>
    <w:basedOn w:val="Normal"/>
    <w:next w:val="Normal"/>
    <w:link w:val="IntenseQuoteChar"/>
    <w:uiPriority w:val="30"/>
    <w:qFormat/>
    <w:rsid w:val="004509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9FA"/>
    <w:rPr>
      <w:i/>
      <w:iCs/>
      <w:color w:val="0F4761" w:themeColor="accent1" w:themeShade="BF"/>
    </w:rPr>
  </w:style>
  <w:style w:type="character" w:styleId="IntenseReference">
    <w:name w:val="Intense Reference"/>
    <w:basedOn w:val="DefaultParagraphFont"/>
    <w:uiPriority w:val="32"/>
    <w:qFormat/>
    <w:rsid w:val="004509FA"/>
    <w:rPr>
      <w:b/>
      <w:bCs/>
      <w:smallCaps/>
      <w:color w:val="0F4761" w:themeColor="accent1" w:themeShade="BF"/>
      <w:spacing w:val="5"/>
    </w:rPr>
  </w:style>
  <w:style w:type="character" w:styleId="CommentReference">
    <w:name w:val="annotation reference"/>
    <w:basedOn w:val="DefaultParagraphFont"/>
    <w:uiPriority w:val="99"/>
    <w:semiHidden/>
    <w:unhideWhenUsed/>
    <w:rsid w:val="008D36ED"/>
    <w:rPr>
      <w:sz w:val="16"/>
      <w:szCs w:val="16"/>
    </w:rPr>
  </w:style>
  <w:style w:type="paragraph" w:styleId="CommentText">
    <w:name w:val="annotation text"/>
    <w:basedOn w:val="Normal"/>
    <w:link w:val="CommentTextChar"/>
    <w:uiPriority w:val="99"/>
    <w:unhideWhenUsed/>
    <w:rsid w:val="008D36ED"/>
    <w:pPr>
      <w:spacing w:line="240" w:lineRule="auto"/>
    </w:pPr>
    <w:rPr>
      <w:sz w:val="20"/>
      <w:szCs w:val="20"/>
    </w:rPr>
  </w:style>
  <w:style w:type="character" w:customStyle="1" w:styleId="CommentTextChar">
    <w:name w:val="Comment Text Char"/>
    <w:basedOn w:val="DefaultParagraphFont"/>
    <w:link w:val="CommentText"/>
    <w:uiPriority w:val="99"/>
    <w:rsid w:val="008D36ED"/>
    <w:rPr>
      <w:sz w:val="20"/>
      <w:szCs w:val="20"/>
      <w:lang w:val="en-US"/>
    </w:rPr>
  </w:style>
  <w:style w:type="paragraph" w:styleId="Revision">
    <w:name w:val="Revision"/>
    <w:hidden/>
    <w:uiPriority w:val="99"/>
    <w:semiHidden/>
    <w:rsid w:val="00570070"/>
    <w:pPr>
      <w:spacing w:after="0" w:line="240" w:lineRule="auto"/>
    </w:pPr>
    <w:rPr>
      <w:sz w:val="22"/>
      <w:szCs w:val="22"/>
      <w:lang w:val="en-US"/>
    </w:rPr>
  </w:style>
  <w:style w:type="paragraph" w:styleId="CommentSubject">
    <w:name w:val="annotation subject"/>
    <w:basedOn w:val="CommentText"/>
    <w:next w:val="CommentText"/>
    <w:link w:val="CommentSubjectChar"/>
    <w:uiPriority w:val="99"/>
    <w:semiHidden/>
    <w:unhideWhenUsed/>
    <w:rsid w:val="00223B06"/>
    <w:rPr>
      <w:b/>
      <w:bCs/>
    </w:rPr>
  </w:style>
  <w:style w:type="character" w:customStyle="1" w:styleId="CommentSubjectChar">
    <w:name w:val="Comment Subject Char"/>
    <w:basedOn w:val="CommentTextChar"/>
    <w:link w:val="CommentSubject"/>
    <w:uiPriority w:val="99"/>
    <w:semiHidden/>
    <w:rsid w:val="00223B06"/>
    <w:rPr>
      <w:b/>
      <w:bCs/>
      <w:sz w:val="20"/>
      <w:szCs w:val="20"/>
      <w:lang w:val="en-US"/>
    </w:rPr>
  </w:style>
  <w:style w:type="table" w:styleId="TableGrid">
    <w:name w:val="Table Grid"/>
    <w:basedOn w:val="TableNormal"/>
    <w:uiPriority w:val="39"/>
    <w:rsid w:val="00920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200F7"/>
    <w:pPr>
      <w:spacing w:after="200" w:line="240" w:lineRule="auto"/>
    </w:pPr>
    <w:rPr>
      <w:i/>
      <w:iCs/>
      <w:color w:val="0E2841" w:themeColor="text2"/>
      <w:sz w:val="18"/>
      <w:szCs w:val="18"/>
    </w:rPr>
  </w:style>
  <w:style w:type="character" w:styleId="Hyperlink">
    <w:name w:val="Hyperlink"/>
    <w:basedOn w:val="DefaultParagraphFont"/>
    <w:uiPriority w:val="99"/>
    <w:unhideWhenUsed/>
    <w:rsid w:val="004604EF"/>
    <w:rPr>
      <w:color w:val="467886" w:themeColor="hyperlink"/>
      <w:u w:val="single"/>
    </w:rPr>
  </w:style>
  <w:style w:type="paragraph" w:styleId="Bibliography">
    <w:name w:val="Bibliography"/>
    <w:basedOn w:val="Normal"/>
    <w:next w:val="Normal"/>
    <w:uiPriority w:val="37"/>
    <w:unhideWhenUsed/>
    <w:rsid w:val="00B41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10725">
      <w:bodyDiv w:val="1"/>
      <w:marLeft w:val="0"/>
      <w:marRight w:val="0"/>
      <w:marTop w:val="0"/>
      <w:marBottom w:val="0"/>
      <w:divBdr>
        <w:top w:val="none" w:sz="0" w:space="0" w:color="auto"/>
        <w:left w:val="none" w:sz="0" w:space="0" w:color="auto"/>
        <w:bottom w:val="none" w:sz="0" w:space="0" w:color="auto"/>
        <w:right w:val="none" w:sz="0" w:space="0" w:color="auto"/>
      </w:divBdr>
    </w:div>
    <w:div w:id="410082969">
      <w:bodyDiv w:val="1"/>
      <w:marLeft w:val="0"/>
      <w:marRight w:val="0"/>
      <w:marTop w:val="0"/>
      <w:marBottom w:val="0"/>
      <w:divBdr>
        <w:top w:val="none" w:sz="0" w:space="0" w:color="auto"/>
        <w:left w:val="none" w:sz="0" w:space="0" w:color="auto"/>
        <w:bottom w:val="none" w:sz="0" w:space="0" w:color="auto"/>
        <w:right w:val="none" w:sz="0" w:space="0" w:color="auto"/>
      </w:divBdr>
    </w:div>
    <w:div w:id="443309356">
      <w:bodyDiv w:val="1"/>
      <w:marLeft w:val="0"/>
      <w:marRight w:val="0"/>
      <w:marTop w:val="0"/>
      <w:marBottom w:val="0"/>
      <w:divBdr>
        <w:top w:val="none" w:sz="0" w:space="0" w:color="auto"/>
        <w:left w:val="none" w:sz="0" w:space="0" w:color="auto"/>
        <w:bottom w:val="none" w:sz="0" w:space="0" w:color="auto"/>
        <w:right w:val="none" w:sz="0" w:space="0" w:color="auto"/>
      </w:divBdr>
    </w:div>
    <w:div w:id="191439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pineda@uef.fi"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925F1-71A0-47FC-96C1-5CBCF05F9091}">
  <ds:schemaRefs>
    <ds:schemaRef ds:uri="http://schemas.openxmlformats.org/officeDocument/2006/bibliography"/>
  </ds:schemaRefs>
</ds:datastoreItem>
</file>

<file path=docMetadata/LabelInfo.xml><?xml version="1.0" encoding="utf-8"?>
<clbl:labelList xmlns:clbl="http://schemas.microsoft.com/office/2020/mipLabelMetadata">
  <clbl:label id="{87879f2e-7304-4bf2-baf2-63e7f83f3c34}" enabled="0" method="" siteId="{87879f2e-7304-4bf2-baf2-63e7f83f3c34}"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13</Pages>
  <Words>2449</Words>
  <Characters>19841</Characters>
  <Application>Microsoft Office Word</Application>
  <DocSecurity>0</DocSecurity>
  <Lines>165</Lines>
  <Paragraphs>44</Paragraphs>
  <ScaleCrop>false</ScaleCrop>
  <Company/>
  <LinksUpToDate>false</LinksUpToDate>
  <CharactersWithSpaces>22246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Pineda Zapata</dc:creator>
  <cp:keywords/>
  <dc:description/>
  <cp:lastModifiedBy>Sara Pineda Zapata</cp:lastModifiedBy>
  <cp:revision>150</cp:revision>
  <dcterms:created xsi:type="dcterms:W3CDTF">2025-06-17T20:48:00Z</dcterms:created>
  <dcterms:modified xsi:type="dcterms:W3CDTF">2026-01-22T16:39:00Z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id="q4tc0Ao1"/&gt;&lt;style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c36a5486-8f64-4625-90bc-da2f359f646f</vt:lpwstr>
  </property>
</Properties>
</file>