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4883B" w14:textId="284F2F74" w:rsidR="004D7977" w:rsidRDefault="006C786F" w:rsidP="004D7977">
      <w:pPr>
        <w:rPr>
          <w:b/>
          <w:bCs/>
        </w:rPr>
      </w:pPr>
      <w:bookmarkStart w:id="0" w:name="_GoBack"/>
      <w:bookmarkEnd w:id="0"/>
      <w:r>
        <w:rPr>
          <w:b/>
          <w:bCs/>
        </w:rPr>
        <w:t xml:space="preserve">Online Resource </w:t>
      </w:r>
      <w:r w:rsidR="004250A8">
        <w:rPr>
          <w:b/>
          <w:bCs/>
        </w:rPr>
        <w:t>6</w:t>
      </w:r>
    </w:p>
    <w:p w14:paraId="2C9FA7AC" w14:textId="74A4AD04" w:rsidR="00B42A76" w:rsidRPr="00B42A76" w:rsidRDefault="00890133" w:rsidP="004D7977">
      <w:r>
        <w:rPr>
          <w:noProof/>
          <w:lang w:val="en-IN" w:eastAsia="en-IN"/>
        </w:rPr>
        <w:drawing>
          <wp:inline distT="0" distB="0" distL="0" distR="0" wp14:anchorId="368B97AB" wp14:editId="6C8E682A">
            <wp:extent cx="5760720" cy="5434965"/>
            <wp:effectExtent l="0" t="0" r="0" b="0"/>
            <wp:docPr id="5658327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5434965"/>
                    </a:xfrm>
                    <a:prstGeom prst="rect">
                      <a:avLst/>
                    </a:prstGeom>
                    <a:noFill/>
                    <a:ln>
                      <a:noFill/>
                    </a:ln>
                  </pic:spPr>
                </pic:pic>
              </a:graphicData>
            </a:graphic>
          </wp:inline>
        </w:drawing>
      </w:r>
    </w:p>
    <w:p w14:paraId="00380D5A" w14:textId="355A73A6" w:rsidR="009719B7" w:rsidRDefault="000342F4" w:rsidP="00B80B76">
      <w:r>
        <w:rPr>
          <w:b/>
          <w:bCs/>
        </w:rPr>
        <w:t>Fig. S1</w:t>
      </w:r>
      <w:r w:rsidR="003E117F">
        <w:rPr>
          <w:b/>
          <w:bCs/>
        </w:rPr>
        <w:t xml:space="preserve"> </w:t>
      </w:r>
      <w:r w:rsidR="006B2AB1">
        <w:t xml:space="preserve">Illustrative examples to show how we reclassified land cover to assess the potential impacts of </w:t>
      </w:r>
      <w:r w:rsidR="00E80A5E">
        <w:t xml:space="preserve">classification errors on estimates of forest loss and fragmentation. </w:t>
      </w:r>
      <w:r w:rsidR="003B433D">
        <w:t xml:space="preserve">First, </w:t>
      </w:r>
      <w:r w:rsidR="00731DD2">
        <w:t xml:space="preserve">we assessed </w:t>
      </w:r>
      <w:r w:rsidR="00731DD2" w:rsidRPr="00DF6C48">
        <w:t>classification uncertainty at boundaries between forest and other land cover classes</w:t>
      </w:r>
      <w:r w:rsidR="00731DD2">
        <w:t>. This could</w:t>
      </w:r>
      <w:r w:rsidR="004D66D9">
        <w:t>, for example,</w:t>
      </w:r>
      <w:r w:rsidR="00731DD2">
        <w:t xml:space="preserve"> cause spurious detection of changes in forest </w:t>
      </w:r>
      <w:r w:rsidR="004D66D9">
        <w:t>amount</w:t>
      </w:r>
      <w:r w:rsidR="00731DD2">
        <w:t xml:space="preserve"> </w:t>
      </w:r>
      <w:r w:rsidR="004D66D9">
        <w:t xml:space="preserve">and fragmentation </w:t>
      </w:r>
      <w:r w:rsidR="00731DD2">
        <w:t xml:space="preserve">between 2000 and 2020, if that uncertainty leads to pixels at forest edges being erroneously classified as forest in one year and correctly classified as non-forest in the other year. </w:t>
      </w:r>
      <w:r w:rsidR="0025512D">
        <w:t xml:space="preserve">If a change in forest cover (from forest to non-forest, or vice versa) between 2000 and 2020 occurred at a location at the edge of a forest patch and that change was a single pixel, it was reclassified as non-forest in both years before measuring changes in forest amount and </w:t>
      </w:r>
      <w:r w:rsidR="009719B7">
        <w:t>fragmentation</w:t>
      </w:r>
      <w:r w:rsidR="007510E9">
        <w:t xml:space="preserve"> (compare panels a vs. b)</w:t>
      </w:r>
      <w:r w:rsidR="009719B7">
        <w:t xml:space="preserve">. </w:t>
      </w:r>
      <w:r w:rsidR="00727CFF">
        <w:t xml:space="preserve">Second, </w:t>
      </w:r>
      <w:r w:rsidR="00642925">
        <w:t xml:space="preserve">classification of </w:t>
      </w:r>
      <w:r w:rsidR="00642925" w:rsidRPr="00DF6C48">
        <w:t>single, isolated pixels as forest may be more likely to reflect classification errors</w:t>
      </w:r>
      <w:r w:rsidR="00642925">
        <w:t xml:space="preserve"> than larger, contiguous groups of pixels</w:t>
      </w:r>
      <w:r w:rsidR="00642925" w:rsidRPr="00DF6C48">
        <w:t xml:space="preserve">. </w:t>
      </w:r>
      <w:r w:rsidR="00642925">
        <w:t>This could, for example, cause spurious detection of changes in forest cover and fragmentation if the isolated pixel is erroneously classified as forest in one year and correctly classified non-forest in the other year.</w:t>
      </w:r>
      <w:r w:rsidR="005A6048">
        <w:t xml:space="preserve"> We assessed this by reclassifying </w:t>
      </w:r>
      <w:r w:rsidR="005A0E1D">
        <w:t>pixels as non-forest if</w:t>
      </w:r>
      <w:r w:rsidR="009719B7">
        <w:t xml:space="preserve"> a forest patch comprised of a single pixel was lost (or gained) between 2000 and 2020</w:t>
      </w:r>
      <w:r w:rsidR="00D335B9">
        <w:t xml:space="preserve"> (compare panels a vs. c)</w:t>
      </w:r>
      <w:r w:rsidR="009719B7">
        <w:t>.</w:t>
      </w:r>
      <w:r w:rsidR="005A0E1D">
        <w:t xml:space="preserve"> These reclassifications were repeated, replacing the focus on single pixels with groups of up to 2, 3, or 4 adjacent pixels</w:t>
      </w:r>
    </w:p>
    <w:p w14:paraId="4AEBDEFD" w14:textId="27949535" w:rsidR="00243214" w:rsidRDefault="0015571E" w:rsidP="00B80B76">
      <w:r>
        <w:rPr>
          <w:noProof/>
          <w:lang w:val="en-IN" w:eastAsia="en-IN"/>
        </w:rPr>
        <w:drawing>
          <wp:inline distT="0" distB="0" distL="0" distR="0" wp14:anchorId="6C08FB02" wp14:editId="6EBEC4E6">
            <wp:extent cx="5939790" cy="5120640"/>
            <wp:effectExtent l="0" t="0" r="3810" b="3810"/>
            <wp:docPr id="4148199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9790" cy="5120640"/>
                    </a:xfrm>
                    <a:prstGeom prst="rect">
                      <a:avLst/>
                    </a:prstGeom>
                    <a:noFill/>
                    <a:ln>
                      <a:noFill/>
                    </a:ln>
                  </pic:spPr>
                </pic:pic>
              </a:graphicData>
            </a:graphic>
          </wp:inline>
        </w:drawing>
      </w:r>
    </w:p>
    <w:p w14:paraId="4987EEB1" w14:textId="6B6CBB12" w:rsidR="0002596E" w:rsidRDefault="00243214" w:rsidP="0002596E">
      <w:r w:rsidRPr="003F2B07">
        <w:rPr>
          <w:b/>
          <w:bCs/>
        </w:rPr>
        <w:t>Fig. S2</w:t>
      </w:r>
      <w:r w:rsidR="003F2B07">
        <w:t xml:space="preserve"> Percentages of landscapes with forests that became more fragmented, less fragmented, and showed no change in fragmentation after forest loss, when applying different thresholds for </w:t>
      </w:r>
      <w:r w:rsidR="00F20AEE">
        <w:t xml:space="preserve">treating </w:t>
      </w:r>
      <w:r w:rsidR="007C43C8">
        <w:t xml:space="preserve">changes in forest cover at forest patch edges </w:t>
      </w:r>
      <w:r w:rsidR="002F5DDF">
        <w:t xml:space="preserve">as </w:t>
      </w:r>
      <w:r w:rsidR="007C43C8">
        <w:t>classification error</w:t>
      </w:r>
      <w:r w:rsidR="002F5DDF">
        <w:t xml:space="preserve"> rather than true change</w:t>
      </w:r>
      <w:r w:rsidR="007C43C8">
        <w:t>.</w:t>
      </w:r>
      <w:r w:rsidR="003F2B07">
        <w:t xml:space="preserve"> The first bar in each panel reflects the</w:t>
      </w:r>
      <w:r w:rsidR="00631BFA">
        <w:t xml:space="preserve"> results when we used the</w:t>
      </w:r>
      <w:r w:rsidR="003F2B07">
        <w:t xml:space="preserve"> original land cover classification</w:t>
      </w:r>
      <w:r w:rsidR="00631BFA">
        <w:t xml:space="preserve"> of </w:t>
      </w:r>
      <w:r w:rsidR="003F2B07">
        <w:fldChar w:fldCharType="begin"/>
      </w:r>
      <w:r w:rsidR="003F2B07">
        <w:instrText xml:space="preserve"> ADDIN ZOTERO_ITEM CSL_CITATION {"citationID":"00oEBcd7","properties":{"formattedCitation":"(Potapov et al. 2022)","plainCitation":"(Potapov et al. 2022)","dontUpdate":true,"noteIndex":0},"citationItems":[{"id":170,"uris":["http://zotero.org/users/local/BF4PqdE5/items/MYMA4N67"],"itemData":{"id":170,"type":"article-journal","abstract":"Recent advances in Landsat archive data processing and characterization enhanced our capacity to map land cover and land use globally with higher precision, temporal frequency, and thematic detail. Here, we present the first results from a project aimed at annual multidecadal land monitoring providing critical information for tracking global progress towards sustainable development. The global 30-m spatial resolution dataset quantifies changes in forest extent and height, cropland, built-up lands, surface water, and perennial snow and ice extent from the year 2000 to 2020. Landsat Analysis Ready Data served as an input for land cover and use mapping. Each thematic product was independently derived using locally and regionally calibrated machine learning tools. Thematic maps validation using a statistical sample of reference data confirmed their high accuracy (user’s and producer’s accuracies above 85% for all land cover and land use themes, except for built-up lands). Our results revealed dramatic changes in global land cover and land use over the past 20 years. The bitemporal dataset is publicly available and serves as a first input for the global land monitoring system.","container-title":"Frontiers in Remote Sensing","DOI":"10.3389/frsen.2022.856903","ISSN":"2673-6187","journalAbbreviation":"Front. Remote Sens.","page":"856903","source":"DOI.org (Crossref)","title":"The Global 2000-2020 Land Cover and Land Use Change Dataset Derived From the Landsat Archive: First Results","title-short":"The Global 2000-2020 Land Cover and Land Use Change Dataset Derived From the Landsat Archive","volume":"3","author":[{"family":"Potapov","given":"Peter"},{"family":"Hansen","given":"Matthew C."},{"family":"Pickens","given":"Amy"},{"family":"Hernandez-Serna","given":"Andres"},{"family":"Tyukavina","given":"Alexandra"},{"family":"Turubanova","given":"Svetlana"},{"family":"Zalles","given":"Viviana"},{"family":"Li","given":"Xinyuan"},{"family":"Khan","given":"Ahmad"},{"family":"Stolle","given":"Fred"},{"family":"Harris","given":"Nancy"},{"family":"Song","given":"Xiao-Peng"},{"family":"Baggett","given":"Antoine"},{"family":"Kommareddy","given":"Indrani"},{"family":"Kommareddy","given":"Anil"}],"issued":{"date-parts":[["2022",4,13]]}}}],"schema":"https://github.com/citation-style-language/schema/raw/master/csl-citation.json"} </w:instrText>
      </w:r>
      <w:r w:rsidR="003F2B07">
        <w:fldChar w:fldCharType="separate"/>
      </w:r>
      <w:r w:rsidR="003F2B07" w:rsidRPr="00F21BE9">
        <w:rPr>
          <w:rFonts w:cs="Arial"/>
        </w:rPr>
        <w:t xml:space="preserve">Potapov et al. </w:t>
      </w:r>
      <w:r w:rsidR="003F2B07">
        <w:rPr>
          <w:rFonts w:cs="Arial"/>
        </w:rPr>
        <w:t>(</w:t>
      </w:r>
      <w:r w:rsidR="003F2B07" w:rsidRPr="00F21BE9">
        <w:rPr>
          <w:rFonts w:cs="Arial"/>
        </w:rPr>
        <w:t>2022)</w:t>
      </w:r>
      <w:r w:rsidR="003F2B07">
        <w:fldChar w:fldCharType="end"/>
      </w:r>
      <w:r w:rsidR="003F2B07">
        <w:t xml:space="preserve">. A threshold of </w:t>
      </w:r>
      <w:r w:rsidR="002F5DDF">
        <w:t>one</w:t>
      </w:r>
      <w:r w:rsidR="003F2B07">
        <w:t xml:space="preserve"> indicates that</w:t>
      </w:r>
      <w:r w:rsidR="00D43524">
        <w:t>,</w:t>
      </w:r>
      <w:r w:rsidR="007C43C8">
        <w:t xml:space="preserve"> if a change in forest cover </w:t>
      </w:r>
      <w:r w:rsidR="00C56A67">
        <w:t xml:space="preserve">(from forest to non-forest, or vice versa) </w:t>
      </w:r>
      <w:r w:rsidR="007C43C8">
        <w:t xml:space="preserve">between 2000 and 2020 occurred at </w:t>
      </w:r>
      <w:r w:rsidR="00E31B1C">
        <w:t xml:space="preserve">a location </w:t>
      </w:r>
      <w:r w:rsidR="00C56A67">
        <w:t>at</w:t>
      </w:r>
      <w:r w:rsidR="00E31B1C">
        <w:t xml:space="preserve"> the</w:t>
      </w:r>
      <w:r w:rsidR="007C43C8">
        <w:t xml:space="preserve"> edge of a forest patch and that change was</w:t>
      </w:r>
      <w:r w:rsidR="00E31B1C">
        <w:t xml:space="preserve"> a single pixel,</w:t>
      </w:r>
      <w:r w:rsidR="007C43C8">
        <w:t xml:space="preserve"> </w:t>
      </w:r>
      <w:r w:rsidR="00E31B1C">
        <w:t xml:space="preserve">it was </w:t>
      </w:r>
      <w:r w:rsidR="00F85435">
        <w:t>re</w:t>
      </w:r>
      <w:r w:rsidR="00E31B1C">
        <w:t>classified as</w:t>
      </w:r>
      <w:r w:rsidR="007C43C8">
        <w:t xml:space="preserve"> non-forest in both years</w:t>
      </w:r>
      <w:r w:rsidR="00F85435">
        <w:t>.</w:t>
      </w:r>
      <w:r w:rsidR="00E31B1C">
        <w:t xml:space="preserve"> </w:t>
      </w:r>
      <w:r w:rsidR="003F2B07">
        <w:t xml:space="preserve">Thresholds of 2 to 4 indicate that </w:t>
      </w:r>
      <w:r w:rsidR="00E31B1C">
        <w:t xml:space="preserve">groupings of </w:t>
      </w:r>
      <w:r w:rsidR="00D43524">
        <w:t xml:space="preserve">adjacent </w:t>
      </w:r>
      <w:r w:rsidR="00E31B1C">
        <w:t>edge pixels</w:t>
      </w:r>
      <w:r w:rsidR="003F2B07">
        <w:t xml:space="preserve"> of </w:t>
      </w:r>
      <w:r w:rsidR="003F2B07">
        <w:rPr>
          <w:rFonts w:cs="Times New Roman"/>
        </w:rPr>
        <w:t>≤</w:t>
      </w:r>
      <w:r w:rsidR="003F2B07">
        <w:t xml:space="preserve">2 to </w:t>
      </w:r>
      <w:r w:rsidR="003F2B07">
        <w:rPr>
          <w:rFonts w:cs="Times New Roman"/>
        </w:rPr>
        <w:t>≤</w:t>
      </w:r>
      <w:r w:rsidR="003F2B07">
        <w:t xml:space="preserve">4 </w:t>
      </w:r>
      <w:r w:rsidR="003F2B07" w:rsidRPr="00DF6C48">
        <w:t>pixels</w:t>
      </w:r>
      <w:r w:rsidR="003F2B07">
        <w:t xml:space="preserve"> were reclassified. </w:t>
      </w:r>
      <w:r w:rsidR="0002596E">
        <w:t>Fragmentation was classified as increasing when there were (a) more forest patches, (b) higher forest edge density (meters of forest–non-forest edge per ha, including all patches in the landscape), (c) smaller mean forest patch sizes, and (d) higher forest fragmentation index values in 2020 than in 2000. Results are for landscapes with a 1-km radius; only landscapes that lost forest between 2000 and 2020 are included</w:t>
      </w:r>
      <w:r w:rsidR="0002596E">
        <w:br w:type="page"/>
      </w:r>
    </w:p>
    <w:p w14:paraId="104B16BA" w14:textId="7D6AC8AA" w:rsidR="004D7977" w:rsidRDefault="0015571E" w:rsidP="004D7977">
      <w:r>
        <w:rPr>
          <w:noProof/>
          <w:lang w:val="en-IN" w:eastAsia="en-IN"/>
        </w:rPr>
        <w:drawing>
          <wp:inline distT="0" distB="0" distL="0" distR="0" wp14:anchorId="7C3DC58B" wp14:editId="3F09FE3A">
            <wp:extent cx="5939790" cy="5120640"/>
            <wp:effectExtent l="0" t="0" r="3810" b="3810"/>
            <wp:docPr id="12167410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5120640"/>
                    </a:xfrm>
                    <a:prstGeom prst="rect">
                      <a:avLst/>
                    </a:prstGeom>
                    <a:noFill/>
                    <a:ln>
                      <a:noFill/>
                    </a:ln>
                  </pic:spPr>
                </pic:pic>
              </a:graphicData>
            </a:graphic>
          </wp:inline>
        </w:drawing>
      </w:r>
    </w:p>
    <w:p w14:paraId="39E8AC99" w14:textId="2D0324BB" w:rsidR="00BA2713" w:rsidRPr="006A6AE3" w:rsidRDefault="004D7977" w:rsidP="008E36A3">
      <w:r w:rsidRPr="00132561">
        <w:rPr>
          <w:b/>
          <w:bCs/>
        </w:rPr>
        <w:t>Fig. S</w:t>
      </w:r>
      <w:r w:rsidR="00A3757B">
        <w:rPr>
          <w:b/>
          <w:bCs/>
        </w:rPr>
        <w:t>3</w:t>
      </w:r>
      <w:r>
        <w:t xml:space="preserve"> </w:t>
      </w:r>
      <w:r w:rsidR="00EC5C95">
        <w:t xml:space="preserve">Percentages of landscapes with forests that became more fragmented, less fragmented, and showed no change in fragmentation after forest loss, when applying different thresholds for </w:t>
      </w:r>
      <w:r w:rsidR="00CF3326">
        <w:t>treating the loss/gain of forest patches as classification error rather than true change</w:t>
      </w:r>
      <w:r w:rsidR="004277DB">
        <w:t>.</w:t>
      </w:r>
      <w:r w:rsidR="00266AAF">
        <w:t xml:space="preserve"> </w:t>
      </w:r>
      <w:r w:rsidR="00EC5C95">
        <w:t>The first bar in each panel reflects the</w:t>
      </w:r>
      <w:r w:rsidR="00843A91">
        <w:t xml:space="preserve"> results when we used the</w:t>
      </w:r>
      <w:r w:rsidR="00EC5C95">
        <w:t xml:space="preserve"> original land cover classifications </w:t>
      </w:r>
      <w:r w:rsidR="00843A91">
        <w:t>of</w:t>
      </w:r>
      <w:r w:rsidR="00EC5C95">
        <w:t xml:space="preserve"> </w:t>
      </w:r>
      <w:r w:rsidR="00EC5C95">
        <w:fldChar w:fldCharType="begin"/>
      </w:r>
      <w:r w:rsidR="00EC5C95">
        <w:instrText xml:space="preserve"> ADDIN ZOTERO_ITEM CSL_CITATION {"citationID":"00oEBcd7","properties":{"formattedCitation":"(Potapov et al. 2022)","plainCitation":"(Potapov et al. 2022)","dontUpdate":true,"noteIndex":0},"citationItems":[{"id":170,"uris":["http://zotero.org/users/local/BF4PqdE5/items/MYMA4N67"],"itemData":{"id":170,"type":"article-journal","abstract":"Recent advances in Landsat archive data processing and characterization enhanced our capacity to map land cover and land use globally with higher precision, temporal frequency, and thematic detail. Here, we present the first results from a project aimed at annual multidecadal land monitoring providing critical information for tracking global progress towards sustainable development. The global 30-m spatial resolution dataset quantifies changes in forest extent and height, cropland, built-up lands, surface water, and perennial snow and ice extent from the year 2000 to 2020. Landsat Analysis Ready Data served as an input for land cover and use mapping. Each thematic product was independently derived using locally and regionally calibrated machine learning tools. Thematic maps validation using a statistical sample of reference data confirmed their high accuracy (user’s and producer’s accuracies above 85% for all land cover and land use themes, except for built-up lands). Our results revealed dramatic changes in global land cover and land use over the past 20 years. The bitemporal dataset is publicly available and serves as a first input for the global land monitoring system.","container-title":"Frontiers in Remote Sensing","DOI":"10.3389/frsen.2022.856903","ISSN":"2673-6187","journalAbbreviation":"Front. Remote Sens.","page":"856903","source":"DOI.org (Crossref)","title":"The Global 2000-2020 Land Cover and Land Use Change Dataset Derived From the Landsat Archive: First Results","title-short":"The Global 2000-2020 Land Cover and Land Use Change Dataset Derived From the Landsat Archive","volume":"3","author":[{"family":"Potapov","given":"Peter"},{"family":"Hansen","given":"Matthew C."},{"family":"Pickens","given":"Amy"},{"family":"Hernandez-Serna","given":"Andres"},{"family":"Tyukavina","given":"Alexandra"},{"family":"Turubanova","given":"Svetlana"},{"family":"Zalles","given":"Viviana"},{"family":"Li","given":"Xinyuan"},{"family":"Khan","given":"Ahmad"},{"family":"Stolle","given":"Fred"},{"family":"Harris","given":"Nancy"},{"family":"Song","given":"Xiao-Peng"},{"family":"Baggett","given":"Antoine"},{"family":"Kommareddy","given":"Indrani"},{"family":"Kommareddy","given":"Anil"}],"issued":{"date-parts":[["2022",4,13]]}}}],"schema":"https://github.com/citation-style-language/schema/raw/master/csl-citation.json"} </w:instrText>
      </w:r>
      <w:r w:rsidR="00EC5C95">
        <w:fldChar w:fldCharType="separate"/>
      </w:r>
      <w:r w:rsidR="00EC5C95" w:rsidRPr="00F21BE9">
        <w:rPr>
          <w:rFonts w:cs="Arial"/>
        </w:rPr>
        <w:t xml:space="preserve">Potapov et al. </w:t>
      </w:r>
      <w:r w:rsidR="00EC5C95">
        <w:rPr>
          <w:rFonts w:cs="Arial"/>
        </w:rPr>
        <w:t>(</w:t>
      </w:r>
      <w:r w:rsidR="00EC5C95" w:rsidRPr="00F21BE9">
        <w:rPr>
          <w:rFonts w:cs="Arial"/>
        </w:rPr>
        <w:t>2022)</w:t>
      </w:r>
      <w:r w:rsidR="00EC5C95">
        <w:fldChar w:fldCharType="end"/>
      </w:r>
      <w:r w:rsidR="00EC5C95">
        <w:t xml:space="preserve">. A threshold of one indicates that, if </w:t>
      </w:r>
      <w:r w:rsidR="008E64B1">
        <w:t>a forest patch comprised of a single pixel was lost</w:t>
      </w:r>
      <w:r w:rsidR="00764C2F">
        <w:t xml:space="preserve"> (or gained)</w:t>
      </w:r>
      <w:r w:rsidR="00EC5C95">
        <w:t xml:space="preserve"> between 2000 and 2020</w:t>
      </w:r>
      <w:r w:rsidR="00764C2F">
        <w:t>, it was considered a classification error and</w:t>
      </w:r>
      <w:r w:rsidR="00EC5C95">
        <w:t xml:space="preserve"> was </w:t>
      </w:r>
      <w:r w:rsidR="00764C2F">
        <w:t>re</w:t>
      </w:r>
      <w:r w:rsidR="00EC5C95">
        <w:t>classified as non-forest in both years</w:t>
      </w:r>
      <w:r w:rsidR="00764C2F">
        <w:t>.</w:t>
      </w:r>
      <w:r w:rsidR="00EC5C95">
        <w:t xml:space="preserve"> Thresholds of 2 to 4 indicate that groupings of adjacent edge pixels of </w:t>
      </w:r>
      <w:r w:rsidR="00EC5C95">
        <w:rPr>
          <w:rFonts w:cs="Times New Roman"/>
        </w:rPr>
        <w:t>≤</w:t>
      </w:r>
      <w:r w:rsidR="00EC5C95">
        <w:t xml:space="preserve">2 to </w:t>
      </w:r>
      <w:r w:rsidR="00EC5C95">
        <w:rPr>
          <w:rFonts w:cs="Times New Roman"/>
        </w:rPr>
        <w:t>≤</w:t>
      </w:r>
      <w:r w:rsidR="00EC5C95">
        <w:t xml:space="preserve">4 </w:t>
      </w:r>
      <w:r w:rsidR="00EC5C95" w:rsidRPr="00DF6C48">
        <w:t>pixels</w:t>
      </w:r>
      <w:r w:rsidR="00EC5C95">
        <w:t xml:space="preserve"> were reclassified. Fragmentation was classified as increasing when there were (a) more forest patches, (b) higher forest edge density (meters of forest–non-forest edge per ha, including all patches in the landscape), (c) smaller mean forest patch sizes, and (d) higher forest fragmentation index values in 2020 than in 2000. Results are for landscapes with a 1-km radius</w:t>
      </w:r>
    </w:p>
    <w:sectPr w:rsidR="00BA2713" w:rsidRPr="006A6AE3" w:rsidSect="00E16802">
      <w:headerReference w:type="even"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0C2B32" w14:textId="77777777" w:rsidR="006B5695" w:rsidRDefault="006B5695" w:rsidP="00111C49">
      <w:pPr>
        <w:spacing w:after="0" w:line="240" w:lineRule="auto"/>
      </w:pPr>
      <w:r>
        <w:separator/>
      </w:r>
    </w:p>
  </w:endnote>
  <w:endnote w:type="continuationSeparator" w:id="0">
    <w:p w14:paraId="5260CEF8" w14:textId="77777777" w:rsidR="006B5695" w:rsidRDefault="006B5695" w:rsidP="00111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482630"/>
      <w:docPartObj>
        <w:docPartGallery w:val="Page Numbers (Bottom of Page)"/>
        <w:docPartUnique/>
      </w:docPartObj>
    </w:sdtPr>
    <w:sdtEndPr>
      <w:rPr>
        <w:noProof/>
      </w:rPr>
    </w:sdtEndPr>
    <w:sdtContent>
      <w:p w14:paraId="5C3DD9B8" w14:textId="799F1A55" w:rsidR="00111C49" w:rsidRDefault="00111C49">
        <w:pPr>
          <w:pStyle w:val="Footer"/>
          <w:jc w:val="right"/>
        </w:pPr>
        <w:r>
          <w:fldChar w:fldCharType="begin"/>
        </w:r>
        <w:r>
          <w:instrText xml:space="preserve"> PAGE   \* MERGEFORMAT </w:instrText>
        </w:r>
        <w:r>
          <w:fldChar w:fldCharType="separate"/>
        </w:r>
        <w:r w:rsidR="00E16802">
          <w:rPr>
            <w:noProof/>
          </w:rPr>
          <w:t>4</w:t>
        </w:r>
        <w:r>
          <w:rPr>
            <w:noProof/>
          </w:rPr>
          <w:fldChar w:fldCharType="end"/>
        </w:r>
      </w:p>
    </w:sdtContent>
  </w:sdt>
  <w:p w14:paraId="024F47DE" w14:textId="77777777" w:rsidR="00111C49" w:rsidRDefault="00111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2AFE4" w14:textId="77777777" w:rsidR="006B5695" w:rsidRDefault="006B5695" w:rsidP="00111C49">
      <w:pPr>
        <w:spacing w:after="0" w:line="240" w:lineRule="auto"/>
      </w:pPr>
      <w:r>
        <w:separator/>
      </w:r>
    </w:p>
  </w:footnote>
  <w:footnote w:type="continuationSeparator" w:id="0">
    <w:p w14:paraId="40D8B795" w14:textId="77777777" w:rsidR="006B5695" w:rsidRDefault="006B5695" w:rsidP="00111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0243B" w14:textId="194C3335" w:rsidR="002F0296" w:rsidRDefault="002F0296">
    <w:pPr>
      <w:pStyle w:val="Header"/>
    </w:pPr>
    <w:r>
      <w:rPr>
        <w:noProof/>
        <w:lang w:val="en-IN" w:eastAsia="en-IN"/>
      </w:rPr>
      <mc:AlternateContent>
        <mc:Choice Requires="wps">
          <w:drawing>
            <wp:anchor distT="0" distB="0" distL="0" distR="0" simplePos="0" relativeHeight="251659264" behindDoc="0" locked="0" layoutInCell="1" allowOverlap="1" wp14:anchorId="1B5540A3" wp14:editId="6935D471">
              <wp:simplePos x="635" y="635"/>
              <wp:positionH relativeFrom="page">
                <wp:align>right</wp:align>
              </wp:positionH>
              <wp:positionV relativeFrom="page">
                <wp:align>top</wp:align>
              </wp:positionV>
              <wp:extent cx="2026285" cy="562610"/>
              <wp:effectExtent l="0" t="0" r="0" b="8890"/>
              <wp:wrapNone/>
              <wp:docPr id="835436490" name="Text Box 3" descr="Non classifié | Unclassified ">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2026285" cy="562610"/>
                      </a:xfrm>
                      <a:prstGeom prst="rect">
                        <a:avLst/>
                      </a:prstGeom>
                      <a:noFill/>
                      <a:ln>
                        <a:noFill/>
                      </a:ln>
                    </wps:spPr>
                    <wps:txbx>
                      <w:txbxContent>
                        <w:p w14:paraId="51EDC16E" w14:textId="292275CC" w:rsidR="002F0296" w:rsidRPr="002F0296" w:rsidRDefault="002F0296" w:rsidP="002F0296">
                          <w:pPr>
                            <w:spacing w:after="0"/>
                            <w:rPr>
                              <w:rFonts w:ascii="Aptos" w:eastAsia="Aptos" w:hAnsi="Aptos" w:cs="Aptos"/>
                              <w:noProof/>
                              <w:color w:val="000000"/>
                            </w:rPr>
                          </w:pPr>
                          <w:r w:rsidRPr="002F0296">
                            <w:rPr>
                              <w:rFonts w:ascii="Aptos" w:eastAsia="Aptos" w:hAnsi="Aptos" w:cs="Aptos"/>
                              <w:noProof/>
                              <w:color w:val="000000"/>
                            </w:rPr>
                            <w:t xml:space="preserve">Non classifié | Unclassified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B5540A3" id="_x0000_t202" coordsize="21600,21600" o:spt="202" path="m,l,21600r21600,l21600,xe">
              <v:stroke joinstyle="miter"/>
              <v:path gradientshapeok="t" o:connecttype="rect"/>
            </v:shapetype>
            <v:shape id="Text Box 3" o:spid="_x0000_s1026" type="#_x0000_t202" alt="Non classifié | Unclassified " style="position:absolute;margin-left:108.35pt;margin-top:0;width:159.55pt;height:44.3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AkiDwIAABsEAAAOAAAAZHJzL2Uyb0RvYy54bWysU91r2zAQfx/sfxB6X+yYJXQmTslaMgah&#10;LaSjz4osxQZZJ6RL7Oyv30lxmq7b09iLfF++j9/9bnE7dIYdlQ8t2IpPJzlnykqoW7uv+I/n9acb&#10;zgIKWwsDVlX8pAK/XX78sOhdqQpowNTKM0piQ9m7ijeIrsyyIBvViTABpyw5NfhOIKl+n9Ve9JS9&#10;M1mR5/OsB187D1KFQNb7s5MvU36tlcRHrYNCZipOvWF6fXp38c2WC1HuvXBNK8c2xD900YnWUtHX&#10;VPcCBTv49o9UXSs9BNA4kdBloHUrVZqBppnm76bZNsKpNAuBE9wrTOH/pZUPx6178gyHrzDQAiMg&#10;vQtlIGOcZ9C+i1/qlJGfIDy9wqYGZJKMRV7Mi5sZZ5J8s3kxnyZcs+vfzgf8pqBjUai4p7UktMRx&#10;E5AqUuglJBazsG6NSasx9jcDBUZLdm0xSjjshrHvHdQnGsfDedPByXVLNTci4JPwtFqagOiKj/Ro&#10;A33FYZQ4a8D//Js9xhPi5OWsJ6pU3BKXOTPfLW0isioJ0y/5LCfNJ62Yfc6jtrsE2UN3B8TCKR2E&#10;k0mMwWguovbQvRCbV7EauYSVVLPieBHv8ExcugapVqsURCxyAjd262RMHcGKSD4PL8K7EW6kRT3A&#10;hUyifIf6OTb+GdzqgIR9WkkE9ozmiDcxMG1qvJZI8bd6irre9PIXAAAA//8DAFBLAwQUAAYACAAA&#10;ACEAkvFFOd0AAAAEAQAADwAAAGRycy9kb3ducmV2LnhtbEyPQUvDQBCF74L/YRnBi9hNLJQ0ZlNE&#10;KNiDB6s5eJtkp0kwOxt2t2ny71296GXg8R7vfVPsZjOIiZzvLStIVwkI4sbqnlsFH+/7+wyED8ga&#10;B8ukYCEPu/L6qsBc2wu/0XQMrYgl7HNU0IUw5lL6piODfmVH4uidrDMYonSt1A4vsdwM8iFJNtJg&#10;z3Ghw5GeO2q+jmejoJrd3et+e3hZ6s9+WpJDtc5OlVK3N/PTI4hAc/gLww9+RIcyMtX2zNqLQUF8&#10;JPze6K3TbQqiVpBlG5BlIf/Dl98AAAD//wMAUEsBAi0AFAAGAAgAAAAhALaDOJL+AAAA4QEAABMA&#10;AAAAAAAAAAAAAAAAAAAAAFtDb250ZW50X1R5cGVzXS54bWxQSwECLQAUAAYACAAAACEAOP0h/9YA&#10;AACUAQAACwAAAAAAAAAAAAAAAAAvAQAAX3JlbHMvLnJlbHNQSwECLQAUAAYACAAAACEAaFAJIg8C&#10;AAAbBAAADgAAAAAAAAAAAAAAAAAuAgAAZHJzL2Uyb0RvYy54bWxQSwECLQAUAAYACAAAACEAkvFF&#10;Od0AAAAEAQAADwAAAAAAAAAAAAAAAABpBAAAZHJzL2Rvd25yZXYueG1sUEsFBgAAAAAEAAQA8wAA&#10;AHMFAAAAAA==&#10;" filled="f" stroked="f">
              <v:textbox style="mso-fit-shape-to-text:t" inset="0,15pt,20pt,0">
                <w:txbxContent>
                  <w:p w14:paraId="51EDC16E" w14:textId="292275CC" w:rsidR="002F0296" w:rsidRPr="002F0296" w:rsidRDefault="002F0296" w:rsidP="002F0296">
                    <w:pPr>
                      <w:spacing w:after="0"/>
                      <w:rPr>
                        <w:rFonts w:ascii="Aptos" w:eastAsia="Aptos" w:hAnsi="Aptos" w:cs="Aptos"/>
                        <w:noProof/>
                        <w:color w:val="000000"/>
                      </w:rPr>
                    </w:pPr>
                    <w:r w:rsidRPr="002F0296">
                      <w:rPr>
                        <w:rFonts w:ascii="Aptos" w:eastAsia="Aptos" w:hAnsi="Aptos" w:cs="Aptos"/>
                        <w:noProof/>
                        <w:color w:val="000000"/>
                      </w:rPr>
                      <w:t xml:space="preserve">Non classifié | Unclassified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BBAA2" w14:textId="5B43F811" w:rsidR="002F0296" w:rsidRDefault="002F0296">
    <w:pPr>
      <w:pStyle w:val="Header"/>
    </w:pPr>
    <w:r>
      <w:rPr>
        <w:noProof/>
        <w:lang w:val="en-IN" w:eastAsia="en-IN"/>
      </w:rPr>
      <mc:AlternateContent>
        <mc:Choice Requires="wps">
          <w:drawing>
            <wp:anchor distT="0" distB="0" distL="0" distR="0" simplePos="0" relativeHeight="251658240" behindDoc="0" locked="0" layoutInCell="1" allowOverlap="1" wp14:anchorId="5990940B" wp14:editId="73DCFE48">
              <wp:simplePos x="635" y="635"/>
              <wp:positionH relativeFrom="page">
                <wp:align>right</wp:align>
              </wp:positionH>
              <wp:positionV relativeFrom="page">
                <wp:align>top</wp:align>
              </wp:positionV>
              <wp:extent cx="2026285" cy="562610"/>
              <wp:effectExtent l="0" t="0" r="0" b="8890"/>
              <wp:wrapNone/>
              <wp:docPr id="519546536" name="Text Box 2" descr="Non classifié | Unclassified ">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2026285" cy="562610"/>
                      </a:xfrm>
                      <a:prstGeom prst="rect">
                        <a:avLst/>
                      </a:prstGeom>
                      <a:noFill/>
                      <a:ln>
                        <a:noFill/>
                      </a:ln>
                    </wps:spPr>
                    <wps:txbx>
                      <w:txbxContent>
                        <w:p w14:paraId="4F62ED4A" w14:textId="21362273" w:rsidR="002F0296" w:rsidRPr="002F0296" w:rsidRDefault="002F0296" w:rsidP="002F0296">
                          <w:pPr>
                            <w:spacing w:after="0"/>
                            <w:rPr>
                              <w:rFonts w:ascii="Aptos" w:eastAsia="Aptos" w:hAnsi="Aptos" w:cs="Aptos"/>
                              <w:noProof/>
                              <w:color w:val="000000"/>
                            </w:rPr>
                          </w:pPr>
                          <w:r w:rsidRPr="002F0296">
                            <w:rPr>
                              <w:rFonts w:ascii="Aptos" w:eastAsia="Aptos" w:hAnsi="Aptos" w:cs="Aptos"/>
                              <w:noProof/>
                              <w:color w:val="000000"/>
                            </w:rPr>
                            <w:t xml:space="preserve">Non classifié | Unclassified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990940B" id="_x0000_t202" coordsize="21600,21600" o:spt="202" path="m,l,21600r21600,l21600,xe">
              <v:stroke joinstyle="miter"/>
              <v:path gradientshapeok="t" o:connecttype="rect"/>
            </v:shapetype>
            <v:shape id="Text Box 2" o:spid="_x0000_s1027" type="#_x0000_t202" alt="Non classifié | Unclassified " style="position:absolute;margin-left:108.35pt;margin-top:0;width:159.55pt;height:44.3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0mxEQIAACIEAAAOAAAAZHJzL2Uyb0RvYy54bWysU01v2zAMvQ/YfxB0X+wYS9AZcYqsRYYB&#10;QVsgHXpWZCk2IIuCxMTOfv0o5avrdip6kSmS5sd7T7PboTNsr3xowVZ8PMo5U1ZC3dptxX89L7/c&#10;cBZQ2FoYsKriBxX47fzzp1nvSlVAA6ZWnlERG8reVbxBdGWWBdmoToQROGUpqMF3Aunqt1ntRU/V&#10;O5MVeT7NevC18yBVCOS9Pwb5PNXXWkl81DooZKbiNBum06dzE89sPhPl1gvXtPI0hnjHFJ1oLTW9&#10;lLoXKNjOt/+U6lrpIYDGkYQuA61bqdIOtM04f7PNuhFOpV0InOAuMIWPKysf9mv35BkO32EgAiMg&#10;vQtlIGfcZ9C+i1+alFGcIDxcYFMDMknOIi+mxc2EM0mxybSYjhOu2fVv5wP+UNCxaFTcEy0JLbFf&#10;BaSOlHpOic0sLFtjEjXG/uWgxOjJriNGC4fNwNr61fgbqA+0lYcj4cHJZUutVyLgk/DEMC1CqsVH&#10;OrSBvuJwsjhrwP/+nz/mE/AU5awnxVTckqQ5Mz8tERLFlYzxt3yS082nWzH5msfb5pxkd90dkBjH&#10;9C6cTGZMRnM2tYfuhUS9iN0oJKyknhXHs3mHR/3So5BqsUhJJCYncGXXTsbSEbMI6PPwIrw7oY7E&#10;1wOcNSXKN+Afc+OfwS12SBQkZiK+RzRPsJMQE2GnRxOV/vqesq5Pe/4HAAD//wMAUEsDBBQABgAI&#10;AAAAIQCS8UU53QAAAAQBAAAPAAAAZHJzL2Rvd25yZXYueG1sTI9BS8NAEIXvgv9hGcGL2E0slDRm&#10;U0Qo2IMHqzl4m2SnSTA7G3a3afLvXb3oZeDxHu99U+xmM4iJnO8tK0hXCQjixuqeWwUf7/v7DIQP&#10;yBoHy6RgIQ+78vqqwFzbC7/RdAytiCXsc1TQhTDmUvqmI4N+ZUfi6J2sMxiidK3UDi+x3AzyIUk2&#10;0mDPcaHDkZ47ar6OZ6Ogmt3d6357eFnqz35akkO1zk6VUrc389MjiEBz+AvDD35EhzIy1fbM2otB&#10;QXwk/N7ordNtCqJWkGUbkGUh/8OX3wAAAP//AwBQSwECLQAUAAYACAAAACEAtoM4kv4AAADhAQAA&#10;EwAAAAAAAAAAAAAAAAAAAAAAW0NvbnRlbnRfVHlwZXNdLnhtbFBLAQItABQABgAIAAAAIQA4/SH/&#10;1gAAAJQBAAALAAAAAAAAAAAAAAAAAC8BAABfcmVscy8ucmVsc1BLAQItABQABgAIAAAAIQDnc0mx&#10;EQIAACIEAAAOAAAAAAAAAAAAAAAAAC4CAABkcnMvZTJvRG9jLnhtbFBLAQItABQABgAIAAAAIQCS&#10;8UU53QAAAAQBAAAPAAAAAAAAAAAAAAAAAGsEAABkcnMvZG93bnJldi54bWxQSwUGAAAAAAQABADz&#10;AAAAdQUAAAAA&#10;" filled="f" stroked="f">
              <v:textbox style="mso-fit-shape-to-text:t" inset="0,15pt,20pt,0">
                <w:txbxContent>
                  <w:p w14:paraId="4F62ED4A" w14:textId="21362273" w:rsidR="002F0296" w:rsidRPr="002F0296" w:rsidRDefault="002F0296" w:rsidP="002F0296">
                    <w:pPr>
                      <w:spacing w:after="0"/>
                      <w:rPr>
                        <w:rFonts w:ascii="Aptos" w:eastAsia="Aptos" w:hAnsi="Aptos" w:cs="Aptos"/>
                        <w:noProof/>
                        <w:color w:val="000000"/>
                      </w:rPr>
                    </w:pPr>
                    <w:r w:rsidRPr="002F0296">
                      <w:rPr>
                        <w:rFonts w:ascii="Aptos" w:eastAsia="Aptos" w:hAnsi="Aptos" w:cs="Aptos"/>
                        <w:noProof/>
                        <w:color w:val="000000"/>
                      </w:rPr>
                      <w:t xml:space="preserve">Non classifié | Unclassified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977"/>
    <w:rsid w:val="00003870"/>
    <w:rsid w:val="000219E2"/>
    <w:rsid w:val="0002596E"/>
    <w:rsid w:val="000342F4"/>
    <w:rsid w:val="000420EA"/>
    <w:rsid w:val="00043577"/>
    <w:rsid w:val="00051497"/>
    <w:rsid w:val="00056AE7"/>
    <w:rsid w:val="00064C18"/>
    <w:rsid w:val="000830A9"/>
    <w:rsid w:val="00087F58"/>
    <w:rsid w:val="000936AD"/>
    <w:rsid w:val="000A5261"/>
    <w:rsid w:val="000D22E7"/>
    <w:rsid w:val="000E76AE"/>
    <w:rsid w:val="000F74C4"/>
    <w:rsid w:val="001034C9"/>
    <w:rsid w:val="00104AA1"/>
    <w:rsid w:val="00111C49"/>
    <w:rsid w:val="00124FD6"/>
    <w:rsid w:val="00132561"/>
    <w:rsid w:val="0013389F"/>
    <w:rsid w:val="0014206B"/>
    <w:rsid w:val="00145096"/>
    <w:rsid w:val="001542B1"/>
    <w:rsid w:val="0015571E"/>
    <w:rsid w:val="00155F8A"/>
    <w:rsid w:val="00163F1B"/>
    <w:rsid w:val="00164286"/>
    <w:rsid w:val="00164F57"/>
    <w:rsid w:val="00171F55"/>
    <w:rsid w:val="00175EA7"/>
    <w:rsid w:val="0018221D"/>
    <w:rsid w:val="001906B2"/>
    <w:rsid w:val="00197BDE"/>
    <w:rsid w:val="001A0FD9"/>
    <w:rsid w:val="001C2F02"/>
    <w:rsid w:val="001E6F46"/>
    <w:rsid w:val="00216F70"/>
    <w:rsid w:val="00230CFD"/>
    <w:rsid w:val="002373AF"/>
    <w:rsid w:val="00243214"/>
    <w:rsid w:val="00250F1D"/>
    <w:rsid w:val="0025512D"/>
    <w:rsid w:val="00257E9E"/>
    <w:rsid w:val="00265903"/>
    <w:rsid w:val="00266AAF"/>
    <w:rsid w:val="00282B1D"/>
    <w:rsid w:val="00295F52"/>
    <w:rsid w:val="002D1589"/>
    <w:rsid w:val="002E5078"/>
    <w:rsid w:val="002F0296"/>
    <w:rsid w:val="002F10C9"/>
    <w:rsid w:val="002F5DDF"/>
    <w:rsid w:val="002F6172"/>
    <w:rsid w:val="00303C1E"/>
    <w:rsid w:val="00324C63"/>
    <w:rsid w:val="00325649"/>
    <w:rsid w:val="0033171C"/>
    <w:rsid w:val="00337573"/>
    <w:rsid w:val="00343D27"/>
    <w:rsid w:val="00354436"/>
    <w:rsid w:val="003551DE"/>
    <w:rsid w:val="003552B5"/>
    <w:rsid w:val="00372F07"/>
    <w:rsid w:val="0038454A"/>
    <w:rsid w:val="0039655D"/>
    <w:rsid w:val="00396824"/>
    <w:rsid w:val="003A0A70"/>
    <w:rsid w:val="003A0A8E"/>
    <w:rsid w:val="003B433D"/>
    <w:rsid w:val="003B729A"/>
    <w:rsid w:val="003C4F55"/>
    <w:rsid w:val="003D4E43"/>
    <w:rsid w:val="003E07E4"/>
    <w:rsid w:val="003E117F"/>
    <w:rsid w:val="003F2B07"/>
    <w:rsid w:val="00400168"/>
    <w:rsid w:val="00402A35"/>
    <w:rsid w:val="004065B7"/>
    <w:rsid w:val="004070C8"/>
    <w:rsid w:val="004250A8"/>
    <w:rsid w:val="004277DB"/>
    <w:rsid w:val="00450AC2"/>
    <w:rsid w:val="00453CF2"/>
    <w:rsid w:val="0046071B"/>
    <w:rsid w:val="00472289"/>
    <w:rsid w:val="00484416"/>
    <w:rsid w:val="00487A61"/>
    <w:rsid w:val="0049180A"/>
    <w:rsid w:val="00496068"/>
    <w:rsid w:val="004B2F28"/>
    <w:rsid w:val="004D53FA"/>
    <w:rsid w:val="004D66D9"/>
    <w:rsid w:val="004D7977"/>
    <w:rsid w:val="004E0C58"/>
    <w:rsid w:val="004F1CA8"/>
    <w:rsid w:val="004F1FDA"/>
    <w:rsid w:val="00500B1C"/>
    <w:rsid w:val="005022A1"/>
    <w:rsid w:val="00505BE3"/>
    <w:rsid w:val="00506134"/>
    <w:rsid w:val="0051429B"/>
    <w:rsid w:val="00524EA7"/>
    <w:rsid w:val="00536229"/>
    <w:rsid w:val="0054327D"/>
    <w:rsid w:val="00545F70"/>
    <w:rsid w:val="0054647C"/>
    <w:rsid w:val="005476FC"/>
    <w:rsid w:val="005546A9"/>
    <w:rsid w:val="00556421"/>
    <w:rsid w:val="00564EA9"/>
    <w:rsid w:val="00565517"/>
    <w:rsid w:val="005824C1"/>
    <w:rsid w:val="00587078"/>
    <w:rsid w:val="0058709E"/>
    <w:rsid w:val="00592565"/>
    <w:rsid w:val="005A0E1D"/>
    <w:rsid w:val="005A6048"/>
    <w:rsid w:val="005B6605"/>
    <w:rsid w:val="005D6DB0"/>
    <w:rsid w:val="005E5328"/>
    <w:rsid w:val="005E60F4"/>
    <w:rsid w:val="0060067D"/>
    <w:rsid w:val="00607324"/>
    <w:rsid w:val="006104E2"/>
    <w:rsid w:val="00610C78"/>
    <w:rsid w:val="0062051D"/>
    <w:rsid w:val="00631BFA"/>
    <w:rsid w:val="0063409D"/>
    <w:rsid w:val="00642925"/>
    <w:rsid w:val="00657BAC"/>
    <w:rsid w:val="006600C9"/>
    <w:rsid w:val="006777AC"/>
    <w:rsid w:val="00690F28"/>
    <w:rsid w:val="006A6AE3"/>
    <w:rsid w:val="006B1B92"/>
    <w:rsid w:val="006B2AB1"/>
    <w:rsid w:val="006B5695"/>
    <w:rsid w:val="006C0CDF"/>
    <w:rsid w:val="006C786F"/>
    <w:rsid w:val="006E7401"/>
    <w:rsid w:val="006F299D"/>
    <w:rsid w:val="00721818"/>
    <w:rsid w:val="00727CFF"/>
    <w:rsid w:val="00731DD2"/>
    <w:rsid w:val="0074253C"/>
    <w:rsid w:val="007510E9"/>
    <w:rsid w:val="0075251B"/>
    <w:rsid w:val="00760511"/>
    <w:rsid w:val="007606CC"/>
    <w:rsid w:val="0076271C"/>
    <w:rsid w:val="00764C2F"/>
    <w:rsid w:val="007A2067"/>
    <w:rsid w:val="007A3BD7"/>
    <w:rsid w:val="007A6613"/>
    <w:rsid w:val="007B69A1"/>
    <w:rsid w:val="007C43C8"/>
    <w:rsid w:val="007D3D71"/>
    <w:rsid w:val="007E03B7"/>
    <w:rsid w:val="007E20FB"/>
    <w:rsid w:val="007E48E7"/>
    <w:rsid w:val="007F545A"/>
    <w:rsid w:val="007F72DD"/>
    <w:rsid w:val="00813F34"/>
    <w:rsid w:val="00822F84"/>
    <w:rsid w:val="00841B55"/>
    <w:rsid w:val="00843A91"/>
    <w:rsid w:val="00850D92"/>
    <w:rsid w:val="00857EBC"/>
    <w:rsid w:val="00874855"/>
    <w:rsid w:val="008819ED"/>
    <w:rsid w:val="008859B8"/>
    <w:rsid w:val="0088697D"/>
    <w:rsid w:val="00886D8F"/>
    <w:rsid w:val="00890133"/>
    <w:rsid w:val="008906EC"/>
    <w:rsid w:val="008A73F2"/>
    <w:rsid w:val="008C1195"/>
    <w:rsid w:val="008C1701"/>
    <w:rsid w:val="008E36A3"/>
    <w:rsid w:val="008E64B1"/>
    <w:rsid w:val="008F4CB0"/>
    <w:rsid w:val="00915FC2"/>
    <w:rsid w:val="00933BCB"/>
    <w:rsid w:val="00937EC9"/>
    <w:rsid w:val="00953972"/>
    <w:rsid w:val="00962780"/>
    <w:rsid w:val="009719B7"/>
    <w:rsid w:val="00973E53"/>
    <w:rsid w:val="00976F5C"/>
    <w:rsid w:val="0098115F"/>
    <w:rsid w:val="00994D77"/>
    <w:rsid w:val="009A09E2"/>
    <w:rsid w:val="009A6F31"/>
    <w:rsid w:val="009B07AF"/>
    <w:rsid w:val="009D7BFD"/>
    <w:rsid w:val="009E5E24"/>
    <w:rsid w:val="009F7A25"/>
    <w:rsid w:val="00A136D9"/>
    <w:rsid w:val="00A200BD"/>
    <w:rsid w:val="00A3757B"/>
    <w:rsid w:val="00A464DA"/>
    <w:rsid w:val="00A5694D"/>
    <w:rsid w:val="00A668AE"/>
    <w:rsid w:val="00A71219"/>
    <w:rsid w:val="00A8428B"/>
    <w:rsid w:val="00AA3F1B"/>
    <w:rsid w:val="00AA4C67"/>
    <w:rsid w:val="00AA6D86"/>
    <w:rsid w:val="00AD63CB"/>
    <w:rsid w:val="00B01BC0"/>
    <w:rsid w:val="00B17AD1"/>
    <w:rsid w:val="00B20E88"/>
    <w:rsid w:val="00B30404"/>
    <w:rsid w:val="00B42A76"/>
    <w:rsid w:val="00B42FDE"/>
    <w:rsid w:val="00B56CAB"/>
    <w:rsid w:val="00B727EB"/>
    <w:rsid w:val="00B80B76"/>
    <w:rsid w:val="00B93C9D"/>
    <w:rsid w:val="00BA2713"/>
    <w:rsid w:val="00BA3118"/>
    <w:rsid w:val="00BC5581"/>
    <w:rsid w:val="00BD05A5"/>
    <w:rsid w:val="00BD6515"/>
    <w:rsid w:val="00BD7C53"/>
    <w:rsid w:val="00BE6E67"/>
    <w:rsid w:val="00C23192"/>
    <w:rsid w:val="00C2382E"/>
    <w:rsid w:val="00C56A67"/>
    <w:rsid w:val="00C85F9D"/>
    <w:rsid w:val="00C95B40"/>
    <w:rsid w:val="00CC6436"/>
    <w:rsid w:val="00CD15ED"/>
    <w:rsid w:val="00CD658F"/>
    <w:rsid w:val="00CD7160"/>
    <w:rsid w:val="00CE237D"/>
    <w:rsid w:val="00CE7C85"/>
    <w:rsid w:val="00CF3326"/>
    <w:rsid w:val="00D022AD"/>
    <w:rsid w:val="00D05911"/>
    <w:rsid w:val="00D27E0A"/>
    <w:rsid w:val="00D335B9"/>
    <w:rsid w:val="00D43524"/>
    <w:rsid w:val="00D5339B"/>
    <w:rsid w:val="00D57658"/>
    <w:rsid w:val="00D7033A"/>
    <w:rsid w:val="00D97AED"/>
    <w:rsid w:val="00DD3025"/>
    <w:rsid w:val="00DE39F9"/>
    <w:rsid w:val="00DF7AC5"/>
    <w:rsid w:val="00E00D1E"/>
    <w:rsid w:val="00E03492"/>
    <w:rsid w:val="00E16802"/>
    <w:rsid w:val="00E2673E"/>
    <w:rsid w:val="00E31B1C"/>
    <w:rsid w:val="00E32BCB"/>
    <w:rsid w:val="00E51E82"/>
    <w:rsid w:val="00E5524F"/>
    <w:rsid w:val="00E6096C"/>
    <w:rsid w:val="00E747D2"/>
    <w:rsid w:val="00E763C6"/>
    <w:rsid w:val="00E80A5E"/>
    <w:rsid w:val="00E90CA0"/>
    <w:rsid w:val="00E97693"/>
    <w:rsid w:val="00EC5C95"/>
    <w:rsid w:val="00EF471A"/>
    <w:rsid w:val="00F20AEE"/>
    <w:rsid w:val="00F32473"/>
    <w:rsid w:val="00F35392"/>
    <w:rsid w:val="00F85435"/>
    <w:rsid w:val="00F85D2E"/>
    <w:rsid w:val="00FD0C36"/>
    <w:rsid w:val="00FF3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4B39A"/>
  <w15:chartTrackingRefBased/>
  <w15:docId w15:val="{E1D89186-EB85-49D4-970E-6A421A99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A8E"/>
    <w:pPr>
      <w:spacing w:line="480" w:lineRule="auto"/>
    </w:pPr>
    <w:rPr>
      <w:rFonts w:ascii="Times New Roman" w:hAnsi="Times New Roman"/>
    </w:rPr>
  </w:style>
  <w:style w:type="paragraph" w:styleId="Heading1">
    <w:name w:val="heading 1"/>
    <w:basedOn w:val="Normal"/>
    <w:next w:val="Normal"/>
    <w:link w:val="Heading1Char"/>
    <w:uiPriority w:val="9"/>
    <w:qFormat/>
    <w:rsid w:val="004D79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79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797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797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D797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D797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D797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D797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D797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9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79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79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79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79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79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79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79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7977"/>
    <w:rPr>
      <w:rFonts w:eastAsiaTheme="majorEastAsia" w:cstheme="majorBidi"/>
      <w:color w:val="272727" w:themeColor="text1" w:themeTint="D8"/>
    </w:rPr>
  </w:style>
  <w:style w:type="paragraph" w:styleId="Title">
    <w:name w:val="Title"/>
    <w:basedOn w:val="Normal"/>
    <w:next w:val="Normal"/>
    <w:link w:val="TitleChar"/>
    <w:uiPriority w:val="10"/>
    <w:qFormat/>
    <w:rsid w:val="004D79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9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797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79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7977"/>
    <w:pPr>
      <w:spacing w:before="160"/>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4D7977"/>
    <w:rPr>
      <w:i/>
      <w:iCs/>
      <w:color w:val="404040" w:themeColor="text1" w:themeTint="BF"/>
    </w:rPr>
  </w:style>
  <w:style w:type="paragraph" w:styleId="ListParagraph">
    <w:name w:val="List Paragraph"/>
    <w:basedOn w:val="Normal"/>
    <w:uiPriority w:val="34"/>
    <w:qFormat/>
    <w:rsid w:val="004D7977"/>
    <w:pPr>
      <w:ind w:left="720"/>
      <w:contextualSpacing/>
    </w:pPr>
    <w:rPr>
      <w:rFonts w:asciiTheme="minorHAnsi" w:hAnsiTheme="minorHAnsi"/>
    </w:rPr>
  </w:style>
  <w:style w:type="character" w:styleId="IntenseEmphasis">
    <w:name w:val="Intense Emphasis"/>
    <w:basedOn w:val="DefaultParagraphFont"/>
    <w:uiPriority w:val="21"/>
    <w:qFormat/>
    <w:rsid w:val="004D7977"/>
    <w:rPr>
      <w:i/>
      <w:iCs/>
      <w:color w:val="0F4761" w:themeColor="accent1" w:themeShade="BF"/>
    </w:rPr>
  </w:style>
  <w:style w:type="paragraph" w:styleId="IntenseQuote">
    <w:name w:val="Intense Quote"/>
    <w:basedOn w:val="Normal"/>
    <w:next w:val="Normal"/>
    <w:link w:val="IntenseQuoteChar"/>
    <w:uiPriority w:val="30"/>
    <w:qFormat/>
    <w:rsid w:val="004D797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rPr>
  </w:style>
  <w:style w:type="character" w:customStyle="1" w:styleId="IntenseQuoteChar">
    <w:name w:val="Intense Quote Char"/>
    <w:basedOn w:val="DefaultParagraphFont"/>
    <w:link w:val="IntenseQuote"/>
    <w:uiPriority w:val="30"/>
    <w:rsid w:val="004D7977"/>
    <w:rPr>
      <w:i/>
      <w:iCs/>
      <w:color w:val="0F4761" w:themeColor="accent1" w:themeShade="BF"/>
    </w:rPr>
  </w:style>
  <w:style w:type="character" w:styleId="IntenseReference">
    <w:name w:val="Intense Reference"/>
    <w:basedOn w:val="DefaultParagraphFont"/>
    <w:uiPriority w:val="32"/>
    <w:qFormat/>
    <w:rsid w:val="004D7977"/>
    <w:rPr>
      <w:b/>
      <w:bCs/>
      <w:smallCaps/>
      <w:color w:val="0F4761" w:themeColor="accent1" w:themeShade="BF"/>
      <w:spacing w:val="5"/>
    </w:rPr>
  </w:style>
  <w:style w:type="character" w:styleId="CommentReference">
    <w:name w:val="annotation reference"/>
    <w:basedOn w:val="DefaultParagraphFont"/>
    <w:uiPriority w:val="99"/>
    <w:semiHidden/>
    <w:unhideWhenUsed/>
    <w:rsid w:val="004D7977"/>
    <w:rPr>
      <w:sz w:val="16"/>
      <w:szCs w:val="16"/>
    </w:rPr>
  </w:style>
  <w:style w:type="paragraph" w:styleId="CommentText">
    <w:name w:val="annotation text"/>
    <w:basedOn w:val="Normal"/>
    <w:link w:val="CommentTextChar"/>
    <w:uiPriority w:val="99"/>
    <w:unhideWhenUsed/>
    <w:rsid w:val="004D7977"/>
    <w:pPr>
      <w:spacing w:line="240" w:lineRule="auto"/>
    </w:pPr>
    <w:rPr>
      <w:sz w:val="20"/>
      <w:szCs w:val="20"/>
    </w:rPr>
  </w:style>
  <w:style w:type="character" w:customStyle="1" w:styleId="CommentTextChar">
    <w:name w:val="Comment Text Char"/>
    <w:basedOn w:val="DefaultParagraphFont"/>
    <w:link w:val="CommentText"/>
    <w:uiPriority w:val="99"/>
    <w:rsid w:val="004D7977"/>
    <w:rPr>
      <w:rFonts w:ascii="Arial" w:hAnsi="Arial"/>
      <w:sz w:val="20"/>
      <w:szCs w:val="20"/>
    </w:rPr>
  </w:style>
  <w:style w:type="table" w:styleId="TableGrid">
    <w:name w:val="Table Grid"/>
    <w:basedOn w:val="TableNormal"/>
    <w:uiPriority w:val="39"/>
    <w:rsid w:val="004D79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11C49"/>
  </w:style>
  <w:style w:type="paragraph" w:styleId="Header">
    <w:name w:val="header"/>
    <w:basedOn w:val="Normal"/>
    <w:link w:val="HeaderChar"/>
    <w:uiPriority w:val="99"/>
    <w:unhideWhenUsed/>
    <w:rsid w:val="00111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C49"/>
    <w:rPr>
      <w:rFonts w:ascii="Arial" w:hAnsi="Arial"/>
    </w:rPr>
  </w:style>
  <w:style w:type="paragraph" w:styleId="Footer">
    <w:name w:val="footer"/>
    <w:basedOn w:val="Normal"/>
    <w:link w:val="FooterChar"/>
    <w:uiPriority w:val="99"/>
    <w:unhideWhenUsed/>
    <w:rsid w:val="00111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C4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368</TotalTime>
  <Pages>1</Pages>
  <Words>1379</Words>
  <Characters>7862</Characters>
  <Application>Microsoft Office Word</Application>
  <DocSecurity>0</DocSecurity>
  <Lines>65</Lines>
  <Paragraphs>18</Paragraphs>
  <ScaleCrop>false</ScaleCrop>
  <Company/>
  <LinksUpToDate>false</LinksUpToDate>
  <CharactersWithSpaces>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Martin,Amanda (elle | she, her) (ECCC)</dc:creator>
  <cp:keywords/>
  <dc:description/>
  <cp:lastModifiedBy>Kanmani B Balakrishnan J</cp:lastModifiedBy>
  <cp:revision>202</cp:revision>
  <cp:lastPrinted>2026-03-19T15:25:00Z</cp:lastPrinted>
  <dcterms:created xsi:type="dcterms:W3CDTF">2025-05-13T13:16:00Z</dcterms:created>
  <dcterms:modified xsi:type="dcterms:W3CDTF">2026-04-04T01:59:00Z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1ef7a6a8,31cbbfca,5cecb686</vt:lpwstr>
  </property>
  <property fmtid="{D5CDD505-2E9C-101B-9397-08002B2CF9AE}" pid="3" name="ClassificationContentMarkingHeaderFontProps">
    <vt:lpwstr>#000000,12,Aptos</vt:lpwstr>
  </property>
  <property fmtid="{D5CDD505-2E9C-101B-9397-08002B2CF9AE}" pid="4" name="ClassificationContentMarkingHeaderText">
    <vt:lpwstr>Non classifié | Unclassified </vt:lpwstr>
  </property>
  <property fmtid="{D5CDD505-2E9C-101B-9397-08002B2CF9AE}" pid="5" name="MSIP_Label_bdebc259-eac6-4644-a51c-19d09b75403c_Enabled">
    <vt:lpwstr>true</vt:lpwstr>
  </property>
  <property fmtid="{D5CDD505-2E9C-101B-9397-08002B2CF9AE}" pid="6" name="MSIP_Label_bdebc259-eac6-4644-a51c-19d09b75403c_SetDate">
    <vt:lpwstr>2026-03-09T15:37:45Z</vt:lpwstr>
  </property>
  <property fmtid="{D5CDD505-2E9C-101B-9397-08002B2CF9AE}" pid="7" name="MSIP_Label_bdebc259-eac6-4644-a51c-19d09b75403c_Method">
    <vt:lpwstr>Standard</vt:lpwstr>
  </property>
  <property fmtid="{D5CDD505-2E9C-101B-9397-08002B2CF9AE}" pid="8" name="MSIP_Label_bdebc259-eac6-4644-a51c-19d09b75403c_Name">
    <vt:lpwstr>UNCLASSIFIED</vt:lpwstr>
  </property>
  <property fmtid="{D5CDD505-2E9C-101B-9397-08002B2CF9AE}" pid="9" name="MSIP_Label_bdebc259-eac6-4644-a51c-19d09b75403c_SiteId">
    <vt:lpwstr>740c5fd3-6e8b-4176-9cc9-454dbe4e62c4</vt:lpwstr>
  </property>
  <property fmtid="{D5CDD505-2E9C-101B-9397-08002B2CF9AE}" pid="10" name="MSIP_Label_bdebc259-eac6-4644-a51c-19d09b75403c_ActionId">
    <vt:lpwstr>f10b8cf3-ad88-4a9a-b96b-3701e392151d</vt:lpwstr>
  </property>
  <property fmtid="{D5CDD505-2E9C-101B-9397-08002B2CF9AE}" pid="11" name="MSIP_Label_bdebc259-eac6-4644-a51c-19d09b75403c_ContentBits">
    <vt:lpwstr>1</vt:lpwstr>
  </property>
  <property fmtid="{D5CDD505-2E9C-101B-9397-08002B2CF9AE}" pid="12" name="MSIP_Label_bdebc259-eac6-4644-a51c-19d09b75403c_Tag">
    <vt:lpwstr>10, 3, 0, 1</vt:lpwstr>
  </property>
</Properties>
</file>