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B942C1" w14:textId="3D0BC9B2" w:rsidR="00175CFD" w:rsidRPr="00BE23FA" w:rsidRDefault="00175CFD" w:rsidP="00BE23FA">
      <w:pPr>
        <w:spacing w:line="360" w:lineRule="auto"/>
        <w:rPr>
          <w:rFonts w:ascii="Times New Roman" w:hAnsi="Times New Roman" w:cs="Times New Roman"/>
          <w:b/>
          <w:lang w:val="en-US"/>
        </w:rPr>
      </w:pPr>
      <w:bookmarkStart w:id="0" w:name="_GoBack"/>
      <w:bookmarkEnd w:id="0"/>
      <w:r w:rsidRPr="00BE23FA">
        <w:rPr>
          <w:rFonts w:ascii="Times New Roman" w:hAnsi="Times New Roman" w:cs="Times New Roman"/>
          <w:b/>
          <w:lang w:val="en-US"/>
        </w:rPr>
        <w:t>Supplementary Material</w:t>
      </w:r>
    </w:p>
    <w:p w14:paraId="6B66C2AB" w14:textId="0DE6B898" w:rsidR="00366D1B" w:rsidRPr="00BE23FA" w:rsidRDefault="00366D1B" w:rsidP="00BE23FA">
      <w:pPr>
        <w:pStyle w:val="ListParagraph"/>
        <w:numPr>
          <w:ilvl w:val="0"/>
          <w:numId w:val="5"/>
        </w:numPr>
        <w:spacing w:line="360" w:lineRule="auto"/>
        <w:jc w:val="both"/>
        <w:rPr>
          <w:rFonts w:ascii="Times New Roman" w:hAnsi="Times New Roman" w:cs="Times New Roman"/>
          <w:u w:val="single"/>
          <w:lang w:val="en-US"/>
        </w:rPr>
      </w:pPr>
      <w:r w:rsidRPr="00BE23FA">
        <w:rPr>
          <w:rFonts w:ascii="Times New Roman" w:hAnsi="Times New Roman" w:cs="Times New Roman"/>
          <w:u w:val="single"/>
          <w:lang w:val="en-US"/>
        </w:rPr>
        <w:t>Archaeolog</w:t>
      </w:r>
      <w:r w:rsidR="00A35F0C">
        <w:rPr>
          <w:rFonts w:ascii="Times New Roman" w:hAnsi="Times New Roman" w:cs="Times New Roman"/>
          <w:u w:val="single"/>
          <w:lang w:val="en-US"/>
        </w:rPr>
        <w:t>s</w:t>
      </w:r>
      <w:r w:rsidRPr="00BE23FA">
        <w:rPr>
          <w:rFonts w:ascii="Times New Roman" w:hAnsi="Times New Roman" w:cs="Times New Roman"/>
          <w:u w:val="single"/>
          <w:lang w:val="en-US"/>
        </w:rPr>
        <w:t>ical and paleontological sites</w:t>
      </w:r>
      <w:r w:rsidR="007D1754" w:rsidRPr="00BE23FA">
        <w:rPr>
          <w:rFonts w:ascii="Times New Roman" w:hAnsi="Times New Roman" w:cs="Times New Roman"/>
          <w:u w:val="single"/>
          <w:lang w:val="en-US"/>
        </w:rPr>
        <w:t xml:space="preserve"> containing remains of the selected species found at the Cueva del Camino site</w:t>
      </w:r>
    </w:p>
    <w:p w14:paraId="777AA2C4" w14:textId="77777777" w:rsidR="007D1754" w:rsidRPr="00BE23FA" w:rsidRDefault="007D1754" w:rsidP="00BE23FA">
      <w:pPr>
        <w:pStyle w:val="ListParagraph"/>
        <w:spacing w:line="360" w:lineRule="auto"/>
        <w:ind w:left="360"/>
        <w:jc w:val="both"/>
        <w:rPr>
          <w:rFonts w:ascii="Times New Roman" w:hAnsi="Times New Roman" w:cs="Times New Roman"/>
          <w:u w:val="single"/>
          <w:lang w:val="en-US"/>
        </w:rPr>
      </w:pPr>
    </w:p>
    <w:tbl>
      <w:tblPr>
        <w:tblStyle w:val="TableGrid"/>
        <w:tblW w:w="9387" w:type="dxa"/>
        <w:tblInd w:w="360" w:type="dxa"/>
        <w:tblLook w:val="04A0" w:firstRow="1" w:lastRow="0" w:firstColumn="1" w:lastColumn="0" w:noHBand="0" w:noVBand="1"/>
      </w:tblPr>
      <w:tblGrid>
        <w:gridCol w:w="1672"/>
        <w:gridCol w:w="1672"/>
        <w:gridCol w:w="1672"/>
        <w:gridCol w:w="1672"/>
        <w:gridCol w:w="2699"/>
      </w:tblGrid>
      <w:tr w:rsidR="00366D1B" w:rsidRPr="00BE23FA" w14:paraId="3BF1ACD6" w14:textId="77777777" w:rsidTr="00366D1B">
        <w:tc>
          <w:tcPr>
            <w:tcW w:w="1672" w:type="dxa"/>
          </w:tcPr>
          <w:p w14:paraId="4459460B" w14:textId="65176B3C" w:rsidR="00366D1B" w:rsidRPr="00BE23FA" w:rsidRDefault="00366D1B" w:rsidP="00BE23FA">
            <w:pPr>
              <w:pStyle w:val="ListParagraph"/>
              <w:spacing w:line="360" w:lineRule="auto"/>
              <w:ind w:left="0"/>
              <w:jc w:val="both"/>
              <w:rPr>
                <w:rFonts w:ascii="Times New Roman" w:hAnsi="Times New Roman" w:cs="Times New Roman"/>
                <w:b/>
                <w:bCs/>
                <w:u w:val="single"/>
                <w:lang w:val="en-US"/>
              </w:rPr>
            </w:pPr>
            <w:r w:rsidRPr="00BE23FA">
              <w:rPr>
                <w:rFonts w:ascii="Times New Roman" w:hAnsi="Times New Roman" w:cs="Times New Roman"/>
                <w:b/>
                <w:bCs/>
              </w:rPr>
              <w:t>Site</w:t>
            </w:r>
          </w:p>
        </w:tc>
        <w:tc>
          <w:tcPr>
            <w:tcW w:w="1672" w:type="dxa"/>
          </w:tcPr>
          <w:p w14:paraId="2FE0EEBC" w14:textId="4E79C386" w:rsidR="00366D1B" w:rsidRPr="00BE23FA" w:rsidRDefault="00366D1B" w:rsidP="00BE23FA">
            <w:pPr>
              <w:pStyle w:val="ListParagraph"/>
              <w:spacing w:line="360" w:lineRule="auto"/>
              <w:ind w:left="0"/>
              <w:jc w:val="both"/>
              <w:rPr>
                <w:rFonts w:ascii="Times New Roman" w:hAnsi="Times New Roman" w:cs="Times New Roman"/>
                <w:b/>
                <w:bCs/>
                <w:u w:val="single"/>
                <w:lang w:val="en-US"/>
              </w:rPr>
            </w:pPr>
            <w:r w:rsidRPr="00BE23FA">
              <w:rPr>
                <w:rFonts w:ascii="Times New Roman" w:hAnsi="Times New Roman" w:cs="Times New Roman"/>
                <w:b/>
                <w:bCs/>
              </w:rPr>
              <w:t>Layer</w:t>
            </w:r>
          </w:p>
        </w:tc>
        <w:tc>
          <w:tcPr>
            <w:tcW w:w="1672" w:type="dxa"/>
          </w:tcPr>
          <w:p w14:paraId="63337ADC" w14:textId="304EC6A5" w:rsidR="00366D1B" w:rsidRPr="00BE23FA" w:rsidRDefault="00366D1B" w:rsidP="00BE23FA">
            <w:pPr>
              <w:pStyle w:val="ListParagraph"/>
              <w:spacing w:line="360" w:lineRule="auto"/>
              <w:ind w:left="0"/>
              <w:jc w:val="both"/>
              <w:rPr>
                <w:rFonts w:ascii="Times New Roman" w:hAnsi="Times New Roman" w:cs="Times New Roman"/>
                <w:b/>
                <w:bCs/>
                <w:u w:val="single"/>
                <w:lang w:val="en-US"/>
              </w:rPr>
            </w:pPr>
            <w:r w:rsidRPr="00BE23FA">
              <w:rPr>
                <w:rFonts w:ascii="Times New Roman" w:hAnsi="Times New Roman" w:cs="Times New Roman"/>
                <w:b/>
                <w:bCs/>
              </w:rPr>
              <w:t>Longitude</w:t>
            </w:r>
          </w:p>
        </w:tc>
        <w:tc>
          <w:tcPr>
            <w:tcW w:w="1672" w:type="dxa"/>
          </w:tcPr>
          <w:p w14:paraId="48FD3E96" w14:textId="59276F0C" w:rsidR="00366D1B" w:rsidRPr="00BE23FA" w:rsidRDefault="00366D1B" w:rsidP="00BE23FA">
            <w:pPr>
              <w:pStyle w:val="ListParagraph"/>
              <w:spacing w:line="360" w:lineRule="auto"/>
              <w:ind w:left="0"/>
              <w:jc w:val="both"/>
              <w:rPr>
                <w:rFonts w:ascii="Times New Roman" w:hAnsi="Times New Roman" w:cs="Times New Roman"/>
                <w:b/>
                <w:bCs/>
                <w:u w:val="single"/>
                <w:lang w:val="en-US"/>
              </w:rPr>
            </w:pPr>
            <w:r w:rsidRPr="00BE23FA">
              <w:rPr>
                <w:rFonts w:ascii="Times New Roman" w:hAnsi="Times New Roman" w:cs="Times New Roman"/>
                <w:b/>
                <w:bCs/>
              </w:rPr>
              <w:t>Latitude</w:t>
            </w:r>
          </w:p>
        </w:tc>
        <w:tc>
          <w:tcPr>
            <w:tcW w:w="2699" w:type="dxa"/>
          </w:tcPr>
          <w:p w14:paraId="3656D337" w14:textId="58DC07A9" w:rsidR="00366D1B" w:rsidRPr="00BE23FA" w:rsidRDefault="00366D1B" w:rsidP="00BE23FA">
            <w:pPr>
              <w:pStyle w:val="ListParagraph"/>
              <w:spacing w:line="360" w:lineRule="auto"/>
              <w:ind w:left="0"/>
              <w:jc w:val="both"/>
              <w:rPr>
                <w:rFonts w:ascii="Times New Roman" w:hAnsi="Times New Roman" w:cs="Times New Roman"/>
                <w:b/>
                <w:bCs/>
                <w:u w:val="single"/>
                <w:lang w:val="en-US"/>
              </w:rPr>
            </w:pPr>
            <w:r w:rsidRPr="00BE23FA">
              <w:rPr>
                <w:rFonts w:ascii="Times New Roman" w:hAnsi="Times New Roman" w:cs="Times New Roman"/>
                <w:b/>
                <w:bCs/>
              </w:rPr>
              <w:t>Reference</w:t>
            </w:r>
          </w:p>
        </w:tc>
      </w:tr>
      <w:tr w:rsidR="00366D1B" w:rsidRPr="00BE23FA" w14:paraId="091F25B0" w14:textId="77777777" w:rsidTr="00366D1B">
        <w:tc>
          <w:tcPr>
            <w:tcW w:w="1672" w:type="dxa"/>
          </w:tcPr>
          <w:p w14:paraId="41806F00" w14:textId="5B8B8D49"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Abri Bourgeois-Delaunay</w:t>
            </w:r>
          </w:p>
        </w:tc>
        <w:tc>
          <w:tcPr>
            <w:tcW w:w="1672" w:type="dxa"/>
          </w:tcPr>
          <w:p w14:paraId="772F23FF" w14:textId="197EE2E4"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7</w:t>
            </w:r>
          </w:p>
        </w:tc>
        <w:tc>
          <w:tcPr>
            <w:tcW w:w="1672" w:type="dxa"/>
          </w:tcPr>
          <w:p w14:paraId="6684D509" w14:textId="44078668"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0,447</w:t>
            </w:r>
          </w:p>
        </w:tc>
        <w:tc>
          <w:tcPr>
            <w:tcW w:w="1672" w:type="dxa"/>
          </w:tcPr>
          <w:p w14:paraId="10EDAD96" w14:textId="1F840608"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45,667</w:t>
            </w:r>
          </w:p>
        </w:tc>
        <w:tc>
          <w:tcPr>
            <w:tcW w:w="2699" w:type="dxa"/>
          </w:tcPr>
          <w:p w14:paraId="09291BE0" w14:textId="65BE2EF0" w:rsidR="00366D1B" w:rsidRPr="00BE23FA" w:rsidRDefault="009C556C"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 xml:space="preserve">Jaubert 2002; </w:t>
            </w:r>
            <w:r w:rsidR="001C50DF" w:rsidRPr="00BE23FA">
              <w:rPr>
                <w:rFonts w:ascii="Times New Roman" w:hAnsi="Times New Roman" w:cs="Times New Roman"/>
                <w:lang w:val="en-US"/>
              </w:rPr>
              <w:t xml:space="preserve">Couchoud 2006; </w:t>
            </w:r>
            <w:r w:rsidR="00F56CA7" w:rsidRPr="00BE23FA">
              <w:rPr>
                <w:rFonts w:ascii="Times New Roman" w:hAnsi="Times New Roman" w:cs="Times New Roman"/>
              </w:rPr>
              <w:t>Vermeersch 2025</w:t>
            </w:r>
          </w:p>
        </w:tc>
      </w:tr>
      <w:tr w:rsidR="00366D1B" w:rsidRPr="00BE23FA" w14:paraId="458C9D2B" w14:textId="77777777" w:rsidTr="00366D1B">
        <w:tc>
          <w:tcPr>
            <w:tcW w:w="1672" w:type="dxa"/>
          </w:tcPr>
          <w:p w14:paraId="0AF58517" w14:textId="5A997253"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Abri du Maras</w:t>
            </w:r>
          </w:p>
        </w:tc>
        <w:tc>
          <w:tcPr>
            <w:tcW w:w="1672" w:type="dxa"/>
          </w:tcPr>
          <w:p w14:paraId="07FF8705" w14:textId="2F63D75C"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5</w:t>
            </w:r>
          </w:p>
        </w:tc>
        <w:tc>
          <w:tcPr>
            <w:tcW w:w="1672" w:type="dxa"/>
          </w:tcPr>
          <w:p w14:paraId="70EB7F1D" w14:textId="3882CB23"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44,313</w:t>
            </w:r>
          </w:p>
        </w:tc>
        <w:tc>
          <w:tcPr>
            <w:tcW w:w="1672" w:type="dxa"/>
          </w:tcPr>
          <w:p w14:paraId="15787380" w14:textId="04AFAA6F"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4,559</w:t>
            </w:r>
          </w:p>
        </w:tc>
        <w:tc>
          <w:tcPr>
            <w:tcW w:w="2699" w:type="dxa"/>
          </w:tcPr>
          <w:p w14:paraId="48F3A1A2" w14:textId="3A8A6A81" w:rsidR="00366D1B" w:rsidRPr="00BE23FA" w:rsidRDefault="00F56CA7" w:rsidP="00BE23FA">
            <w:pPr>
              <w:pStyle w:val="ListParagraph"/>
              <w:spacing w:line="360" w:lineRule="auto"/>
              <w:ind w:left="0"/>
              <w:jc w:val="both"/>
              <w:rPr>
                <w:rFonts w:ascii="Times New Roman" w:hAnsi="Times New Roman" w:cs="Times New Roman"/>
                <w:kern w:val="0"/>
                <w:lang w:val="en-US"/>
              </w:rPr>
            </w:pPr>
            <w:r w:rsidRPr="00BE23FA">
              <w:rPr>
                <w:rFonts w:ascii="Times New Roman" w:hAnsi="Times New Roman" w:cs="Times New Roman"/>
                <w:kern w:val="0"/>
                <w:lang w:val="en-US"/>
              </w:rPr>
              <w:t>Moncel and Michel 2000; Marín et al. 2020</w:t>
            </w:r>
          </w:p>
        </w:tc>
      </w:tr>
      <w:tr w:rsidR="00366D1B" w:rsidRPr="00BE23FA" w14:paraId="6CFD4EF3" w14:textId="77777777" w:rsidTr="00366D1B">
        <w:tc>
          <w:tcPr>
            <w:tcW w:w="1672" w:type="dxa"/>
          </w:tcPr>
          <w:p w14:paraId="33D4360B" w14:textId="5DFEF40C" w:rsidR="00366D1B" w:rsidRPr="00BE23FA" w:rsidRDefault="00366D1B" w:rsidP="00BE23FA">
            <w:pPr>
              <w:pStyle w:val="ListParagraph"/>
              <w:spacing w:line="360" w:lineRule="auto"/>
              <w:ind w:left="0"/>
              <w:jc w:val="both"/>
              <w:rPr>
                <w:rFonts w:ascii="Times New Roman" w:hAnsi="Times New Roman" w:cs="Times New Roman"/>
                <w:u w:val="single"/>
                <w:lang w:val="it-IT"/>
              </w:rPr>
            </w:pPr>
            <w:r w:rsidRPr="00BE23FA">
              <w:rPr>
                <w:rFonts w:ascii="Times New Roman" w:hAnsi="Times New Roman" w:cs="Times New Roman"/>
                <w:lang w:val="en-GB"/>
              </w:rPr>
              <w:t>Arbreda</w:t>
            </w:r>
          </w:p>
        </w:tc>
        <w:tc>
          <w:tcPr>
            <w:tcW w:w="1672" w:type="dxa"/>
          </w:tcPr>
          <w:p w14:paraId="6F2A209B" w14:textId="300E902F"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I</w:t>
            </w:r>
          </w:p>
        </w:tc>
        <w:tc>
          <w:tcPr>
            <w:tcW w:w="1672" w:type="dxa"/>
          </w:tcPr>
          <w:p w14:paraId="3E31C7A1" w14:textId="4D23F32B"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2,75</w:t>
            </w:r>
          </w:p>
        </w:tc>
        <w:tc>
          <w:tcPr>
            <w:tcW w:w="1672" w:type="dxa"/>
          </w:tcPr>
          <w:p w14:paraId="16C445EE" w14:textId="368D4E6B"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42,16</w:t>
            </w:r>
          </w:p>
        </w:tc>
        <w:tc>
          <w:tcPr>
            <w:tcW w:w="2699" w:type="dxa"/>
          </w:tcPr>
          <w:p w14:paraId="02BB7828" w14:textId="4C0AE62D" w:rsidR="00366D1B" w:rsidRPr="00BE23FA" w:rsidRDefault="00F56CA7" w:rsidP="00BE23FA">
            <w:pPr>
              <w:pStyle w:val="ListParagraph"/>
              <w:spacing w:line="360" w:lineRule="auto"/>
              <w:ind w:left="0"/>
              <w:jc w:val="both"/>
              <w:rPr>
                <w:rFonts w:ascii="Times New Roman" w:hAnsi="Times New Roman" w:cs="Times New Roman"/>
                <w:lang w:val="nb-NO"/>
              </w:rPr>
            </w:pPr>
            <w:r w:rsidRPr="00BE23FA">
              <w:rPr>
                <w:rFonts w:ascii="Times New Roman" w:hAnsi="Times New Roman" w:cs="Times New Roman"/>
                <w:lang w:val="nb-NO"/>
              </w:rPr>
              <w:t>Yokoyama et al. 1987; Kehl et al. 2014</w:t>
            </w:r>
          </w:p>
        </w:tc>
      </w:tr>
      <w:tr w:rsidR="00366D1B" w:rsidRPr="00BE23FA" w14:paraId="3202CAEA" w14:textId="77777777" w:rsidTr="00366D1B">
        <w:tc>
          <w:tcPr>
            <w:tcW w:w="1672" w:type="dxa"/>
          </w:tcPr>
          <w:p w14:paraId="04689217" w14:textId="7C5F5879"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Arbreda</w:t>
            </w:r>
          </w:p>
        </w:tc>
        <w:tc>
          <w:tcPr>
            <w:tcW w:w="1672" w:type="dxa"/>
          </w:tcPr>
          <w:p w14:paraId="3AB93AB2" w14:textId="4930D266"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J</w:t>
            </w:r>
          </w:p>
        </w:tc>
        <w:tc>
          <w:tcPr>
            <w:tcW w:w="1672" w:type="dxa"/>
          </w:tcPr>
          <w:p w14:paraId="6F0D9D4C" w14:textId="5011F30A"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2,75</w:t>
            </w:r>
          </w:p>
        </w:tc>
        <w:tc>
          <w:tcPr>
            <w:tcW w:w="1672" w:type="dxa"/>
          </w:tcPr>
          <w:p w14:paraId="78585641" w14:textId="7A9A242E"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42,16</w:t>
            </w:r>
          </w:p>
        </w:tc>
        <w:tc>
          <w:tcPr>
            <w:tcW w:w="2699" w:type="dxa"/>
          </w:tcPr>
          <w:p w14:paraId="6FF2004F" w14:textId="405ECD76" w:rsidR="00366D1B" w:rsidRPr="00BE23FA" w:rsidRDefault="00F56CA7"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Yokoyama et al. 1987; Kehl et al. 2014</w:t>
            </w:r>
          </w:p>
        </w:tc>
      </w:tr>
      <w:tr w:rsidR="00366D1B" w:rsidRPr="00BE23FA" w14:paraId="44115229" w14:textId="77777777" w:rsidTr="00366D1B">
        <w:tc>
          <w:tcPr>
            <w:tcW w:w="1672" w:type="dxa"/>
          </w:tcPr>
          <w:p w14:paraId="6B2968CB" w14:textId="2736F5AF"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Arbreda</w:t>
            </w:r>
          </w:p>
        </w:tc>
        <w:tc>
          <w:tcPr>
            <w:tcW w:w="1672" w:type="dxa"/>
          </w:tcPr>
          <w:p w14:paraId="2EA61C92" w14:textId="6A1A1B5B"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K</w:t>
            </w:r>
          </w:p>
        </w:tc>
        <w:tc>
          <w:tcPr>
            <w:tcW w:w="1672" w:type="dxa"/>
          </w:tcPr>
          <w:p w14:paraId="35A2EB60" w14:textId="1CD55186"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2,75</w:t>
            </w:r>
          </w:p>
        </w:tc>
        <w:tc>
          <w:tcPr>
            <w:tcW w:w="1672" w:type="dxa"/>
          </w:tcPr>
          <w:p w14:paraId="462C8FA7" w14:textId="650E9904"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42,16</w:t>
            </w:r>
          </w:p>
        </w:tc>
        <w:tc>
          <w:tcPr>
            <w:tcW w:w="2699" w:type="dxa"/>
          </w:tcPr>
          <w:p w14:paraId="368FC1FA" w14:textId="4DEC0062" w:rsidR="00366D1B" w:rsidRPr="00BE23FA" w:rsidRDefault="00F56CA7"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Yokoyama et al. 1987; Kehl et al. 2014</w:t>
            </w:r>
          </w:p>
        </w:tc>
      </w:tr>
      <w:tr w:rsidR="00366D1B" w:rsidRPr="00BE23FA" w14:paraId="35205047" w14:textId="77777777" w:rsidTr="00366D1B">
        <w:tc>
          <w:tcPr>
            <w:tcW w:w="1672" w:type="dxa"/>
          </w:tcPr>
          <w:p w14:paraId="685E94E3" w14:textId="2AB62F35"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Arriaga II</w:t>
            </w:r>
          </w:p>
        </w:tc>
        <w:tc>
          <w:tcPr>
            <w:tcW w:w="1672" w:type="dxa"/>
          </w:tcPr>
          <w:p w14:paraId="0F82BE1B" w14:textId="22221488"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Mz-5</w:t>
            </w:r>
          </w:p>
        </w:tc>
        <w:tc>
          <w:tcPr>
            <w:tcW w:w="1672" w:type="dxa"/>
          </w:tcPr>
          <w:p w14:paraId="25C3CC08" w14:textId="43234B95"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-3,862</w:t>
            </w:r>
          </w:p>
        </w:tc>
        <w:tc>
          <w:tcPr>
            <w:tcW w:w="1672" w:type="dxa"/>
          </w:tcPr>
          <w:p w14:paraId="6377078D" w14:textId="6743D437"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40,312</w:t>
            </w:r>
          </w:p>
        </w:tc>
        <w:tc>
          <w:tcPr>
            <w:tcW w:w="2699" w:type="dxa"/>
          </w:tcPr>
          <w:p w14:paraId="68699259" w14:textId="7EA7F1A1" w:rsidR="00366D1B" w:rsidRPr="00BE23FA" w:rsidRDefault="00F56CA7"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kern w:val="0"/>
              </w:rPr>
              <w:t>Sesé and López-Martínez 2013; Silva et al. 2013</w:t>
            </w:r>
          </w:p>
        </w:tc>
      </w:tr>
      <w:tr w:rsidR="00366D1B" w:rsidRPr="00BE23FA" w14:paraId="2901E41C" w14:textId="77777777" w:rsidTr="00366D1B">
        <w:tc>
          <w:tcPr>
            <w:tcW w:w="1672" w:type="dxa"/>
          </w:tcPr>
          <w:p w14:paraId="33B47582" w14:textId="03C0772F"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Artazu VII</w:t>
            </w:r>
          </w:p>
        </w:tc>
        <w:tc>
          <w:tcPr>
            <w:tcW w:w="1672" w:type="dxa"/>
          </w:tcPr>
          <w:p w14:paraId="2D0CBB2B" w14:textId="09A90A7D" w:rsidR="00366D1B" w:rsidRPr="00BE23FA" w:rsidRDefault="00366D1B" w:rsidP="00BE23FA">
            <w:pPr>
              <w:pStyle w:val="ListParagraph"/>
              <w:spacing w:line="360" w:lineRule="auto"/>
              <w:ind w:left="0"/>
              <w:jc w:val="both"/>
              <w:rPr>
                <w:rFonts w:ascii="Times New Roman" w:hAnsi="Times New Roman" w:cs="Times New Roman"/>
                <w:u w:val="single"/>
                <w:lang w:val="en-US"/>
              </w:rPr>
            </w:pPr>
          </w:p>
        </w:tc>
        <w:tc>
          <w:tcPr>
            <w:tcW w:w="1672" w:type="dxa"/>
          </w:tcPr>
          <w:p w14:paraId="5C752A46" w14:textId="2730C609" w:rsidR="00366D1B" w:rsidRPr="00BE23FA" w:rsidRDefault="00E13D92"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-2,529</w:t>
            </w:r>
          </w:p>
        </w:tc>
        <w:tc>
          <w:tcPr>
            <w:tcW w:w="1672" w:type="dxa"/>
          </w:tcPr>
          <w:p w14:paraId="15E3AE7A" w14:textId="152A1D37" w:rsidR="00366D1B" w:rsidRPr="00BE23FA" w:rsidRDefault="00E13D92"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43,074</w:t>
            </w:r>
          </w:p>
        </w:tc>
        <w:tc>
          <w:tcPr>
            <w:tcW w:w="2699" w:type="dxa"/>
          </w:tcPr>
          <w:p w14:paraId="5AA93923" w14:textId="675C6C4E" w:rsidR="00366D1B" w:rsidRPr="00BE23FA" w:rsidRDefault="005C132D"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 xml:space="preserve">Suárez-Bilbao et al. 2016; </w:t>
            </w:r>
            <w:r w:rsidR="00F56CA7" w:rsidRPr="00BE23FA">
              <w:rPr>
                <w:rFonts w:ascii="Times New Roman" w:hAnsi="Times New Roman" w:cs="Times New Roman"/>
                <w:lang w:val="nb-NO"/>
              </w:rPr>
              <w:t>Puzachenko et al. 2021</w:t>
            </w:r>
          </w:p>
        </w:tc>
      </w:tr>
      <w:tr w:rsidR="00366D1B" w:rsidRPr="00BE23FA" w14:paraId="2CCF68DA" w14:textId="77777777" w:rsidTr="00366D1B">
        <w:tc>
          <w:tcPr>
            <w:tcW w:w="1672" w:type="dxa"/>
          </w:tcPr>
          <w:p w14:paraId="0DAAFA20" w14:textId="1060083C" w:rsidR="00366D1B" w:rsidRPr="00BE23FA" w:rsidRDefault="00366D1B"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lang w:val="en-GB"/>
              </w:rPr>
              <w:t>Asprochaliko</w:t>
            </w:r>
          </w:p>
        </w:tc>
        <w:tc>
          <w:tcPr>
            <w:tcW w:w="1672" w:type="dxa"/>
          </w:tcPr>
          <w:p w14:paraId="734A5525" w14:textId="623F731A"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18</w:t>
            </w:r>
          </w:p>
        </w:tc>
        <w:tc>
          <w:tcPr>
            <w:tcW w:w="1672" w:type="dxa"/>
          </w:tcPr>
          <w:p w14:paraId="05B15D23" w14:textId="37D49272"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20,84</w:t>
            </w:r>
          </w:p>
        </w:tc>
        <w:tc>
          <w:tcPr>
            <w:tcW w:w="1672" w:type="dxa"/>
          </w:tcPr>
          <w:p w14:paraId="004EC263" w14:textId="1BBEF1AA"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39,24</w:t>
            </w:r>
          </w:p>
        </w:tc>
        <w:tc>
          <w:tcPr>
            <w:tcW w:w="2699" w:type="dxa"/>
          </w:tcPr>
          <w:p w14:paraId="68840C0E" w14:textId="2EAE1898" w:rsidR="00366D1B" w:rsidRPr="00BE23FA" w:rsidRDefault="00F56CA7"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US"/>
              </w:rPr>
              <w:t>Roditi and Starkovich 2022</w:t>
            </w:r>
          </w:p>
        </w:tc>
      </w:tr>
      <w:tr w:rsidR="00366D1B" w:rsidRPr="00BE23FA" w14:paraId="001410BE" w14:textId="77777777" w:rsidTr="00366D1B">
        <w:tc>
          <w:tcPr>
            <w:tcW w:w="1672" w:type="dxa"/>
          </w:tcPr>
          <w:p w14:paraId="2BF64D69" w14:textId="5774B51D" w:rsidR="00366D1B" w:rsidRPr="00BE23FA" w:rsidRDefault="00366D1B"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lang w:val="en-GB"/>
              </w:rPr>
              <w:t>Baume-Vallée, Abri Laborde</w:t>
            </w:r>
          </w:p>
        </w:tc>
        <w:tc>
          <w:tcPr>
            <w:tcW w:w="1672" w:type="dxa"/>
          </w:tcPr>
          <w:p w14:paraId="2304834C" w14:textId="466DBD85" w:rsidR="00366D1B" w:rsidRPr="00BE23FA" w:rsidRDefault="000F027E" w:rsidP="00BE23FA">
            <w:pPr>
              <w:pStyle w:val="ListParagraph"/>
              <w:spacing w:line="360" w:lineRule="auto"/>
              <w:ind w:left="0"/>
              <w:jc w:val="both"/>
              <w:rPr>
                <w:rFonts w:ascii="Times New Roman" w:hAnsi="Times New Roman" w:cs="Times New Roman"/>
                <w:lang w:val="en-US"/>
              </w:rPr>
            </w:pPr>
            <w:r w:rsidRPr="00BE23FA">
              <w:rPr>
                <w:rFonts w:ascii="Times New Roman" w:hAnsi="Times New Roman" w:cs="Times New Roman"/>
                <w:lang w:val="en-US"/>
              </w:rPr>
              <w:t>Units 0, 1 and 2</w:t>
            </w:r>
          </w:p>
        </w:tc>
        <w:tc>
          <w:tcPr>
            <w:tcW w:w="1672" w:type="dxa"/>
          </w:tcPr>
          <w:p w14:paraId="7F2DBF64" w14:textId="343C2180"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3.883</w:t>
            </w:r>
          </w:p>
        </w:tc>
        <w:tc>
          <w:tcPr>
            <w:tcW w:w="1672" w:type="dxa"/>
          </w:tcPr>
          <w:p w14:paraId="191455CB" w14:textId="3CA815FA"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44.967</w:t>
            </w:r>
          </w:p>
        </w:tc>
        <w:tc>
          <w:tcPr>
            <w:tcW w:w="2699" w:type="dxa"/>
          </w:tcPr>
          <w:p w14:paraId="3C2C06F7" w14:textId="207A19DB" w:rsidR="00366D1B" w:rsidRPr="00BE23FA" w:rsidRDefault="00DF3FB5"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Raynal</w:t>
            </w:r>
            <w:r w:rsidR="00120714" w:rsidRPr="00BE23FA">
              <w:rPr>
                <w:rFonts w:ascii="Times New Roman" w:hAnsi="Times New Roman" w:cs="Times New Roman"/>
                <w:lang w:val="nb-NO"/>
              </w:rPr>
              <w:t xml:space="preserve"> and Decroix</w:t>
            </w:r>
            <w:r w:rsidRPr="00BE23FA">
              <w:rPr>
                <w:rFonts w:ascii="Times New Roman" w:hAnsi="Times New Roman" w:cs="Times New Roman"/>
                <w:lang w:val="nb-NO"/>
              </w:rPr>
              <w:t xml:space="preserve"> 1986; Fiore et al. 2005; Raynal et al. 2005; </w:t>
            </w:r>
            <w:r w:rsidR="00F56CA7" w:rsidRPr="00BE23FA">
              <w:rPr>
                <w:rFonts w:ascii="Times New Roman" w:hAnsi="Times New Roman" w:cs="Times New Roman"/>
                <w:lang w:val="nb-NO"/>
              </w:rPr>
              <w:t>Daujeard et al. 2012</w:t>
            </w:r>
          </w:p>
        </w:tc>
      </w:tr>
      <w:tr w:rsidR="00366D1B" w:rsidRPr="00BE23FA" w14:paraId="56E19923" w14:textId="77777777" w:rsidTr="00366D1B">
        <w:tc>
          <w:tcPr>
            <w:tcW w:w="1672" w:type="dxa"/>
          </w:tcPr>
          <w:p w14:paraId="1CD308CA" w14:textId="64702CFF"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Bérigoules</w:t>
            </w:r>
          </w:p>
        </w:tc>
        <w:tc>
          <w:tcPr>
            <w:tcW w:w="1672" w:type="dxa"/>
          </w:tcPr>
          <w:p w14:paraId="6704F6F6" w14:textId="14971398"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I</w:t>
            </w:r>
          </w:p>
        </w:tc>
        <w:tc>
          <w:tcPr>
            <w:tcW w:w="1672" w:type="dxa"/>
          </w:tcPr>
          <w:p w14:paraId="44833114" w14:textId="1E2D1FEC"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5,2547</w:t>
            </w:r>
          </w:p>
        </w:tc>
        <w:tc>
          <w:tcPr>
            <w:tcW w:w="1672" w:type="dxa"/>
          </w:tcPr>
          <w:p w14:paraId="77FEB3D0" w14:textId="419DB611"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43,98425</w:t>
            </w:r>
          </w:p>
        </w:tc>
        <w:tc>
          <w:tcPr>
            <w:tcW w:w="2699" w:type="dxa"/>
          </w:tcPr>
          <w:p w14:paraId="014533D1" w14:textId="1B5CC012" w:rsidR="00366D1B" w:rsidRPr="00BE23FA" w:rsidRDefault="00F56CA7"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en-US"/>
              </w:rPr>
              <w:t>Richter et al. 2007; Vermeersch 2025</w:t>
            </w:r>
          </w:p>
        </w:tc>
      </w:tr>
      <w:tr w:rsidR="00366D1B" w:rsidRPr="00BE23FA" w14:paraId="59BD19BD" w14:textId="77777777" w:rsidTr="00366D1B">
        <w:tc>
          <w:tcPr>
            <w:tcW w:w="1672" w:type="dxa"/>
          </w:tcPr>
          <w:p w14:paraId="41582040" w14:textId="58283993"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Bérigoules</w:t>
            </w:r>
          </w:p>
        </w:tc>
        <w:tc>
          <w:tcPr>
            <w:tcW w:w="1672" w:type="dxa"/>
          </w:tcPr>
          <w:p w14:paraId="6CDA0ADE" w14:textId="17EDD660"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II</w:t>
            </w:r>
          </w:p>
        </w:tc>
        <w:tc>
          <w:tcPr>
            <w:tcW w:w="1672" w:type="dxa"/>
          </w:tcPr>
          <w:p w14:paraId="03DFDBC4" w14:textId="054662FB"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5,2547</w:t>
            </w:r>
          </w:p>
        </w:tc>
        <w:tc>
          <w:tcPr>
            <w:tcW w:w="1672" w:type="dxa"/>
          </w:tcPr>
          <w:p w14:paraId="3DFE9E15" w14:textId="2E17F97D"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43,98425</w:t>
            </w:r>
          </w:p>
        </w:tc>
        <w:tc>
          <w:tcPr>
            <w:tcW w:w="2699" w:type="dxa"/>
          </w:tcPr>
          <w:p w14:paraId="6C036817" w14:textId="710E1A16" w:rsidR="00366D1B" w:rsidRPr="00BE23FA" w:rsidRDefault="00F56CA7"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en-US"/>
              </w:rPr>
              <w:t>Richter et al. 2007; Vermeersch 2025</w:t>
            </w:r>
          </w:p>
        </w:tc>
      </w:tr>
      <w:tr w:rsidR="00366D1B" w:rsidRPr="00BE23FA" w14:paraId="42126F77" w14:textId="77777777" w:rsidTr="00366D1B">
        <w:tc>
          <w:tcPr>
            <w:tcW w:w="1672" w:type="dxa"/>
          </w:tcPr>
          <w:p w14:paraId="46914A57" w14:textId="0CC810D8"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Bisnik Cave</w:t>
            </w:r>
          </w:p>
        </w:tc>
        <w:tc>
          <w:tcPr>
            <w:tcW w:w="1672" w:type="dxa"/>
          </w:tcPr>
          <w:p w14:paraId="4EDDCDE9" w14:textId="593CC41A"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10</w:t>
            </w:r>
          </w:p>
        </w:tc>
        <w:tc>
          <w:tcPr>
            <w:tcW w:w="1672" w:type="dxa"/>
          </w:tcPr>
          <w:p w14:paraId="2E314979" w14:textId="15B78BC8"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19,66</w:t>
            </w:r>
          </w:p>
        </w:tc>
        <w:tc>
          <w:tcPr>
            <w:tcW w:w="1672" w:type="dxa"/>
          </w:tcPr>
          <w:p w14:paraId="33DC7B07" w14:textId="139EBFF9"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50,43</w:t>
            </w:r>
          </w:p>
        </w:tc>
        <w:tc>
          <w:tcPr>
            <w:tcW w:w="2699" w:type="dxa"/>
          </w:tcPr>
          <w:p w14:paraId="2C688DBE" w14:textId="450B9FC6" w:rsidR="00366D1B" w:rsidRPr="00BE23FA" w:rsidRDefault="008E476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en-US"/>
              </w:rPr>
              <w:t>Cyrek et al. 2010</w:t>
            </w:r>
          </w:p>
        </w:tc>
      </w:tr>
      <w:tr w:rsidR="00366D1B" w:rsidRPr="00BE23FA" w14:paraId="3F5EC64A" w14:textId="77777777" w:rsidTr="00366D1B">
        <w:tc>
          <w:tcPr>
            <w:tcW w:w="1672" w:type="dxa"/>
          </w:tcPr>
          <w:p w14:paraId="584AFFF8" w14:textId="3E3526EF"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Bollschweil</w:t>
            </w:r>
          </w:p>
        </w:tc>
        <w:tc>
          <w:tcPr>
            <w:tcW w:w="1672" w:type="dxa"/>
          </w:tcPr>
          <w:p w14:paraId="504AC1D5" w14:textId="218E7DD0"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1</w:t>
            </w:r>
          </w:p>
        </w:tc>
        <w:tc>
          <w:tcPr>
            <w:tcW w:w="1672" w:type="dxa"/>
          </w:tcPr>
          <w:p w14:paraId="5EFAE211" w14:textId="50717D8E"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7,78</w:t>
            </w:r>
          </w:p>
        </w:tc>
        <w:tc>
          <w:tcPr>
            <w:tcW w:w="1672" w:type="dxa"/>
          </w:tcPr>
          <w:p w14:paraId="59BF9046" w14:textId="3EDE3179"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47,93</w:t>
            </w:r>
          </w:p>
        </w:tc>
        <w:tc>
          <w:tcPr>
            <w:tcW w:w="2699" w:type="dxa"/>
          </w:tcPr>
          <w:p w14:paraId="250EAF10" w14:textId="69FD4A6A" w:rsidR="00366D1B" w:rsidRPr="00BE23FA" w:rsidRDefault="008E476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en-US"/>
              </w:rPr>
              <w:t>Rink et al. 2002</w:t>
            </w:r>
          </w:p>
        </w:tc>
      </w:tr>
      <w:tr w:rsidR="00366D1B" w:rsidRPr="00BE23FA" w14:paraId="509765FC" w14:textId="77777777" w:rsidTr="00366D1B">
        <w:tc>
          <w:tcPr>
            <w:tcW w:w="1672" w:type="dxa"/>
          </w:tcPr>
          <w:p w14:paraId="72B143E2" w14:textId="4D6E91C2"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Buena Pinta</w:t>
            </w:r>
          </w:p>
        </w:tc>
        <w:tc>
          <w:tcPr>
            <w:tcW w:w="1672" w:type="dxa"/>
          </w:tcPr>
          <w:p w14:paraId="15863262" w14:textId="4D8EF1BA"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3</w:t>
            </w:r>
          </w:p>
        </w:tc>
        <w:tc>
          <w:tcPr>
            <w:tcW w:w="1672" w:type="dxa"/>
          </w:tcPr>
          <w:p w14:paraId="5847A80D" w14:textId="42660638"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-3,82037</w:t>
            </w:r>
          </w:p>
        </w:tc>
        <w:tc>
          <w:tcPr>
            <w:tcW w:w="1672" w:type="dxa"/>
          </w:tcPr>
          <w:p w14:paraId="5006DB61" w14:textId="07D2D563"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40,9265</w:t>
            </w:r>
          </w:p>
        </w:tc>
        <w:tc>
          <w:tcPr>
            <w:tcW w:w="2699" w:type="dxa"/>
          </w:tcPr>
          <w:p w14:paraId="321AFE38" w14:textId="57F62DB6" w:rsidR="00366D1B" w:rsidRPr="00BE23FA" w:rsidRDefault="00BA73D9"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rPr>
              <w:t>Torres et al. 2014</w:t>
            </w:r>
          </w:p>
        </w:tc>
      </w:tr>
      <w:tr w:rsidR="00366D1B" w:rsidRPr="00BE23FA" w14:paraId="04C5A2AB" w14:textId="77777777" w:rsidTr="00366D1B">
        <w:tc>
          <w:tcPr>
            <w:tcW w:w="1672" w:type="dxa"/>
          </w:tcPr>
          <w:p w14:paraId="5B3064DD" w14:textId="15DC6C16"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Can Costella</w:t>
            </w:r>
          </w:p>
        </w:tc>
        <w:tc>
          <w:tcPr>
            <w:tcW w:w="1672" w:type="dxa"/>
          </w:tcPr>
          <w:p w14:paraId="6A9A56D6" w14:textId="442B4CDA" w:rsidR="00366D1B" w:rsidRPr="00BE23FA" w:rsidRDefault="00366D1B" w:rsidP="00BE23FA">
            <w:pPr>
              <w:pStyle w:val="ListParagraph"/>
              <w:spacing w:line="360" w:lineRule="auto"/>
              <w:ind w:left="0"/>
              <w:jc w:val="both"/>
              <w:rPr>
                <w:rFonts w:ascii="Times New Roman" w:hAnsi="Times New Roman" w:cs="Times New Roman"/>
                <w:u w:val="single"/>
                <w:lang w:val="nb-NO"/>
              </w:rPr>
            </w:pPr>
          </w:p>
        </w:tc>
        <w:tc>
          <w:tcPr>
            <w:tcW w:w="1672" w:type="dxa"/>
          </w:tcPr>
          <w:p w14:paraId="3E0246CE" w14:textId="6D05CCB9"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1,66542</w:t>
            </w:r>
          </w:p>
        </w:tc>
        <w:tc>
          <w:tcPr>
            <w:tcW w:w="1672" w:type="dxa"/>
          </w:tcPr>
          <w:p w14:paraId="7863185C" w14:textId="19505147"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41,45883</w:t>
            </w:r>
          </w:p>
        </w:tc>
        <w:tc>
          <w:tcPr>
            <w:tcW w:w="2699" w:type="dxa"/>
          </w:tcPr>
          <w:p w14:paraId="0CAA8539" w14:textId="10BB908F" w:rsidR="00366D1B" w:rsidRPr="00BE23FA" w:rsidRDefault="00041702" w:rsidP="00BE23FA">
            <w:pPr>
              <w:pStyle w:val="ListParagraph"/>
              <w:spacing w:line="360" w:lineRule="auto"/>
              <w:ind w:left="0"/>
              <w:jc w:val="both"/>
              <w:rPr>
                <w:rFonts w:ascii="Times New Roman" w:hAnsi="Times New Roman" w:cs="Times New Roman"/>
              </w:rPr>
            </w:pPr>
            <w:r w:rsidRPr="00BE23FA">
              <w:rPr>
                <w:rFonts w:ascii="Times New Roman" w:hAnsi="Times New Roman" w:cs="Times New Roman"/>
              </w:rPr>
              <w:t>Bonet Avalos et al. 1993; Estévez et al. 1996</w:t>
            </w:r>
          </w:p>
        </w:tc>
      </w:tr>
      <w:tr w:rsidR="00366D1B" w:rsidRPr="00BE23FA" w14:paraId="7FF25BFE" w14:textId="77777777" w:rsidTr="00366D1B">
        <w:tc>
          <w:tcPr>
            <w:tcW w:w="1672" w:type="dxa"/>
          </w:tcPr>
          <w:p w14:paraId="2CFE2E1F" w14:textId="1050ABFE"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Can Garriga</w:t>
            </w:r>
          </w:p>
        </w:tc>
        <w:tc>
          <w:tcPr>
            <w:tcW w:w="1672" w:type="dxa"/>
          </w:tcPr>
          <w:p w14:paraId="2E3C375A" w14:textId="01E2EC92" w:rsidR="00366D1B" w:rsidRPr="00BE23FA" w:rsidRDefault="00366D1B" w:rsidP="00BE23FA">
            <w:pPr>
              <w:pStyle w:val="ListParagraph"/>
              <w:spacing w:line="360" w:lineRule="auto"/>
              <w:ind w:left="0"/>
              <w:jc w:val="both"/>
              <w:rPr>
                <w:rFonts w:ascii="Times New Roman" w:hAnsi="Times New Roman" w:cs="Times New Roman"/>
                <w:u w:val="single"/>
                <w:lang w:val="nb-NO"/>
              </w:rPr>
            </w:pPr>
          </w:p>
        </w:tc>
        <w:tc>
          <w:tcPr>
            <w:tcW w:w="1672" w:type="dxa"/>
          </w:tcPr>
          <w:p w14:paraId="5724343C" w14:textId="2DA8854E"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2,83157</w:t>
            </w:r>
          </w:p>
        </w:tc>
        <w:tc>
          <w:tcPr>
            <w:tcW w:w="1672" w:type="dxa"/>
          </w:tcPr>
          <w:p w14:paraId="22F4D903" w14:textId="138E3AF5"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42,0294</w:t>
            </w:r>
          </w:p>
        </w:tc>
        <w:tc>
          <w:tcPr>
            <w:tcW w:w="2699" w:type="dxa"/>
          </w:tcPr>
          <w:p w14:paraId="2635FB31" w14:textId="25567B9C" w:rsidR="00366D1B" w:rsidRPr="00BE23FA" w:rsidRDefault="00E236FF"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rPr>
              <w:t>Garcia 2015</w:t>
            </w:r>
          </w:p>
        </w:tc>
      </w:tr>
      <w:tr w:rsidR="00366D1B" w:rsidRPr="00BE23FA" w14:paraId="2F312EB0" w14:textId="77777777" w:rsidTr="00366D1B">
        <w:tc>
          <w:tcPr>
            <w:tcW w:w="1672" w:type="dxa"/>
          </w:tcPr>
          <w:p w14:paraId="0FC00D45" w14:textId="345F75F3"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Carihuela</w:t>
            </w:r>
          </w:p>
        </w:tc>
        <w:tc>
          <w:tcPr>
            <w:tcW w:w="1672" w:type="dxa"/>
          </w:tcPr>
          <w:p w14:paraId="55C9DC6B" w14:textId="2E578D99"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VIIb-1</w:t>
            </w:r>
          </w:p>
        </w:tc>
        <w:tc>
          <w:tcPr>
            <w:tcW w:w="1672" w:type="dxa"/>
          </w:tcPr>
          <w:p w14:paraId="3C19D23B" w14:textId="7F5D6253"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-3,43312</w:t>
            </w:r>
          </w:p>
        </w:tc>
        <w:tc>
          <w:tcPr>
            <w:tcW w:w="1672" w:type="dxa"/>
          </w:tcPr>
          <w:p w14:paraId="45A307B6" w14:textId="4AA10B6D"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37,444077</w:t>
            </w:r>
          </w:p>
        </w:tc>
        <w:tc>
          <w:tcPr>
            <w:tcW w:w="2699" w:type="dxa"/>
          </w:tcPr>
          <w:p w14:paraId="1A6BA8A3" w14:textId="31F8BF54" w:rsidR="00366D1B" w:rsidRPr="00BE23FA" w:rsidRDefault="008E476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kern w:val="0"/>
              </w:rPr>
              <w:t>Carrión et al. 2019</w:t>
            </w:r>
          </w:p>
        </w:tc>
      </w:tr>
      <w:tr w:rsidR="00366D1B" w:rsidRPr="00BE23FA" w14:paraId="5F20DDE3" w14:textId="77777777" w:rsidTr="00366D1B">
        <w:tc>
          <w:tcPr>
            <w:tcW w:w="1672" w:type="dxa"/>
          </w:tcPr>
          <w:p w14:paraId="0CD8D5A1" w14:textId="3ECC3663"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Carihuela</w:t>
            </w:r>
          </w:p>
        </w:tc>
        <w:tc>
          <w:tcPr>
            <w:tcW w:w="1672" w:type="dxa"/>
          </w:tcPr>
          <w:p w14:paraId="75884419" w14:textId="6C154D42"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VIIb-2</w:t>
            </w:r>
          </w:p>
        </w:tc>
        <w:tc>
          <w:tcPr>
            <w:tcW w:w="1672" w:type="dxa"/>
          </w:tcPr>
          <w:p w14:paraId="07A95F48" w14:textId="5CA79ABE"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-3,43312</w:t>
            </w:r>
          </w:p>
        </w:tc>
        <w:tc>
          <w:tcPr>
            <w:tcW w:w="1672" w:type="dxa"/>
          </w:tcPr>
          <w:p w14:paraId="07B90BBA" w14:textId="7F58B06D"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37,444077</w:t>
            </w:r>
          </w:p>
        </w:tc>
        <w:tc>
          <w:tcPr>
            <w:tcW w:w="2699" w:type="dxa"/>
          </w:tcPr>
          <w:p w14:paraId="61038562" w14:textId="2ED0B6E2" w:rsidR="00366D1B" w:rsidRPr="00BE23FA" w:rsidRDefault="008E476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kern w:val="0"/>
              </w:rPr>
              <w:t>Carrión et al. 2019</w:t>
            </w:r>
          </w:p>
        </w:tc>
      </w:tr>
      <w:tr w:rsidR="00366D1B" w:rsidRPr="00BE23FA" w14:paraId="0A4565A8" w14:textId="77777777" w:rsidTr="00366D1B">
        <w:tc>
          <w:tcPr>
            <w:tcW w:w="1672" w:type="dxa"/>
          </w:tcPr>
          <w:p w14:paraId="34617178" w14:textId="6E249A53"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Carihuela</w:t>
            </w:r>
          </w:p>
        </w:tc>
        <w:tc>
          <w:tcPr>
            <w:tcW w:w="1672" w:type="dxa"/>
          </w:tcPr>
          <w:p w14:paraId="194AD03A" w14:textId="1FE5B4B4"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CIII 3-X</w:t>
            </w:r>
          </w:p>
        </w:tc>
        <w:tc>
          <w:tcPr>
            <w:tcW w:w="1672" w:type="dxa"/>
          </w:tcPr>
          <w:p w14:paraId="66230D6C" w14:textId="4A6EFA09"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-3,43312</w:t>
            </w:r>
          </w:p>
        </w:tc>
        <w:tc>
          <w:tcPr>
            <w:tcW w:w="1672" w:type="dxa"/>
          </w:tcPr>
          <w:p w14:paraId="69C6C598" w14:textId="6F40C332"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37,444077</w:t>
            </w:r>
          </w:p>
        </w:tc>
        <w:tc>
          <w:tcPr>
            <w:tcW w:w="2699" w:type="dxa"/>
          </w:tcPr>
          <w:p w14:paraId="09973E80" w14:textId="5AF523E0" w:rsidR="00366D1B" w:rsidRPr="00BE23FA" w:rsidRDefault="008E476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kern w:val="0"/>
              </w:rPr>
              <w:t>Carrión et al. 2019</w:t>
            </w:r>
          </w:p>
        </w:tc>
      </w:tr>
      <w:tr w:rsidR="00366D1B" w:rsidRPr="00BE23FA" w14:paraId="66740ADF" w14:textId="77777777" w:rsidTr="00366D1B">
        <w:tc>
          <w:tcPr>
            <w:tcW w:w="1672" w:type="dxa"/>
          </w:tcPr>
          <w:p w14:paraId="23599781" w14:textId="7A3E1117"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Caverna delle Fate</w:t>
            </w:r>
          </w:p>
        </w:tc>
        <w:tc>
          <w:tcPr>
            <w:tcW w:w="1672" w:type="dxa"/>
          </w:tcPr>
          <w:p w14:paraId="3F15EF8D" w14:textId="3A229751" w:rsidR="00366D1B" w:rsidRPr="00BE23FA" w:rsidRDefault="00366D1B" w:rsidP="00BE23FA">
            <w:pPr>
              <w:pStyle w:val="ListParagraph"/>
              <w:spacing w:line="360" w:lineRule="auto"/>
              <w:ind w:left="0"/>
              <w:jc w:val="both"/>
              <w:rPr>
                <w:rFonts w:ascii="Times New Roman" w:hAnsi="Times New Roman" w:cs="Times New Roman"/>
                <w:u w:val="single"/>
                <w:lang w:val="nb-NO"/>
              </w:rPr>
            </w:pPr>
          </w:p>
        </w:tc>
        <w:tc>
          <w:tcPr>
            <w:tcW w:w="1672" w:type="dxa"/>
          </w:tcPr>
          <w:p w14:paraId="4793DD32" w14:textId="7F42C70C"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8,3675</w:t>
            </w:r>
          </w:p>
        </w:tc>
        <w:tc>
          <w:tcPr>
            <w:tcW w:w="1672" w:type="dxa"/>
          </w:tcPr>
          <w:p w14:paraId="0E99B35D" w14:textId="505AE122"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44,19583</w:t>
            </w:r>
          </w:p>
        </w:tc>
        <w:tc>
          <w:tcPr>
            <w:tcW w:w="2699" w:type="dxa"/>
          </w:tcPr>
          <w:p w14:paraId="3982B55A" w14:textId="096E4150" w:rsidR="00366D1B" w:rsidRPr="00BE23FA" w:rsidRDefault="008E476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rPr>
              <w:t>Valensi and Psathi 2004; Vermeersch 2025</w:t>
            </w:r>
          </w:p>
        </w:tc>
      </w:tr>
      <w:tr w:rsidR="00366D1B" w:rsidRPr="00BE23FA" w14:paraId="1409346A" w14:textId="77777777" w:rsidTr="00366D1B">
        <w:tc>
          <w:tcPr>
            <w:tcW w:w="1672" w:type="dxa"/>
          </w:tcPr>
          <w:p w14:paraId="0CD1EA4D" w14:textId="57EE8BE3"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Cedres</w:t>
            </w:r>
          </w:p>
        </w:tc>
        <w:tc>
          <w:tcPr>
            <w:tcW w:w="1672" w:type="dxa"/>
          </w:tcPr>
          <w:p w14:paraId="6C1644EA" w14:textId="4F13C771"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II</w:t>
            </w:r>
          </w:p>
        </w:tc>
        <w:tc>
          <w:tcPr>
            <w:tcW w:w="1672" w:type="dxa"/>
          </w:tcPr>
          <w:p w14:paraId="2D5EC703" w14:textId="0CB805C2"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5,71667</w:t>
            </w:r>
          </w:p>
        </w:tc>
        <w:tc>
          <w:tcPr>
            <w:tcW w:w="1672" w:type="dxa"/>
          </w:tcPr>
          <w:p w14:paraId="28057743" w14:textId="4166CDB1"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43,33333</w:t>
            </w:r>
          </w:p>
        </w:tc>
        <w:tc>
          <w:tcPr>
            <w:tcW w:w="2699" w:type="dxa"/>
          </w:tcPr>
          <w:p w14:paraId="74BD0F84" w14:textId="08DB7A11" w:rsidR="00366D1B" w:rsidRPr="00BE23FA" w:rsidRDefault="00FB6FBE" w:rsidP="00BE23FA">
            <w:pPr>
              <w:pStyle w:val="ListParagraph"/>
              <w:spacing w:line="360" w:lineRule="auto"/>
              <w:ind w:left="0"/>
              <w:jc w:val="both"/>
              <w:rPr>
                <w:rFonts w:ascii="Times New Roman" w:hAnsi="Times New Roman" w:cs="Times New Roman"/>
                <w:lang w:val="nb-NO"/>
              </w:rPr>
            </w:pPr>
            <w:r w:rsidRPr="00BE23FA">
              <w:rPr>
                <w:rFonts w:ascii="Times New Roman" w:hAnsi="Times New Roman" w:cs="Times New Roman"/>
              </w:rPr>
              <w:t>Valladas et al. 1999</w:t>
            </w:r>
          </w:p>
        </w:tc>
      </w:tr>
      <w:tr w:rsidR="00366D1B" w:rsidRPr="00BE23FA" w14:paraId="3FAD0428" w14:textId="77777777" w:rsidTr="00366D1B">
        <w:tc>
          <w:tcPr>
            <w:tcW w:w="1672" w:type="dxa"/>
          </w:tcPr>
          <w:p w14:paraId="402C8AEB" w14:textId="44CD877F"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Cedres</w:t>
            </w:r>
          </w:p>
        </w:tc>
        <w:tc>
          <w:tcPr>
            <w:tcW w:w="1672" w:type="dxa"/>
          </w:tcPr>
          <w:p w14:paraId="07DA2CFF" w14:textId="2E7E8A3E"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III</w:t>
            </w:r>
          </w:p>
        </w:tc>
        <w:tc>
          <w:tcPr>
            <w:tcW w:w="1672" w:type="dxa"/>
          </w:tcPr>
          <w:p w14:paraId="57FCDB06" w14:textId="1A05C5A6"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5,71667</w:t>
            </w:r>
          </w:p>
        </w:tc>
        <w:tc>
          <w:tcPr>
            <w:tcW w:w="1672" w:type="dxa"/>
          </w:tcPr>
          <w:p w14:paraId="1A6B4B5A" w14:textId="3798FE75"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43,33333</w:t>
            </w:r>
          </w:p>
        </w:tc>
        <w:tc>
          <w:tcPr>
            <w:tcW w:w="2699" w:type="dxa"/>
          </w:tcPr>
          <w:p w14:paraId="21366AD4" w14:textId="23E25DEE" w:rsidR="00366D1B" w:rsidRPr="00BE23FA" w:rsidRDefault="00FB6FBE" w:rsidP="00BE23FA">
            <w:pPr>
              <w:pStyle w:val="ListParagraph"/>
              <w:spacing w:line="360" w:lineRule="auto"/>
              <w:ind w:left="0"/>
              <w:jc w:val="both"/>
              <w:rPr>
                <w:rFonts w:ascii="Times New Roman" w:hAnsi="Times New Roman" w:cs="Times New Roman"/>
                <w:lang w:val="nb-NO"/>
              </w:rPr>
            </w:pPr>
            <w:r w:rsidRPr="00BE23FA">
              <w:rPr>
                <w:rFonts w:ascii="Times New Roman" w:hAnsi="Times New Roman" w:cs="Times New Roman"/>
              </w:rPr>
              <w:t>Valladas et al. 1999</w:t>
            </w:r>
          </w:p>
        </w:tc>
      </w:tr>
      <w:tr w:rsidR="00366D1B" w:rsidRPr="00BE23FA" w14:paraId="7507BCEB" w14:textId="77777777" w:rsidTr="00366D1B">
        <w:tc>
          <w:tcPr>
            <w:tcW w:w="1672" w:type="dxa"/>
          </w:tcPr>
          <w:p w14:paraId="6B8554C3" w14:textId="1CD69F42"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Chez-Pinaud I</w:t>
            </w:r>
          </w:p>
        </w:tc>
        <w:tc>
          <w:tcPr>
            <w:tcW w:w="1672" w:type="dxa"/>
          </w:tcPr>
          <w:p w14:paraId="75119BB2" w14:textId="06693CE5"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22</w:t>
            </w:r>
          </w:p>
        </w:tc>
        <w:tc>
          <w:tcPr>
            <w:tcW w:w="1672" w:type="dxa"/>
          </w:tcPr>
          <w:p w14:paraId="3F8EFA5E" w14:textId="71521DBA"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-0,41926</w:t>
            </w:r>
          </w:p>
        </w:tc>
        <w:tc>
          <w:tcPr>
            <w:tcW w:w="1672" w:type="dxa"/>
          </w:tcPr>
          <w:p w14:paraId="6B27C7FB" w14:textId="41593B38"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45,43733</w:t>
            </w:r>
          </w:p>
        </w:tc>
        <w:tc>
          <w:tcPr>
            <w:tcW w:w="2699" w:type="dxa"/>
          </w:tcPr>
          <w:p w14:paraId="702FCE3C" w14:textId="3019E2D3" w:rsidR="00366D1B" w:rsidRPr="00BE23FA" w:rsidRDefault="008E476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Niven et al. 2012; Richter et al. 2013</w:t>
            </w:r>
          </w:p>
        </w:tc>
      </w:tr>
      <w:tr w:rsidR="00366D1B" w:rsidRPr="00BE23FA" w14:paraId="30765A9A" w14:textId="77777777" w:rsidTr="00366D1B">
        <w:tc>
          <w:tcPr>
            <w:tcW w:w="1672" w:type="dxa"/>
          </w:tcPr>
          <w:p w14:paraId="44E77D94" w14:textId="333E509E"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Corazón</w:t>
            </w:r>
          </w:p>
        </w:tc>
        <w:tc>
          <w:tcPr>
            <w:tcW w:w="1672" w:type="dxa"/>
          </w:tcPr>
          <w:p w14:paraId="7FC97A7E" w14:textId="4C963C8B"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2</w:t>
            </w:r>
          </w:p>
        </w:tc>
        <w:tc>
          <w:tcPr>
            <w:tcW w:w="1672" w:type="dxa"/>
          </w:tcPr>
          <w:p w14:paraId="6F6D2AE8" w14:textId="481FF342"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-4,2682</w:t>
            </w:r>
          </w:p>
        </w:tc>
        <w:tc>
          <w:tcPr>
            <w:tcW w:w="1672" w:type="dxa"/>
          </w:tcPr>
          <w:p w14:paraId="4A13FF4A" w14:textId="55056E19"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42,74503</w:t>
            </w:r>
          </w:p>
        </w:tc>
        <w:tc>
          <w:tcPr>
            <w:tcW w:w="2699" w:type="dxa"/>
          </w:tcPr>
          <w:p w14:paraId="7C35A135" w14:textId="29B96428" w:rsidR="00366D1B" w:rsidRPr="00BE23FA" w:rsidRDefault="005D0BFE"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en-US"/>
              </w:rPr>
              <w:t>Sanchez Yustos et al. 2011</w:t>
            </w:r>
          </w:p>
        </w:tc>
      </w:tr>
      <w:tr w:rsidR="00366D1B" w:rsidRPr="00BE23FA" w14:paraId="7AB79AD6" w14:textId="77777777" w:rsidTr="00366D1B">
        <w:tc>
          <w:tcPr>
            <w:tcW w:w="1672" w:type="dxa"/>
          </w:tcPr>
          <w:p w14:paraId="1A2CEEB2" w14:textId="37D01DCD"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Cotte Saint Brelade</w:t>
            </w:r>
          </w:p>
        </w:tc>
        <w:tc>
          <w:tcPr>
            <w:tcW w:w="1672" w:type="dxa"/>
          </w:tcPr>
          <w:p w14:paraId="48CDE5BA" w14:textId="0D825110"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III</w:t>
            </w:r>
          </w:p>
        </w:tc>
        <w:tc>
          <w:tcPr>
            <w:tcW w:w="1672" w:type="dxa"/>
          </w:tcPr>
          <w:p w14:paraId="1DF2D9DA" w14:textId="700EF808"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-2,02</w:t>
            </w:r>
          </w:p>
        </w:tc>
        <w:tc>
          <w:tcPr>
            <w:tcW w:w="1672" w:type="dxa"/>
          </w:tcPr>
          <w:p w14:paraId="089C4C67" w14:textId="198D9AFA"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49,185</w:t>
            </w:r>
          </w:p>
        </w:tc>
        <w:tc>
          <w:tcPr>
            <w:tcW w:w="2699" w:type="dxa"/>
          </w:tcPr>
          <w:p w14:paraId="6F2BB47A" w14:textId="34978FCB" w:rsidR="00366D1B" w:rsidRPr="00BE23FA" w:rsidRDefault="008E476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Bates et al. 2013; Kandel et al. 2023</w:t>
            </w:r>
          </w:p>
        </w:tc>
      </w:tr>
      <w:tr w:rsidR="00366D1B" w:rsidRPr="00BE23FA" w14:paraId="17067167" w14:textId="77777777" w:rsidTr="00366D1B">
        <w:tc>
          <w:tcPr>
            <w:tcW w:w="1672" w:type="dxa"/>
          </w:tcPr>
          <w:p w14:paraId="70BC00F2" w14:textId="0F5C48DA"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Cotte Saint Brelade</w:t>
            </w:r>
          </w:p>
        </w:tc>
        <w:tc>
          <w:tcPr>
            <w:tcW w:w="1672" w:type="dxa"/>
          </w:tcPr>
          <w:p w14:paraId="777D31D5" w14:textId="7DDD3FD5" w:rsidR="00366D1B" w:rsidRPr="00BE23FA" w:rsidRDefault="005D0BFE"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I</w:t>
            </w:r>
            <w:r w:rsidR="00366D1B" w:rsidRPr="00BE23FA">
              <w:rPr>
                <w:rFonts w:ascii="Times New Roman" w:hAnsi="Times New Roman" w:cs="Times New Roman"/>
                <w:lang w:val="nb-NO"/>
              </w:rPr>
              <w:t>V</w:t>
            </w:r>
          </w:p>
        </w:tc>
        <w:tc>
          <w:tcPr>
            <w:tcW w:w="1672" w:type="dxa"/>
          </w:tcPr>
          <w:p w14:paraId="18EDA434" w14:textId="1C5DF5AA"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-2,02</w:t>
            </w:r>
          </w:p>
        </w:tc>
        <w:tc>
          <w:tcPr>
            <w:tcW w:w="1672" w:type="dxa"/>
          </w:tcPr>
          <w:p w14:paraId="6FC1210D" w14:textId="10EC899C"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49,185</w:t>
            </w:r>
          </w:p>
        </w:tc>
        <w:tc>
          <w:tcPr>
            <w:tcW w:w="2699" w:type="dxa"/>
          </w:tcPr>
          <w:p w14:paraId="5F1DD879" w14:textId="357427E1" w:rsidR="00366D1B" w:rsidRPr="00BE23FA" w:rsidRDefault="008E476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Bates et al. 2013; Kandel et al. 2023</w:t>
            </w:r>
          </w:p>
        </w:tc>
      </w:tr>
      <w:tr w:rsidR="00366D1B" w:rsidRPr="00BE23FA" w14:paraId="309183D2" w14:textId="77777777" w:rsidTr="00366D1B">
        <w:tc>
          <w:tcPr>
            <w:tcW w:w="1672" w:type="dxa"/>
          </w:tcPr>
          <w:p w14:paraId="2F5778DE" w14:textId="50118191"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Cova Eir</w:t>
            </w:r>
            <w:r w:rsidR="005D0BFE" w:rsidRPr="00BE23FA">
              <w:rPr>
                <w:rFonts w:ascii="Times New Roman" w:hAnsi="Times New Roman" w:cs="Times New Roman"/>
              </w:rPr>
              <w:t>ó</w:t>
            </w:r>
            <w:r w:rsidRPr="00BE23FA">
              <w:rPr>
                <w:rFonts w:ascii="Times New Roman" w:hAnsi="Times New Roman" w:cs="Times New Roman"/>
              </w:rPr>
              <w:t>s</w:t>
            </w:r>
          </w:p>
        </w:tc>
        <w:tc>
          <w:tcPr>
            <w:tcW w:w="1672" w:type="dxa"/>
          </w:tcPr>
          <w:p w14:paraId="49C4966B" w14:textId="32E45CF3"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3</w:t>
            </w:r>
          </w:p>
        </w:tc>
        <w:tc>
          <w:tcPr>
            <w:tcW w:w="1672" w:type="dxa"/>
          </w:tcPr>
          <w:p w14:paraId="15CB6270" w14:textId="7C168E47"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-7,21015</w:t>
            </w:r>
          </w:p>
        </w:tc>
        <w:tc>
          <w:tcPr>
            <w:tcW w:w="1672" w:type="dxa"/>
          </w:tcPr>
          <w:p w14:paraId="368C14D1" w14:textId="77EEE6C4"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42,75224</w:t>
            </w:r>
          </w:p>
        </w:tc>
        <w:tc>
          <w:tcPr>
            <w:tcW w:w="2699" w:type="dxa"/>
          </w:tcPr>
          <w:p w14:paraId="37075D42" w14:textId="5409C160" w:rsidR="00366D1B" w:rsidRPr="00BE23FA" w:rsidRDefault="00CB5CBA"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 xml:space="preserve">Rodríguez-Álvarez et al. 2011; </w:t>
            </w:r>
            <w:r w:rsidR="008E476B" w:rsidRPr="00BE23FA">
              <w:rPr>
                <w:rFonts w:ascii="Times New Roman" w:hAnsi="Times New Roman" w:cs="Times New Roman"/>
              </w:rPr>
              <w:t>Vermeersch 2025</w:t>
            </w:r>
          </w:p>
        </w:tc>
      </w:tr>
      <w:tr w:rsidR="00366D1B" w:rsidRPr="00BE23FA" w14:paraId="02E9FC7B" w14:textId="77777777" w:rsidTr="00366D1B">
        <w:tc>
          <w:tcPr>
            <w:tcW w:w="1672" w:type="dxa"/>
          </w:tcPr>
          <w:p w14:paraId="597AD6C5" w14:textId="1FEDF32C"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Cova Negra</w:t>
            </w:r>
          </w:p>
        </w:tc>
        <w:tc>
          <w:tcPr>
            <w:tcW w:w="1672" w:type="dxa"/>
          </w:tcPr>
          <w:p w14:paraId="588E2858" w14:textId="59B9E7D2"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12</w:t>
            </w:r>
          </w:p>
        </w:tc>
        <w:tc>
          <w:tcPr>
            <w:tcW w:w="1672" w:type="dxa"/>
          </w:tcPr>
          <w:p w14:paraId="60AE9D92" w14:textId="1E0EDC2A"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-0,53</w:t>
            </w:r>
          </w:p>
        </w:tc>
        <w:tc>
          <w:tcPr>
            <w:tcW w:w="1672" w:type="dxa"/>
          </w:tcPr>
          <w:p w14:paraId="25DFCF92" w14:textId="7CE7B147"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38,98</w:t>
            </w:r>
          </w:p>
        </w:tc>
        <w:tc>
          <w:tcPr>
            <w:tcW w:w="2699" w:type="dxa"/>
          </w:tcPr>
          <w:p w14:paraId="162ACC3D" w14:textId="43920C87" w:rsidR="00366D1B" w:rsidRPr="00BE23FA" w:rsidRDefault="008E476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Arsuaga et al. 2007</w:t>
            </w:r>
            <w:r w:rsidR="00581038" w:rsidRPr="00BE23FA">
              <w:rPr>
                <w:rFonts w:ascii="Times New Roman" w:hAnsi="Times New Roman" w:cs="Times New Roman"/>
                <w:lang w:val="nb-NO"/>
              </w:rPr>
              <w:t>, 2012</w:t>
            </w:r>
            <w:r w:rsidRPr="00BE23FA">
              <w:rPr>
                <w:rFonts w:ascii="Times New Roman" w:hAnsi="Times New Roman" w:cs="Times New Roman"/>
                <w:lang w:val="nb-NO"/>
              </w:rPr>
              <w:t>; Puzachenko et al. 2021</w:t>
            </w:r>
          </w:p>
        </w:tc>
      </w:tr>
      <w:tr w:rsidR="00366D1B" w:rsidRPr="00BE23FA" w14:paraId="326403A4" w14:textId="77777777" w:rsidTr="00366D1B">
        <w:tc>
          <w:tcPr>
            <w:tcW w:w="1672" w:type="dxa"/>
          </w:tcPr>
          <w:p w14:paraId="6587B6A0" w14:textId="2A8A644D"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lastRenderedPageBreak/>
              <w:t xml:space="preserve">Cueva del </w:t>
            </w:r>
            <w:r w:rsidR="00BD634C" w:rsidRPr="00BE23FA">
              <w:rPr>
                <w:rFonts w:ascii="Times New Roman" w:hAnsi="Times New Roman" w:cs="Times New Roman"/>
                <w:lang w:val="nb-NO"/>
              </w:rPr>
              <w:t>C</w:t>
            </w:r>
            <w:r w:rsidRPr="00BE23FA">
              <w:rPr>
                <w:rFonts w:ascii="Times New Roman" w:hAnsi="Times New Roman" w:cs="Times New Roman"/>
                <w:lang w:val="nb-NO"/>
              </w:rPr>
              <w:t>amino</w:t>
            </w:r>
          </w:p>
        </w:tc>
        <w:tc>
          <w:tcPr>
            <w:tcW w:w="1672" w:type="dxa"/>
          </w:tcPr>
          <w:p w14:paraId="2275FDF5" w14:textId="3C6FFACE"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5</w:t>
            </w:r>
          </w:p>
        </w:tc>
        <w:tc>
          <w:tcPr>
            <w:tcW w:w="1672" w:type="dxa"/>
          </w:tcPr>
          <w:p w14:paraId="239C64B7" w14:textId="1EC16A68"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-3,862</w:t>
            </w:r>
          </w:p>
        </w:tc>
        <w:tc>
          <w:tcPr>
            <w:tcW w:w="1672" w:type="dxa"/>
          </w:tcPr>
          <w:p w14:paraId="41D0899C" w14:textId="31E0ABA7" w:rsidR="00366D1B" w:rsidRPr="00BE23FA" w:rsidRDefault="00366D1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40,909</w:t>
            </w:r>
          </w:p>
        </w:tc>
        <w:tc>
          <w:tcPr>
            <w:tcW w:w="2699" w:type="dxa"/>
          </w:tcPr>
          <w:p w14:paraId="783C0A4C" w14:textId="12ACF2AC" w:rsidR="00366D1B" w:rsidRPr="00BE23FA" w:rsidRDefault="008E476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rPr>
              <w:t>Arsuaga et al. 2011</w:t>
            </w:r>
            <w:r w:rsidR="00581038" w:rsidRPr="00BE23FA">
              <w:rPr>
                <w:rFonts w:ascii="Times New Roman" w:hAnsi="Times New Roman" w:cs="Times New Roman"/>
              </w:rPr>
              <w:t>, 2012</w:t>
            </w:r>
            <w:r w:rsidRPr="00BE23FA">
              <w:rPr>
                <w:rFonts w:ascii="Times New Roman" w:hAnsi="Times New Roman" w:cs="Times New Roman"/>
              </w:rPr>
              <w:t>; Baquedano et al. 2014</w:t>
            </w:r>
          </w:p>
        </w:tc>
      </w:tr>
      <w:tr w:rsidR="008E476B" w:rsidRPr="00BE23FA" w14:paraId="35FE5101" w14:textId="77777777" w:rsidTr="00366D1B">
        <w:tc>
          <w:tcPr>
            <w:tcW w:w="1672" w:type="dxa"/>
          </w:tcPr>
          <w:p w14:paraId="1B5B4422" w14:textId="40306574" w:rsidR="008E476B" w:rsidRPr="00BE23FA" w:rsidRDefault="008E476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Denisova Cave Main Chamber</w:t>
            </w:r>
          </w:p>
        </w:tc>
        <w:tc>
          <w:tcPr>
            <w:tcW w:w="1672" w:type="dxa"/>
          </w:tcPr>
          <w:p w14:paraId="17518FB7" w14:textId="6B2D25A0" w:rsidR="008E476B" w:rsidRPr="00BE23FA" w:rsidRDefault="008E476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14</w:t>
            </w:r>
          </w:p>
        </w:tc>
        <w:tc>
          <w:tcPr>
            <w:tcW w:w="1672" w:type="dxa"/>
          </w:tcPr>
          <w:p w14:paraId="2F031E46" w14:textId="05F21AAF" w:rsidR="008E476B" w:rsidRPr="00BE23FA" w:rsidRDefault="008E476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84,67611</w:t>
            </w:r>
          </w:p>
        </w:tc>
        <w:tc>
          <w:tcPr>
            <w:tcW w:w="1672" w:type="dxa"/>
          </w:tcPr>
          <w:p w14:paraId="25AD1F26" w14:textId="0DA66787" w:rsidR="008E476B" w:rsidRPr="00BE23FA" w:rsidRDefault="008E476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51,3975</w:t>
            </w:r>
          </w:p>
        </w:tc>
        <w:tc>
          <w:tcPr>
            <w:tcW w:w="2699" w:type="dxa"/>
          </w:tcPr>
          <w:p w14:paraId="7D90C5B9" w14:textId="09A75163" w:rsidR="008E476B" w:rsidRPr="00BE23FA" w:rsidRDefault="009537C6"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 xml:space="preserve">Jacoks et al. 2019; </w:t>
            </w:r>
            <w:r w:rsidR="008E476B" w:rsidRPr="00BE23FA">
              <w:rPr>
                <w:rFonts w:ascii="Times New Roman" w:hAnsi="Times New Roman" w:cs="Times New Roman"/>
                <w:lang w:val="nb-NO"/>
              </w:rPr>
              <w:t>Kandel et al. 2023; Vermeersch 2025</w:t>
            </w:r>
          </w:p>
        </w:tc>
      </w:tr>
      <w:tr w:rsidR="00366D1B" w:rsidRPr="00BE23FA" w14:paraId="6F11F74B" w14:textId="77777777" w:rsidTr="00366D1B">
        <w:tc>
          <w:tcPr>
            <w:tcW w:w="1672" w:type="dxa"/>
          </w:tcPr>
          <w:p w14:paraId="78766482" w14:textId="05AF3D23"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El Castillo</w:t>
            </w:r>
          </w:p>
        </w:tc>
        <w:tc>
          <w:tcPr>
            <w:tcW w:w="1672" w:type="dxa"/>
          </w:tcPr>
          <w:p w14:paraId="70FAC490" w14:textId="74EB4F8C"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22</w:t>
            </w:r>
          </w:p>
        </w:tc>
        <w:tc>
          <w:tcPr>
            <w:tcW w:w="1672" w:type="dxa"/>
          </w:tcPr>
          <w:p w14:paraId="5F53B389" w14:textId="764DA9B2"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-3,97</w:t>
            </w:r>
          </w:p>
        </w:tc>
        <w:tc>
          <w:tcPr>
            <w:tcW w:w="1672" w:type="dxa"/>
          </w:tcPr>
          <w:p w14:paraId="291B65EA" w14:textId="29ED10C6"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43,29</w:t>
            </w:r>
          </w:p>
        </w:tc>
        <w:tc>
          <w:tcPr>
            <w:tcW w:w="2699" w:type="dxa"/>
          </w:tcPr>
          <w:p w14:paraId="1B217F01" w14:textId="71F4208A" w:rsidR="00366D1B" w:rsidRPr="00BE23FA" w:rsidRDefault="00E82909"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 xml:space="preserve">Martín-Perea et al. 2022; </w:t>
            </w:r>
            <w:r w:rsidR="008E476B" w:rsidRPr="00BE23FA">
              <w:rPr>
                <w:rFonts w:ascii="Times New Roman" w:hAnsi="Times New Roman" w:cs="Times New Roman"/>
              </w:rPr>
              <w:t>Vermeersch 2025</w:t>
            </w:r>
          </w:p>
        </w:tc>
      </w:tr>
      <w:tr w:rsidR="00366D1B" w:rsidRPr="00BE23FA" w14:paraId="3DB6DDD0" w14:textId="77777777" w:rsidTr="00366D1B">
        <w:tc>
          <w:tcPr>
            <w:tcW w:w="1672" w:type="dxa"/>
          </w:tcPr>
          <w:p w14:paraId="1F48DF5A" w14:textId="013B6E5E"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Estanque de Tormetas de Butarque</w:t>
            </w:r>
          </w:p>
        </w:tc>
        <w:tc>
          <w:tcPr>
            <w:tcW w:w="1672" w:type="dxa"/>
          </w:tcPr>
          <w:p w14:paraId="49AD30C6" w14:textId="59587A7E"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H-02</w:t>
            </w:r>
          </w:p>
        </w:tc>
        <w:tc>
          <w:tcPr>
            <w:tcW w:w="1672" w:type="dxa"/>
          </w:tcPr>
          <w:p w14:paraId="1434F4CC" w14:textId="2C63F5C6"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-3,76062</w:t>
            </w:r>
          </w:p>
        </w:tc>
        <w:tc>
          <w:tcPr>
            <w:tcW w:w="1672" w:type="dxa"/>
          </w:tcPr>
          <w:p w14:paraId="4E9FF9EB" w14:textId="397AD377"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40,34098</w:t>
            </w:r>
          </w:p>
        </w:tc>
        <w:tc>
          <w:tcPr>
            <w:tcW w:w="2699" w:type="dxa"/>
          </w:tcPr>
          <w:p w14:paraId="6A4394F8" w14:textId="7EBF0811" w:rsidR="00366D1B" w:rsidRPr="00BE23FA" w:rsidRDefault="008E476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Laplana et al. 2015</w:t>
            </w:r>
            <w:r w:rsidR="00394B8C" w:rsidRPr="00BE23FA">
              <w:rPr>
                <w:rFonts w:ascii="Times New Roman" w:hAnsi="Times New Roman" w:cs="Times New Roman"/>
              </w:rPr>
              <w:t>; López-Recio et al. 2018</w:t>
            </w:r>
          </w:p>
        </w:tc>
      </w:tr>
      <w:tr w:rsidR="00366D1B" w:rsidRPr="00BE23FA" w14:paraId="6BF4EBD6" w14:textId="77777777" w:rsidTr="00366D1B">
        <w:tc>
          <w:tcPr>
            <w:tcW w:w="1672" w:type="dxa"/>
          </w:tcPr>
          <w:p w14:paraId="2B6847BC" w14:textId="68BEA5AC"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Estret de Trago</w:t>
            </w:r>
          </w:p>
        </w:tc>
        <w:tc>
          <w:tcPr>
            <w:tcW w:w="1672" w:type="dxa"/>
          </w:tcPr>
          <w:p w14:paraId="5A94C299" w14:textId="74E6B07E"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UA2</w:t>
            </w:r>
          </w:p>
        </w:tc>
        <w:tc>
          <w:tcPr>
            <w:tcW w:w="1672" w:type="dxa"/>
          </w:tcPr>
          <w:p w14:paraId="17FA567B" w14:textId="168000B6"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0,72</w:t>
            </w:r>
          </w:p>
        </w:tc>
        <w:tc>
          <w:tcPr>
            <w:tcW w:w="1672" w:type="dxa"/>
          </w:tcPr>
          <w:p w14:paraId="79D45990" w14:textId="12D425BF"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41,87</w:t>
            </w:r>
          </w:p>
        </w:tc>
        <w:tc>
          <w:tcPr>
            <w:tcW w:w="2699" w:type="dxa"/>
          </w:tcPr>
          <w:p w14:paraId="627CE1F2" w14:textId="00FE1E53" w:rsidR="00366D1B" w:rsidRPr="00BE23FA" w:rsidRDefault="00CF0088" w:rsidP="00BE23FA">
            <w:pPr>
              <w:pStyle w:val="ListParagraph"/>
              <w:spacing w:line="360" w:lineRule="auto"/>
              <w:ind w:left="0"/>
              <w:jc w:val="both"/>
              <w:rPr>
                <w:rFonts w:ascii="Times New Roman" w:hAnsi="Times New Roman" w:cs="Times New Roman"/>
                <w:u w:val="single"/>
                <w:lang w:val="it-IT"/>
              </w:rPr>
            </w:pPr>
            <w:r w:rsidRPr="00BE23FA">
              <w:rPr>
                <w:rFonts w:ascii="Times New Roman" w:hAnsi="Times New Roman" w:cs="Times New Roman"/>
                <w:lang w:val="it-IT"/>
              </w:rPr>
              <w:t xml:space="preserve">Casanova i Martí et al. 2009; </w:t>
            </w:r>
            <w:r w:rsidR="008E476B" w:rsidRPr="00BE23FA">
              <w:rPr>
                <w:rFonts w:ascii="Times New Roman" w:hAnsi="Times New Roman" w:cs="Times New Roman"/>
                <w:lang w:val="it-IT"/>
              </w:rPr>
              <w:t>Vermeersch 2025</w:t>
            </w:r>
          </w:p>
        </w:tc>
      </w:tr>
      <w:tr w:rsidR="00366D1B" w:rsidRPr="00BE23FA" w14:paraId="467B070C" w14:textId="77777777" w:rsidTr="00366D1B">
        <w:tc>
          <w:tcPr>
            <w:tcW w:w="1672" w:type="dxa"/>
          </w:tcPr>
          <w:p w14:paraId="2E08524D" w14:textId="1DA6FDB4"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Figueira Brava</w:t>
            </w:r>
          </w:p>
        </w:tc>
        <w:tc>
          <w:tcPr>
            <w:tcW w:w="1672" w:type="dxa"/>
          </w:tcPr>
          <w:p w14:paraId="104A1AA2" w14:textId="30E56D3C"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FB4-IH8</w:t>
            </w:r>
          </w:p>
        </w:tc>
        <w:tc>
          <w:tcPr>
            <w:tcW w:w="1672" w:type="dxa"/>
          </w:tcPr>
          <w:p w14:paraId="05EC7758" w14:textId="465B08C0"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-8,96611</w:t>
            </w:r>
          </w:p>
        </w:tc>
        <w:tc>
          <w:tcPr>
            <w:tcW w:w="1672" w:type="dxa"/>
          </w:tcPr>
          <w:p w14:paraId="5BAB312D" w14:textId="13FADDFA"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38,47065</w:t>
            </w:r>
          </w:p>
        </w:tc>
        <w:tc>
          <w:tcPr>
            <w:tcW w:w="2699" w:type="dxa"/>
          </w:tcPr>
          <w:p w14:paraId="518A6CC1" w14:textId="71988EFB" w:rsidR="00366D1B" w:rsidRPr="00BE23FA" w:rsidRDefault="008E476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kern w:val="0"/>
              </w:rPr>
              <w:t>Zilhão et al. 2020</w:t>
            </w:r>
          </w:p>
        </w:tc>
      </w:tr>
      <w:tr w:rsidR="00366D1B" w:rsidRPr="00BE23FA" w14:paraId="4F7B46F7" w14:textId="77777777" w:rsidTr="00366D1B">
        <w:tc>
          <w:tcPr>
            <w:tcW w:w="1672" w:type="dxa"/>
          </w:tcPr>
          <w:p w14:paraId="289ABEC0" w14:textId="297B2065"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Furninha</w:t>
            </w:r>
          </w:p>
        </w:tc>
        <w:tc>
          <w:tcPr>
            <w:tcW w:w="1672" w:type="dxa"/>
          </w:tcPr>
          <w:p w14:paraId="53948FDC" w14:textId="739685F9" w:rsidR="00366D1B" w:rsidRPr="00BE23FA" w:rsidRDefault="00366D1B" w:rsidP="00BE23FA">
            <w:pPr>
              <w:pStyle w:val="ListParagraph"/>
              <w:spacing w:line="360" w:lineRule="auto"/>
              <w:ind w:left="0"/>
              <w:jc w:val="both"/>
              <w:rPr>
                <w:rFonts w:ascii="Times New Roman" w:hAnsi="Times New Roman" w:cs="Times New Roman"/>
                <w:u w:val="single"/>
              </w:rPr>
            </w:pPr>
          </w:p>
        </w:tc>
        <w:tc>
          <w:tcPr>
            <w:tcW w:w="1672" w:type="dxa"/>
          </w:tcPr>
          <w:p w14:paraId="055FC909" w14:textId="11535AA5"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-9,4008</w:t>
            </w:r>
          </w:p>
        </w:tc>
        <w:tc>
          <w:tcPr>
            <w:tcW w:w="1672" w:type="dxa"/>
          </w:tcPr>
          <w:p w14:paraId="46B01724" w14:textId="4F70E16C"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39,356</w:t>
            </w:r>
          </w:p>
        </w:tc>
        <w:tc>
          <w:tcPr>
            <w:tcW w:w="2699" w:type="dxa"/>
          </w:tcPr>
          <w:p w14:paraId="6C7494BF" w14:textId="7F6EBAB0" w:rsidR="00366D1B" w:rsidRPr="00BE23FA" w:rsidRDefault="00F23A41"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rPr>
              <w:t xml:space="preserve">Bicho and Cardoso 2010; </w:t>
            </w:r>
            <w:r w:rsidR="008E476B" w:rsidRPr="00BE23FA">
              <w:rPr>
                <w:rFonts w:ascii="Times New Roman" w:hAnsi="Times New Roman" w:cs="Times New Roman"/>
              </w:rPr>
              <w:t>Vermeersch 2025</w:t>
            </w:r>
          </w:p>
        </w:tc>
      </w:tr>
      <w:tr w:rsidR="00366D1B" w:rsidRPr="00BE23FA" w14:paraId="60B2B9A3" w14:textId="77777777" w:rsidTr="00366D1B">
        <w:tc>
          <w:tcPr>
            <w:tcW w:w="1672" w:type="dxa"/>
          </w:tcPr>
          <w:p w14:paraId="475E5B01" w14:textId="355EC7DF"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Galería de las Estatuas</w:t>
            </w:r>
          </w:p>
        </w:tc>
        <w:tc>
          <w:tcPr>
            <w:tcW w:w="1672" w:type="dxa"/>
          </w:tcPr>
          <w:p w14:paraId="09D61713" w14:textId="47CF8C2D" w:rsidR="00366D1B" w:rsidRPr="00BE23FA" w:rsidRDefault="007A1EE1" w:rsidP="00BE23FA">
            <w:pPr>
              <w:pStyle w:val="ListParagraph"/>
              <w:spacing w:line="360" w:lineRule="auto"/>
              <w:ind w:left="0"/>
              <w:jc w:val="both"/>
              <w:rPr>
                <w:rFonts w:ascii="Times New Roman" w:hAnsi="Times New Roman" w:cs="Times New Roman"/>
              </w:rPr>
            </w:pPr>
            <w:r w:rsidRPr="00BE23FA">
              <w:rPr>
                <w:rFonts w:ascii="Times New Roman" w:hAnsi="Times New Roman" w:cs="Times New Roman"/>
              </w:rPr>
              <w:t>LU1–LU4</w:t>
            </w:r>
          </w:p>
        </w:tc>
        <w:tc>
          <w:tcPr>
            <w:tcW w:w="1672" w:type="dxa"/>
          </w:tcPr>
          <w:p w14:paraId="753FE1FB" w14:textId="0A59E0C9"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-3,51732</w:t>
            </w:r>
          </w:p>
        </w:tc>
        <w:tc>
          <w:tcPr>
            <w:tcW w:w="1672" w:type="dxa"/>
          </w:tcPr>
          <w:p w14:paraId="2ECD4F39" w14:textId="71775089"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42,35038</w:t>
            </w:r>
          </w:p>
        </w:tc>
        <w:tc>
          <w:tcPr>
            <w:tcW w:w="2699" w:type="dxa"/>
          </w:tcPr>
          <w:p w14:paraId="15650D0F" w14:textId="49097C20" w:rsidR="00366D1B" w:rsidRPr="00BE23FA" w:rsidRDefault="008E476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Arsuaga et al. 2017; Demuro et al. 2019</w:t>
            </w:r>
            <w:r w:rsidR="00BD634C" w:rsidRPr="00BE23FA">
              <w:rPr>
                <w:rFonts w:ascii="Times New Roman" w:hAnsi="Times New Roman" w:cs="Times New Roman"/>
                <w:lang w:val="nb-NO"/>
              </w:rPr>
              <w:t>; Moreno et al. 2022</w:t>
            </w:r>
          </w:p>
        </w:tc>
      </w:tr>
      <w:tr w:rsidR="00366D1B" w:rsidRPr="00BE23FA" w14:paraId="49B62595" w14:textId="77777777" w:rsidTr="00366D1B">
        <w:tc>
          <w:tcPr>
            <w:tcW w:w="1672" w:type="dxa"/>
          </w:tcPr>
          <w:p w14:paraId="2E52D83D" w14:textId="23845CCB"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Ganovce</w:t>
            </w:r>
          </w:p>
        </w:tc>
        <w:tc>
          <w:tcPr>
            <w:tcW w:w="1672" w:type="dxa"/>
          </w:tcPr>
          <w:p w14:paraId="3B3E600C" w14:textId="2392E8F2"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E</w:t>
            </w:r>
          </w:p>
        </w:tc>
        <w:tc>
          <w:tcPr>
            <w:tcW w:w="1672" w:type="dxa"/>
          </w:tcPr>
          <w:p w14:paraId="62F77590" w14:textId="3CB9AACB"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20,33</w:t>
            </w:r>
          </w:p>
        </w:tc>
        <w:tc>
          <w:tcPr>
            <w:tcW w:w="1672" w:type="dxa"/>
          </w:tcPr>
          <w:p w14:paraId="4A6600E9" w14:textId="7B6AA248"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49,03</w:t>
            </w:r>
          </w:p>
        </w:tc>
        <w:tc>
          <w:tcPr>
            <w:tcW w:w="2699" w:type="dxa"/>
          </w:tcPr>
          <w:p w14:paraId="463DBE31" w14:textId="3CF36189" w:rsidR="00366D1B" w:rsidRPr="00BE23FA" w:rsidRDefault="00BE3F9C"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rPr>
              <w:t>Sabol et al. 2017; Vermeersch 2025</w:t>
            </w:r>
          </w:p>
        </w:tc>
      </w:tr>
      <w:tr w:rsidR="00366D1B" w:rsidRPr="00BE23FA" w14:paraId="7F8C1D2B" w14:textId="77777777" w:rsidTr="00366D1B">
        <w:tc>
          <w:tcPr>
            <w:tcW w:w="1672" w:type="dxa"/>
          </w:tcPr>
          <w:p w14:paraId="0D4C8F65" w14:textId="21A22B6D"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Geula Cave</w:t>
            </w:r>
          </w:p>
        </w:tc>
        <w:tc>
          <w:tcPr>
            <w:tcW w:w="1672" w:type="dxa"/>
          </w:tcPr>
          <w:p w14:paraId="4D25CD4A" w14:textId="2857C66E" w:rsidR="00366D1B" w:rsidRPr="00BE23FA" w:rsidRDefault="00F77F8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B</w:t>
            </w:r>
            <w:r w:rsidR="00366D1B" w:rsidRPr="00BE23FA">
              <w:rPr>
                <w:rFonts w:ascii="Times New Roman" w:hAnsi="Times New Roman" w:cs="Times New Roman"/>
              </w:rPr>
              <w:t>3</w:t>
            </w:r>
          </w:p>
        </w:tc>
        <w:tc>
          <w:tcPr>
            <w:tcW w:w="1672" w:type="dxa"/>
          </w:tcPr>
          <w:p w14:paraId="3E41612E" w14:textId="4FF818BF"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35</w:t>
            </w:r>
          </w:p>
        </w:tc>
        <w:tc>
          <w:tcPr>
            <w:tcW w:w="1672" w:type="dxa"/>
          </w:tcPr>
          <w:p w14:paraId="6D39FE9F" w14:textId="7BC1F9B2"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32,8</w:t>
            </w:r>
          </w:p>
        </w:tc>
        <w:tc>
          <w:tcPr>
            <w:tcW w:w="2699" w:type="dxa"/>
          </w:tcPr>
          <w:p w14:paraId="64E9FC97" w14:textId="550DD068" w:rsidR="00366D1B" w:rsidRPr="00BE23FA" w:rsidRDefault="00BE3F9C"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rPr>
              <w:t>Barzilai et al. 2022</w:t>
            </w:r>
          </w:p>
        </w:tc>
      </w:tr>
      <w:tr w:rsidR="00366D1B" w:rsidRPr="00BE23FA" w14:paraId="19474667" w14:textId="77777777" w:rsidTr="00366D1B">
        <w:tc>
          <w:tcPr>
            <w:tcW w:w="1672" w:type="dxa"/>
          </w:tcPr>
          <w:p w14:paraId="56EF3CA4" w14:textId="7A0FBB59"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Grotta dei Moscerini</w:t>
            </w:r>
          </w:p>
        </w:tc>
        <w:tc>
          <w:tcPr>
            <w:tcW w:w="1672" w:type="dxa"/>
          </w:tcPr>
          <w:p w14:paraId="32F6463C" w14:textId="4893301B" w:rsidR="00366D1B" w:rsidRPr="00BE23FA" w:rsidRDefault="00366D1B" w:rsidP="00BE23FA">
            <w:pPr>
              <w:pStyle w:val="ListParagraph"/>
              <w:spacing w:line="360" w:lineRule="auto"/>
              <w:ind w:left="0"/>
              <w:jc w:val="both"/>
              <w:rPr>
                <w:rFonts w:ascii="Times New Roman" w:hAnsi="Times New Roman" w:cs="Times New Roman"/>
                <w:u w:val="single"/>
              </w:rPr>
            </w:pPr>
          </w:p>
        </w:tc>
        <w:tc>
          <w:tcPr>
            <w:tcW w:w="1672" w:type="dxa"/>
          </w:tcPr>
          <w:p w14:paraId="2CF1306F" w14:textId="675BDD94"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13,485</w:t>
            </w:r>
          </w:p>
        </w:tc>
        <w:tc>
          <w:tcPr>
            <w:tcW w:w="1672" w:type="dxa"/>
          </w:tcPr>
          <w:p w14:paraId="3BDBD47D" w14:textId="0AC5E738"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41,236</w:t>
            </w:r>
          </w:p>
        </w:tc>
        <w:tc>
          <w:tcPr>
            <w:tcW w:w="2699" w:type="dxa"/>
          </w:tcPr>
          <w:p w14:paraId="7B7381CB" w14:textId="5B2F7C55" w:rsidR="00366D1B" w:rsidRPr="00BE23FA" w:rsidRDefault="00BE3F9C"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Stiner 1993; Villa et al. 2020</w:t>
            </w:r>
          </w:p>
        </w:tc>
      </w:tr>
      <w:tr w:rsidR="00366D1B" w:rsidRPr="00BE23FA" w14:paraId="08F255B6" w14:textId="77777777" w:rsidTr="00366D1B">
        <w:tc>
          <w:tcPr>
            <w:tcW w:w="1672" w:type="dxa"/>
          </w:tcPr>
          <w:p w14:paraId="5E64A86B" w14:textId="738F7FFE" w:rsidR="00366D1B" w:rsidRPr="00BE23FA" w:rsidRDefault="00366D1B" w:rsidP="00BE23FA">
            <w:pPr>
              <w:pStyle w:val="ListParagraph"/>
              <w:spacing w:line="360" w:lineRule="auto"/>
              <w:ind w:left="0"/>
              <w:jc w:val="both"/>
              <w:rPr>
                <w:rFonts w:ascii="Times New Roman" w:hAnsi="Times New Roman" w:cs="Times New Roman"/>
                <w:u w:val="single"/>
                <w:lang w:val="it-IT"/>
              </w:rPr>
            </w:pPr>
            <w:r w:rsidRPr="00BE23FA">
              <w:rPr>
                <w:rFonts w:ascii="Times New Roman" w:hAnsi="Times New Roman" w:cs="Times New Roman"/>
                <w:lang w:val="it-IT"/>
              </w:rPr>
              <w:t>Grotta Maggiore di San Bernardino</w:t>
            </w:r>
          </w:p>
        </w:tc>
        <w:tc>
          <w:tcPr>
            <w:tcW w:w="1672" w:type="dxa"/>
          </w:tcPr>
          <w:p w14:paraId="569E0A41" w14:textId="6B28A1A3"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IV</w:t>
            </w:r>
          </w:p>
        </w:tc>
        <w:tc>
          <w:tcPr>
            <w:tcW w:w="1672" w:type="dxa"/>
          </w:tcPr>
          <w:p w14:paraId="07FC4359" w14:textId="420971B2"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11,55</w:t>
            </w:r>
          </w:p>
        </w:tc>
        <w:tc>
          <w:tcPr>
            <w:tcW w:w="1672" w:type="dxa"/>
          </w:tcPr>
          <w:p w14:paraId="73B057BD" w14:textId="7802A45A"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45,42</w:t>
            </w:r>
          </w:p>
        </w:tc>
        <w:tc>
          <w:tcPr>
            <w:tcW w:w="2699" w:type="dxa"/>
          </w:tcPr>
          <w:p w14:paraId="4F22E685" w14:textId="223C1268" w:rsidR="00366D1B" w:rsidRPr="00BE23FA" w:rsidRDefault="003750F9"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 xml:space="preserve">López-García et al. 2019; </w:t>
            </w:r>
            <w:r w:rsidR="008E476B" w:rsidRPr="00BE23FA">
              <w:rPr>
                <w:rFonts w:ascii="Times New Roman" w:hAnsi="Times New Roman" w:cs="Times New Roman"/>
              </w:rPr>
              <w:t>Vermeersch 2025</w:t>
            </w:r>
          </w:p>
        </w:tc>
      </w:tr>
      <w:tr w:rsidR="00366D1B" w:rsidRPr="00BE23FA" w14:paraId="31C9713A" w14:textId="77777777" w:rsidTr="00366D1B">
        <w:tc>
          <w:tcPr>
            <w:tcW w:w="1672" w:type="dxa"/>
          </w:tcPr>
          <w:p w14:paraId="53CECEFA" w14:textId="0E1387E2" w:rsidR="00366D1B" w:rsidRPr="00BE23FA" w:rsidRDefault="00366D1B"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lang w:val="en-GB"/>
              </w:rPr>
              <w:t>Grotte des Barasses II</w:t>
            </w:r>
          </w:p>
        </w:tc>
        <w:tc>
          <w:tcPr>
            <w:tcW w:w="1672" w:type="dxa"/>
          </w:tcPr>
          <w:p w14:paraId="3FE73EF0" w14:textId="18DB05AD" w:rsidR="00366D1B" w:rsidRPr="00BE23FA" w:rsidRDefault="00366D1B"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lang w:val="en-GB"/>
              </w:rPr>
              <w:t>7</w:t>
            </w:r>
          </w:p>
        </w:tc>
        <w:tc>
          <w:tcPr>
            <w:tcW w:w="1672" w:type="dxa"/>
          </w:tcPr>
          <w:p w14:paraId="2566492B" w14:textId="291B65B3" w:rsidR="00366D1B" w:rsidRPr="00BE23FA" w:rsidRDefault="00366D1B"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lang w:val="en-GB"/>
              </w:rPr>
              <w:t>4,37</w:t>
            </w:r>
          </w:p>
        </w:tc>
        <w:tc>
          <w:tcPr>
            <w:tcW w:w="1672" w:type="dxa"/>
          </w:tcPr>
          <w:p w14:paraId="6011B123" w14:textId="3635EAB4" w:rsidR="00366D1B" w:rsidRPr="00BE23FA" w:rsidRDefault="00366D1B"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lang w:val="en-GB"/>
              </w:rPr>
              <w:t>44,5167</w:t>
            </w:r>
          </w:p>
        </w:tc>
        <w:tc>
          <w:tcPr>
            <w:tcW w:w="2699" w:type="dxa"/>
          </w:tcPr>
          <w:p w14:paraId="21C58699" w14:textId="6C9A46D9" w:rsidR="00366D1B" w:rsidRPr="00BE23FA" w:rsidRDefault="00BE3F9C"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kern w:val="0"/>
                <w:lang w:val="nb-NO"/>
              </w:rPr>
              <w:t>Rufà et al. 2018; Richard et al. 2021</w:t>
            </w:r>
          </w:p>
        </w:tc>
      </w:tr>
      <w:tr w:rsidR="00366D1B" w:rsidRPr="00BE23FA" w14:paraId="5C793724" w14:textId="77777777" w:rsidTr="00366D1B">
        <w:tc>
          <w:tcPr>
            <w:tcW w:w="1672" w:type="dxa"/>
          </w:tcPr>
          <w:p w14:paraId="18098927" w14:textId="5C83E3C3"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Gruta Nova da Columbeira</w:t>
            </w:r>
          </w:p>
        </w:tc>
        <w:tc>
          <w:tcPr>
            <w:tcW w:w="1672" w:type="dxa"/>
          </w:tcPr>
          <w:p w14:paraId="40DF50CB" w14:textId="1698F163"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8</w:t>
            </w:r>
          </w:p>
        </w:tc>
        <w:tc>
          <w:tcPr>
            <w:tcW w:w="1672" w:type="dxa"/>
          </w:tcPr>
          <w:p w14:paraId="522B5B5B" w14:textId="02B8B03E"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-9,2</w:t>
            </w:r>
          </w:p>
        </w:tc>
        <w:tc>
          <w:tcPr>
            <w:tcW w:w="1672" w:type="dxa"/>
          </w:tcPr>
          <w:p w14:paraId="645C8334" w14:textId="02710A86"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39,3</w:t>
            </w:r>
          </w:p>
        </w:tc>
        <w:tc>
          <w:tcPr>
            <w:tcW w:w="2699" w:type="dxa"/>
          </w:tcPr>
          <w:p w14:paraId="4C22573A" w14:textId="759CD955" w:rsidR="00366D1B" w:rsidRPr="00BE23FA" w:rsidRDefault="00BE3F9C"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kern w:val="0"/>
              </w:rPr>
              <w:t>Zilhão et al. 2011</w:t>
            </w:r>
          </w:p>
        </w:tc>
      </w:tr>
      <w:tr w:rsidR="00366D1B" w:rsidRPr="00BE23FA" w14:paraId="15298F66" w14:textId="77777777" w:rsidTr="00366D1B">
        <w:tc>
          <w:tcPr>
            <w:tcW w:w="1672" w:type="dxa"/>
          </w:tcPr>
          <w:p w14:paraId="31454F93" w14:textId="55402AA7" w:rsidR="00366D1B" w:rsidRPr="00BE23FA" w:rsidRDefault="00366D1B"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lang w:val="en-GB"/>
              </w:rPr>
              <w:t>Hallera Avenue</w:t>
            </w:r>
          </w:p>
        </w:tc>
        <w:tc>
          <w:tcPr>
            <w:tcW w:w="1672" w:type="dxa"/>
          </w:tcPr>
          <w:p w14:paraId="4B0A78AB" w14:textId="3C9C7A5B" w:rsidR="00366D1B" w:rsidRPr="00BE23FA" w:rsidRDefault="00366D1B"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lang w:val="en-GB"/>
              </w:rPr>
              <w:t>B</w:t>
            </w:r>
          </w:p>
        </w:tc>
        <w:tc>
          <w:tcPr>
            <w:tcW w:w="1672" w:type="dxa"/>
          </w:tcPr>
          <w:p w14:paraId="6BC40FC9" w14:textId="02A8DBD0" w:rsidR="00366D1B" w:rsidRPr="00BE23FA" w:rsidRDefault="00366D1B"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lang w:val="en-GB"/>
              </w:rPr>
              <w:t>16,99</w:t>
            </w:r>
          </w:p>
        </w:tc>
        <w:tc>
          <w:tcPr>
            <w:tcW w:w="1672" w:type="dxa"/>
          </w:tcPr>
          <w:p w14:paraId="5B9E7FCA" w14:textId="20CBB949" w:rsidR="00366D1B" w:rsidRPr="00BE23FA" w:rsidRDefault="00366D1B"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lang w:val="en-GB"/>
              </w:rPr>
              <w:t>51,09</w:t>
            </w:r>
          </w:p>
        </w:tc>
        <w:tc>
          <w:tcPr>
            <w:tcW w:w="2699" w:type="dxa"/>
          </w:tcPr>
          <w:p w14:paraId="6A994644" w14:textId="7FB2C866" w:rsidR="00366D1B" w:rsidRPr="00BE23FA" w:rsidRDefault="00561257"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lang w:val="en-US"/>
              </w:rPr>
              <w:t xml:space="preserve">Wiśniewski </w:t>
            </w:r>
            <w:r w:rsidR="00AB40A0" w:rsidRPr="00BE23FA">
              <w:rPr>
                <w:rFonts w:ascii="Times New Roman" w:hAnsi="Times New Roman" w:cs="Times New Roman"/>
              </w:rPr>
              <w:t xml:space="preserve">et al. 2024; </w:t>
            </w:r>
            <w:r w:rsidR="008E476B" w:rsidRPr="00BE23FA">
              <w:rPr>
                <w:rFonts w:ascii="Times New Roman" w:hAnsi="Times New Roman" w:cs="Times New Roman"/>
              </w:rPr>
              <w:t>Vermeersch 2025</w:t>
            </w:r>
          </w:p>
        </w:tc>
      </w:tr>
      <w:tr w:rsidR="00366D1B" w:rsidRPr="00BE23FA" w14:paraId="7D5F0D13" w14:textId="77777777" w:rsidTr="00366D1B">
        <w:tc>
          <w:tcPr>
            <w:tcW w:w="1672" w:type="dxa"/>
          </w:tcPr>
          <w:p w14:paraId="766EF6B8" w14:textId="3FFC0684" w:rsidR="00366D1B" w:rsidRPr="00BE23FA" w:rsidRDefault="00366D1B"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lang w:val="en-GB"/>
              </w:rPr>
              <w:t>Ignatevskaya cave</w:t>
            </w:r>
          </w:p>
        </w:tc>
        <w:tc>
          <w:tcPr>
            <w:tcW w:w="1672" w:type="dxa"/>
          </w:tcPr>
          <w:p w14:paraId="19FBF9AA" w14:textId="77777777" w:rsidR="00366D1B" w:rsidRPr="00BE23FA" w:rsidRDefault="00366D1B" w:rsidP="00BE23FA">
            <w:pPr>
              <w:pStyle w:val="ListParagraph"/>
              <w:spacing w:line="360" w:lineRule="auto"/>
              <w:ind w:left="0"/>
              <w:jc w:val="both"/>
              <w:rPr>
                <w:rFonts w:ascii="Times New Roman" w:hAnsi="Times New Roman" w:cs="Times New Roman"/>
                <w:u w:val="single"/>
                <w:lang w:val="en-GB"/>
              </w:rPr>
            </w:pPr>
          </w:p>
        </w:tc>
        <w:tc>
          <w:tcPr>
            <w:tcW w:w="1672" w:type="dxa"/>
          </w:tcPr>
          <w:p w14:paraId="72A5BC4E" w14:textId="1676A232" w:rsidR="00366D1B" w:rsidRPr="00BE23FA" w:rsidRDefault="00366D1B"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lang w:val="en-GB"/>
              </w:rPr>
              <w:t>57,76667</w:t>
            </w:r>
          </w:p>
        </w:tc>
        <w:tc>
          <w:tcPr>
            <w:tcW w:w="1672" w:type="dxa"/>
          </w:tcPr>
          <w:p w14:paraId="5B35FC76" w14:textId="087D58DF" w:rsidR="00366D1B" w:rsidRPr="00BE23FA" w:rsidRDefault="00366D1B"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lang w:val="en-GB"/>
              </w:rPr>
              <w:t>54,88333</w:t>
            </w:r>
          </w:p>
        </w:tc>
        <w:tc>
          <w:tcPr>
            <w:tcW w:w="2699" w:type="dxa"/>
          </w:tcPr>
          <w:p w14:paraId="41232C16" w14:textId="4DDC2384" w:rsidR="00366D1B" w:rsidRPr="00BE23FA" w:rsidRDefault="00BE3F9C"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lang w:val="en-US"/>
              </w:rPr>
              <w:t>Kosintsev and Bachura 2013; Dublyansky et al. 2021</w:t>
            </w:r>
          </w:p>
        </w:tc>
      </w:tr>
      <w:tr w:rsidR="00366D1B" w:rsidRPr="00BE23FA" w14:paraId="3BC95799" w14:textId="77777777" w:rsidTr="00366D1B">
        <w:tc>
          <w:tcPr>
            <w:tcW w:w="1672" w:type="dxa"/>
          </w:tcPr>
          <w:p w14:paraId="161ED617" w14:textId="1E94136D" w:rsidR="00366D1B" w:rsidRPr="00BE23FA" w:rsidRDefault="00366D1B"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lang w:val="en-GB"/>
              </w:rPr>
              <w:t>Kabazi II</w:t>
            </w:r>
          </w:p>
        </w:tc>
        <w:tc>
          <w:tcPr>
            <w:tcW w:w="1672" w:type="dxa"/>
          </w:tcPr>
          <w:p w14:paraId="3807DD8A" w14:textId="31BA007C" w:rsidR="00366D1B" w:rsidRPr="00BE23FA" w:rsidRDefault="00366D1B"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lang w:val="en-GB"/>
              </w:rPr>
              <w:t>III/2, stratum 11</w:t>
            </w:r>
          </w:p>
        </w:tc>
        <w:tc>
          <w:tcPr>
            <w:tcW w:w="1672" w:type="dxa"/>
          </w:tcPr>
          <w:p w14:paraId="20CABEEB" w14:textId="7A79A8D8" w:rsidR="00366D1B" w:rsidRPr="00BE23FA" w:rsidRDefault="00366D1B"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lang w:val="en-GB"/>
              </w:rPr>
              <w:t>34,03</w:t>
            </w:r>
          </w:p>
        </w:tc>
        <w:tc>
          <w:tcPr>
            <w:tcW w:w="1672" w:type="dxa"/>
          </w:tcPr>
          <w:p w14:paraId="1D0AF14D" w14:textId="08313119" w:rsidR="00366D1B" w:rsidRPr="00BE23FA" w:rsidRDefault="00366D1B"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lang w:val="en-GB"/>
              </w:rPr>
              <w:t>44,83</w:t>
            </w:r>
          </w:p>
        </w:tc>
        <w:tc>
          <w:tcPr>
            <w:tcW w:w="2699" w:type="dxa"/>
          </w:tcPr>
          <w:p w14:paraId="47D7C5BA" w14:textId="15A53260" w:rsidR="00366D1B" w:rsidRPr="00BE23FA" w:rsidRDefault="00BE3F9C"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kern w:val="0"/>
                <w:lang w:val="en-US"/>
              </w:rPr>
              <w:t>Patou-Mathis and Chabaï 2003; Vermeersch 2025</w:t>
            </w:r>
          </w:p>
        </w:tc>
      </w:tr>
      <w:tr w:rsidR="00BE3F9C" w:rsidRPr="00BE23FA" w14:paraId="7F568A8C" w14:textId="77777777" w:rsidTr="00366D1B">
        <w:tc>
          <w:tcPr>
            <w:tcW w:w="1672" w:type="dxa"/>
          </w:tcPr>
          <w:p w14:paraId="7FB0917B" w14:textId="6229C307" w:rsidR="00BE3F9C" w:rsidRPr="00BE23FA" w:rsidRDefault="00BE3F9C"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Kabazi II</w:t>
            </w:r>
          </w:p>
        </w:tc>
        <w:tc>
          <w:tcPr>
            <w:tcW w:w="1672" w:type="dxa"/>
          </w:tcPr>
          <w:p w14:paraId="33CA24E1" w14:textId="6446A7AF" w:rsidR="00BE3F9C" w:rsidRPr="00BE23FA" w:rsidRDefault="00BE3F9C"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III/3 stratum 11</w:t>
            </w:r>
          </w:p>
        </w:tc>
        <w:tc>
          <w:tcPr>
            <w:tcW w:w="1672" w:type="dxa"/>
          </w:tcPr>
          <w:p w14:paraId="6CF5AC9E" w14:textId="47BE8250" w:rsidR="00BE3F9C" w:rsidRPr="00BE23FA" w:rsidRDefault="00BE3F9C"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34,03</w:t>
            </w:r>
          </w:p>
        </w:tc>
        <w:tc>
          <w:tcPr>
            <w:tcW w:w="1672" w:type="dxa"/>
          </w:tcPr>
          <w:p w14:paraId="27EC2448" w14:textId="19201B45" w:rsidR="00BE3F9C" w:rsidRPr="00BE23FA" w:rsidRDefault="00BE3F9C"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44,83</w:t>
            </w:r>
          </w:p>
        </w:tc>
        <w:tc>
          <w:tcPr>
            <w:tcW w:w="2699" w:type="dxa"/>
          </w:tcPr>
          <w:p w14:paraId="2938B3CD" w14:textId="3B1E7684" w:rsidR="00BE3F9C" w:rsidRPr="00BE23FA" w:rsidRDefault="00BE3F9C"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kern w:val="0"/>
                <w:lang w:val="en-US"/>
              </w:rPr>
              <w:t>Patou-Mathis and Chabaï 2003; Vermeersch 2025</w:t>
            </w:r>
          </w:p>
        </w:tc>
      </w:tr>
      <w:tr w:rsidR="00366D1B" w:rsidRPr="00BE23FA" w14:paraId="2E11FA00" w14:textId="77777777" w:rsidTr="00366D1B">
        <w:tc>
          <w:tcPr>
            <w:tcW w:w="1672" w:type="dxa"/>
          </w:tcPr>
          <w:p w14:paraId="360E1D36" w14:textId="38F310B3"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Karain Cave</w:t>
            </w:r>
          </w:p>
        </w:tc>
        <w:tc>
          <w:tcPr>
            <w:tcW w:w="1672" w:type="dxa"/>
          </w:tcPr>
          <w:p w14:paraId="5683804D" w14:textId="740F561B"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AH20-I.7-H</w:t>
            </w:r>
          </w:p>
        </w:tc>
        <w:tc>
          <w:tcPr>
            <w:tcW w:w="1672" w:type="dxa"/>
          </w:tcPr>
          <w:p w14:paraId="0DDDE217" w14:textId="113F2CEA"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30,57</w:t>
            </w:r>
          </w:p>
        </w:tc>
        <w:tc>
          <w:tcPr>
            <w:tcW w:w="1672" w:type="dxa"/>
          </w:tcPr>
          <w:p w14:paraId="14375736" w14:textId="188C99D8"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37,08</w:t>
            </w:r>
          </w:p>
        </w:tc>
        <w:tc>
          <w:tcPr>
            <w:tcW w:w="2699" w:type="dxa"/>
          </w:tcPr>
          <w:p w14:paraId="2A1977B4" w14:textId="1AB57681" w:rsidR="00366D1B" w:rsidRPr="00BE23FA" w:rsidRDefault="00BE3F9C" w:rsidP="00BE23FA">
            <w:pPr>
              <w:pStyle w:val="ListParagraph"/>
              <w:spacing w:line="360" w:lineRule="auto"/>
              <w:ind w:left="0"/>
              <w:jc w:val="both"/>
              <w:rPr>
                <w:rFonts w:ascii="Times New Roman" w:hAnsi="Times New Roman" w:cs="Times New Roman"/>
                <w:u w:val="single"/>
                <w:lang w:val="en-GB"/>
              </w:rPr>
            </w:pPr>
            <w:r w:rsidRPr="00BE23FA">
              <w:rPr>
                <w:rFonts w:ascii="Times New Roman" w:hAnsi="Times New Roman" w:cs="Times New Roman"/>
              </w:rPr>
              <w:t>Rink et al. 1994</w:t>
            </w:r>
          </w:p>
        </w:tc>
      </w:tr>
      <w:tr w:rsidR="00BE3F9C" w:rsidRPr="00BE23FA" w14:paraId="33E80C3F" w14:textId="77777777" w:rsidTr="00366D1B">
        <w:tc>
          <w:tcPr>
            <w:tcW w:w="1672" w:type="dxa"/>
          </w:tcPr>
          <w:p w14:paraId="77FBB502" w14:textId="327E3BAB" w:rsidR="00BE3F9C" w:rsidRPr="00BE23FA" w:rsidRDefault="00BE3F9C"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Karain Cave</w:t>
            </w:r>
          </w:p>
        </w:tc>
        <w:tc>
          <w:tcPr>
            <w:tcW w:w="1672" w:type="dxa"/>
          </w:tcPr>
          <w:p w14:paraId="0E5BF79B" w14:textId="07715234" w:rsidR="00BE3F9C" w:rsidRPr="00BE23FA" w:rsidRDefault="00BE3F9C"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AH25-III.2-F</w:t>
            </w:r>
          </w:p>
        </w:tc>
        <w:tc>
          <w:tcPr>
            <w:tcW w:w="1672" w:type="dxa"/>
          </w:tcPr>
          <w:p w14:paraId="79369BBE" w14:textId="29292DD3" w:rsidR="00BE3F9C" w:rsidRPr="00BE23FA" w:rsidRDefault="00BE3F9C"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30,57</w:t>
            </w:r>
          </w:p>
        </w:tc>
        <w:tc>
          <w:tcPr>
            <w:tcW w:w="1672" w:type="dxa"/>
          </w:tcPr>
          <w:p w14:paraId="3F01CF32" w14:textId="5E206665" w:rsidR="00BE3F9C" w:rsidRPr="00BE23FA" w:rsidRDefault="00BE3F9C"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37,08</w:t>
            </w:r>
          </w:p>
        </w:tc>
        <w:tc>
          <w:tcPr>
            <w:tcW w:w="2699" w:type="dxa"/>
          </w:tcPr>
          <w:p w14:paraId="43767EB7" w14:textId="49CB5FEB" w:rsidR="00BE3F9C" w:rsidRPr="00BE23FA" w:rsidRDefault="00BE3F9C"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rPr>
              <w:t>Rink et al. 1994</w:t>
            </w:r>
          </w:p>
        </w:tc>
      </w:tr>
      <w:tr w:rsidR="00366D1B" w:rsidRPr="00BE23FA" w14:paraId="51017362" w14:textId="77777777" w:rsidTr="00366D1B">
        <w:tc>
          <w:tcPr>
            <w:tcW w:w="1672" w:type="dxa"/>
          </w:tcPr>
          <w:p w14:paraId="35DC7738" w14:textId="5D292EFD"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Kulna Cave</w:t>
            </w:r>
          </w:p>
        </w:tc>
        <w:tc>
          <w:tcPr>
            <w:tcW w:w="1672" w:type="dxa"/>
          </w:tcPr>
          <w:p w14:paraId="65D660E7" w14:textId="0FFC9134"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12a</w:t>
            </w:r>
          </w:p>
        </w:tc>
        <w:tc>
          <w:tcPr>
            <w:tcW w:w="1672" w:type="dxa"/>
          </w:tcPr>
          <w:p w14:paraId="6C507BA5" w14:textId="334A5C67"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16,74</w:t>
            </w:r>
          </w:p>
        </w:tc>
        <w:tc>
          <w:tcPr>
            <w:tcW w:w="1672" w:type="dxa"/>
          </w:tcPr>
          <w:p w14:paraId="66A46133" w14:textId="751746F1"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49,41</w:t>
            </w:r>
          </w:p>
        </w:tc>
        <w:tc>
          <w:tcPr>
            <w:tcW w:w="2699" w:type="dxa"/>
          </w:tcPr>
          <w:p w14:paraId="4B31CFE5" w14:textId="1736C011" w:rsidR="00366D1B" w:rsidRPr="00BE23FA" w:rsidRDefault="00BE3F9C"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Nejman et al. 2011</w:t>
            </w:r>
          </w:p>
        </w:tc>
      </w:tr>
      <w:tr w:rsidR="00BE3F9C" w:rsidRPr="00BE23FA" w14:paraId="719DA30B" w14:textId="77777777" w:rsidTr="00366D1B">
        <w:tc>
          <w:tcPr>
            <w:tcW w:w="1672" w:type="dxa"/>
          </w:tcPr>
          <w:p w14:paraId="3FB465B8" w14:textId="4E28B6C9" w:rsidR="00BE3F9C" w:rsidRPr="00BE23FA" w:rsidRDefault="00BE3F9C"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Kulna Cave</w:t>
            </w:r>
          </w:p>
        </w:tc>
        <w:tc>
          <w:tcPr>
            <w:tcW w:w="1672" w:type="dxa"/>
          </w:tcPr>
          <w:p w14:paraId="06AF2BFF" w14:textId="452A7311" w:rsidR="00BE3F9C" w:rsidRPr="00BE23FA" w:rsidRDefault="004F0DE2"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14</w:t>
            </w:r>
          </w:p>
        </w:tc>
        <w:tc>
          <w:tcPr>
            <w:tcW w:w="1672" w:type="dxa"/>
          </w:tcPr>
          <w:p w14:paraId="09379B8C" w14:textId="16C9725C" w:rsidR="00BE3F9C" w:rsidRPr="00BE23FA" w:rsidRDefault="00BE3F9C"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16,74</w:t>
            </w:r>
          </w:p>
        </w:tc>
        <w:tc>
          <w:tcPr>
            <w:tcW w:w="1672" w:type="dxa"/>
          </w:tcPr>
          <w:p w14:paraId="35570F65" w14:textId="11116E9F" w:rsidR="00BE3F9C" w:rsidRPr="00BE23FA" w:rsidRDefault="00BE3F9C"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49,41</w:t>
            </w:r>
          </w:p>
        </w:tc>
        <w:tc>
          <w:tcPr>
            <w:tcW w:w="2699" w:type="dxa"/>
          </w:tcPr>
          <w:p w14:paraId="67F65EBF" w14:textId="2A731498" w:rsidR="00BE3F9C" w:rsidRPr="00BE23FA" w:rsidRDefault="00BE3F9C"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Nejman et al. 2011</w:t>
            </w:r>
          </w:p>
        </w:tc>
      </w:tr>
      <w:tr w:rsidR="00366D1B" w:rsidRPr="00BE23FA" w14:paraId="527BD428" w14:textId="77777777" w:rsidTr="00366D1B">
        <w:tc>
          <w:tcPr>
            <w:tcW w:w="1672" w:type="dxa"/>
          </w:tcPr>
          <w:p w14:paraId="4784DF25" w14:textId="20A8B08F"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La Ferrassie_Grand Abri</w:t>
            </w:r>
          </w:p>
        </w:tc>
        <w:tc>
          <w:tcPr>
            <w:tcW w:w="1672" w:type="dxa"/>
          </w:tcPr>
          <w:p w14:paraId="4F717BE9" w14:textId="08C23222"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A</w:t>
            </w:r>
          </w:p>
        </w:tc>
        <w:tc>
          <w:tcPr>
            <w:tcW w:w="1672" w:type="dxa"/>
          </w:tcPr>
          <w:p w14:paraId="4FAB81F2" w14:textId="20068741"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0,94</w:t>
            </w:r>
          </w:p>
        </w:tc>
        <w:tc>
          <w:tcPr>
            <w:tcW w:w="1672" w:type="dxa"/>
          </w:tcPr>
          <w:p w14:paraId="01A4F4C3" w14:textId="7B2DAD65"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44,95</w:t>
            </w:r>
          </w:p>
        </w:tc>
        <w:tc>
          <w:tcPr>
            <w:tcW w:w="2699" w:type="dxa"/>
          </w:tcPr>
          <w:p w14:paraId="304E9A22" w14:textId="46F3F974" w:rsidR="00366D1B" w:rsidRPr="00BE23FA" w:rsidRDefault="004F0DE2"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 xml:space="preserve">Guérin et al. 2015; </w:t>
            </w:r>
            <w:r w:rsidR="008E476B" w:rsidRPr="00BE23FA">
              <w:rPr>
                <w:rFonts w:ascii="Times New Roman" w:hAnsi="Times New Roman" w:cs="Times New Roman"/>
              </w:rPr>
              <w:t>Vermeersch 2025</w:t>
            </w:r>
          </w:p>
        </w:tc>
      </w:tr>
      <w:tr w:rsidR="00366D1B" w:rsidRPr="00BE23FA" w14:paraId="3F39C778" w14:textId="77777777" w:rsidTr="00366D1B">
        <w:tc>
          <w:tcPr>
            <w:tcW w:w="1672" w:type="dxa"/>
          </w:tcPr>
          <w:p w14:paraId="6B5CF795" w14:textId="6BD5F561"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Le Rozel</w:t>
            </w:r>
          </w:p>
        </w:tc>
        <w:tc>
          <w:tcPr>
            <w:tcW w:w="1672" w:type="dxa"/>
          </w:tcPr>
          <w:p w14:paraId="689303CA" w14:textId="0A338DBE" w:rsidR="00366D1B" w:rsidRPr="00BE23FA" w:rsidRDefault="00366D1B" w:rsidP="00BE23FA">
            <w:pPr>
              <w:pStyle w:val="ListParagraph"/>
              <w:spacing w:line="360" w:lineRule="auto"/>
              <w:ind w:left="0"/>
              <w:jc w:val="both"/>
              <w:rPr>
                <w:rFonts w:ascii="Times New Roman" w:hAnsi="Times New Roman" w:cs="Times New Roman"/>
                <w:u w:val="single"/>
                <w:lang w:val="en-US"/>
              </w:rPr>
            </w:pPr>
          </w:p>
        </w:tc>
        <w:tc>
          <w:tcPr>
            <w:tcW w:w="1672" w:type="dxa"/>
          </w:tcPr>
          <w:p w14:paraId="6B05558A" w14:textId="58EDBFA8"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-1,84263</w:t>
            </w:r>
          </w:p>
        </w:tc>
        <w:tc>
          <w:tcPr>
            <w:tcW w:w="1672" w:type="dxa"/>
          </w:tcPr>
          <w:p w14:paraId="46AF8452" w14:textId="76B2E021"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49,47129</w:t>
            </w:r>
          </w:p>
        </w:tc>
        <w:tc>
          <w:tcPr>
            <w:tcW w:w="2699" w:type="dxa"/>
          </w:tcPr>
          <w:p w14:paraId="56741AED" w14:textId="5A072336" w:rsidR="00366D1B" w:rsidRPr="00BE23FA" w:rsidRDefault="00BE3F9C"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Stoetzel et al. 2016; Mercier et al. 2019</w:t>
            </w:r>
          </w:p>
        </w:tc>
      </w:tr>
      <w:tr w:rsidR="00FF716E" w:rsidRPr="00BE23FA" w14:paraId="012BFA93" w14:textId="77777777" w:rsidTr="00366D1B">
        <w:tc>
          <w:tcPr>
            <w:tcW w:w="1672" w:type="dxa"/>
          </w:tcPr>
          <w:p w14:paraId="037ACB91" w14:textId="2025109F" w:rsidR="00FF716E" w:rsidRPr="00BE23FA" w:rsidRDefault="00FF716E"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Madonna dell Arma</w:t>
            </w:r>
          </w:p>
        </w:tc>
        <w:tc>
          <w:tcPr>
            <w:tcW w:w="1672" w:type="dxa"/>
          </w:tcPr>
          <w:p w14:paraId="18E03B9E" w14:textId="69774773" w:rsidR="00FF716E" w:rsidRPr="00BE23FA" w:rsidRDefault="008F5723"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III-</w:t>
            </w:r>
            <w:r w:rsidR="00FF716E" w:rsidRPr="00BE23FA">
              <w:rPr>
                <w:rFonts w:ascii="Times New Roman" w:hAnsi="Times New Roman" w:cs="Times New Roman"/>
              </w:rPr>
              <w:t>IV</w:t>
            </w:r>
          </w:p>
        </w:tc>
        <w:tc>
          <w:tcPr>
            <w:tcW w:w="1672" w:type="dxa"/>
          </w:tcPr>
          <w:p w14:paraId="6D5BC9E1" w14:textId="3AF0D56F" w:rsidR="00FF716E" w:rsidRPr="00BE23FA" w:rsidRDefault="00FF716E"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7,85</w:t>
            </w:r>
          </w:p>
        </w:tc>
        <w:tc>
          <w:tcPr>
            <w:tcW w:w="1672" w:type="dxa"/>
          </w:tcPr>
          <w:p w14:paraId="755CA064" w14:textId="540DCB7D" w:rsidR="00FF716E" w:rsidRPr="00BE23FA" w:rsidRDefault="00FF716E"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43,83</w:t>
            </w:r>
          </w:p>
        </w:tc>
        <w:tc>
          <w:tcPr>
            <w:tcW w:w="2699" w:type="dxa"/>
          </w:tcPr>
          <w:p w14:paraId="7D820CA4" w14:textId="52CCD130" w:rsidR="00FF716E" w:rsidRPr="00BE23FA" w:rsidRDefault="008F5723" w:rsidP="00BE23FA">
            <w:pPr>
              <w:pStyle w:val="ListParagraph"/>
              <w:spacing w:line="360" w:lineRule="auto"/>
              <w:ind w:left="0"/>
              <w:jc w:val="both"/>
              <w:rPr>
                <w:rFonts w:ascii="Times New Roman" w:hAnsi="Times New Roman" w:cs="Times New Roman"/>
                <w:u w:val="single"/>
                <w:lang w:val="it-IT"/>
              </w:rPr>
            </w:pPr>
            <w:r w:rsidRPr="00BE23FA">
              <w:rPr>
                <w:rFonts w:ascii="Times New Roman" w:hAnsi="Times New Roman" w:cs="Times New Roman"/>
                <w:lang w:val="it-IT"/>
              </w:rPr>
              <w:t xml:space="preserve">Kaniewski et al. 2005; Cauche 2007; </w:t>
            </w:r>
            <w:r w:rsidR="008E476B" w:rsidRPr="00BE23FA">
              <w:rPr>
                <w:rFonts w:ascii="Times New Roman" w:hAnsi="Times New Roman" w:cs="Times New Roman"/>
                <w:lang w:val="it-IT"/>
              </w:rPr>
              <w:t>Vermeersch 2025</w:t>
            </w:r>
          </w:p>
        </w:tc>
      </w:tr>
      <w:tr w:rsidR="00FF716E" w:rsidRPr="00BE23FA" w14:paraId="2D2DD2FD" w14:textId="77777777" w:rsidTr="00366D1B">
        <w:tc>
          <w:tcPr>
            <w:tcW w:w="1672" w:type="dxa"/>
          </w:tcPr>
          <w:p w14:paraId="0F388AC9" w14:textId="1BCA4FEA" w:rsidR="00FF716E" w:rsidRPr="00BE23FA" w:rsidRDefault="00FF716E"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Moula Guercy</w:t>
            </w:r>
          </w:p>
        </w:tc>
        <w:tc>
          <w:tcPr>
            <w:tcW w:w="1672" w:type="dxa"/>
          </w:tcPr>
          <w:p w14:paraId="0730E909" w14:textId="32383C29" w:rsidR="00FF716E" w:rsidRPr="00BE23FA" w:rsidRDefault="00FF716E"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XV</w:t>
            </w:r>
          </w:p>
        </w:tc>
        <w:tc>
          <w:tcPr>
            <w:tcW w:w="1672" w:type="dxa"/>
          </w:tcPr>
          <w:p w14:paraId="7A68BD18" w14:textId="7595E9BD" w:rsidR="00FF716E" w:rsidRPr="00BE23FA" w:rsidRDefault="00FF716E"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4,85</w:t>
            </w:r>
          </w:p>
        </w:tc>
        <w:tc>
          <w:tcPr>
            <w:tcW w:w="1672" w:type="dxa"/>
          </w:tcPr>
          <w:p w14:paraId="1F2B3A78" w14:textId="7046DFED" w:rsidR="00FF716E" w:rsidRPr="00BE23FA" w:rsidRDefault="00FF716E"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44,88</w:t>
            </w:r>
          </w:p>
        </w:tc>
        <w:tc>
          <w:tcPr>
            <w:tcW w:w="2699" w:type="dxa"/>
          </w:tcPr>
          <w:p w14:paraId="586EC94F" w14:textId="76755DF3" w:rsidR="00FF716E" w:rsidRPr="00BE23FA" w:rsidRDefault="00A67CED"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 xml:space="preserve">Willmes et al. 2016; </w:t>
            </w:r>
            <w:r w:rsidR="0045561F" w:rsidRPr="00BE23FA">
              <w:rPr>
                <w:rFonts w:ascii="Times New Roman" w:hAnsi="Times New Roman" w:cs="Times New Roman"/>
                <w:lang w:val="nb-NO"/>
              </w:rPr>
              <w:t xml:space="preserve">Grün and Stringer 2023; </w:t>
            </w:r>
            <w:r w:rsidR="008E476B" w:rsidRPr="00BE23FA">
              <w:rPr>
                <w:rFonts w:ascii="Times New Roman" w:hAnsi="Times New Roman" w:cs="Times New Roman"/>
                <w:lang w:val="nb-NO"/>
              </w:rPr>
              <w:t>Vermeersch 2025</w:t>
            </w:r>
            <w:r w:rsidR="0045561F" w:rsidRPr="00BE23FA">
              <w:rPr>
                <w:rFonts w:ascii="Times New Roman" w:hAnsi="Times New Roman" w:cs="Times New Roman"/>
                <w:lang w:val="nb-NO"/>
              </w:rPr>
              <w:t xml:space="preserve"> </w:t>
            </w:r>
          </w:p>
        </w:tc>
      </w:tr>
      <w:tr w:rsidR="00366D1B" w:rsidRPr="00BE23FA" w14:paraId="629D4950" w14:textId="77777777" w:rsidTr="00366D1B">
        <w:tc>
          <w:tcPr>
            <w:tcW w:w="1672" w:type="dxa"/>
          </w:tcPr>
          <w:p w14:paraId="5203EDFB" w14:textId="02202730"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lastRenderedPageBreak/>
              <w:t>Mutzig-rain</w:t>
            </w:r>
          </w:p>
        </w:tc>
        <w:tc>
          <w:tcPr>
            <w:tcW w:w="1672" w:type="dxa"/>
          </w:tcPr>
          <w:p w14:paraId="7BCD8741" w14:textId="67D523F6"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C3</w:t>
            </w:r>
          </w:p>
        </w:tc>
        <w:tc>
          <w:tcPr>
            <w:tcW w:w="1672" w:type="dxa"/>
          </w:tcPr>
          <w:p w14:paraId="16CAB6FC" w14:textId="607FBF3F"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7,44442</w:t>
            </w:r>
          </w:p>
        </w:tc>
        <w:tc>
          <w:tcPr>
            <w:tcW w:w="1672" w:type="dxa"/>
          </w:tcPr>
          <w:p w14:paraId="79DAAA73" w14:textId="57008511"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48,53958</w:t>
            </w:r>
          </w:p>
        </w:tc>
        <w:tc>
          <w:tcPr>
            <w:tcW w:w="2699" w:type="dxa"/>
          </w:tcPr>
          <w:p w14:paraId="54C9F3DD" w14:textId="50A6BA20" w:rsidR="00366D1B" w:rsidRPr="00BE23FA" w:rsidRDefault="003F38D1"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Koehler et al. 2021; Bahain et al. 2024</w:t>
            </w:r>
          </w:p>
        </w:tc>
      </w:tr>
      <w:tr w:rsidR="003F38D1" w:rsidRPr="00BE23FA" w14:paraId="3F1E4761" w14:textId="77777777" w:rsidTr="00366D1B">
        <w:tc>
          <w:tcPr>
            <w:tcW w:w="1672" w:type="dxa"/>
          </w:tcPr>
          <w:p w14:paraId="47126EB5" w14:textId="16EFD676"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Mutzig-rain</w:t>
            </w:r>
          </w:p>
        </w:tc>
        <w:tc>
          <w:tcPr>
            <w:tcW w:w="1672" w:type="dxa"/>
          </w:tcPr>
          <w:p w14:paraId="292DFE21" w14:textId="35C5D897"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C5</w:t>
            </w:r>
          </w:p>
        </w:tc>
        <w:tc>
          <w:tcPr>
            <w:tcW w:w="1672" w:type="dxa"/>
          </w:tcPr>
          <w:p w14:paraId="647B12CD" w14:textId="28E78B84"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7,44442</w:t>
            </w:r>
          </w:p>
        </w:tc>
        <w:tc>
          <w:tcPr>
            <w:tcW w:w="1672" w:type="dxa"/>
          </w:tcPr>
          <w:p w14:paraId="608D2201" w14:textId="0DC7E8EE"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48,53958</w:t>
            </w:r>
          </w:p>
        </w:tc>
        <w:tc>
          <w:tcPr>
            <w:tcW w:w="2699" w:type="dxa"/>
          </w:tcPr>
          <w:p w14:paraId="215E70E8" w14:textId="273F3BF6" w:rsidR="003F38D1" w:rsidRPr="00BE23FA" w:rsidRDefault="003F38D1"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Koehler et al. 2021; Bahain et al. 2024</w:t>
            </w:r>
          </w:p>
        </w:tc>
      </w:tr>
      <w:tr w:rsidR="003F38D1" w:rsidRPr="00BE23FA" w14:paraId="7A142B3D" w14:textId="77777777" w:rsidTr="00366D1B">
        <w:tc>
          <w:tcPr>
            <w:tcW w:w="1672" w:type="dxa"/>
          </w:tcPr>
          <w:p w14:paraId="07A51894" w14:textId="6B9D8F34"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Mutzig-rain</w:t>
            </w:r>
          </w:p>
        </w:tc>
        <w:tc>
          <w:tcPr>
            <w:tcW w:w="1672" w:type="dxa"/>
          </w:tcPr>
          <w:p w14:paraId="63AC8C0D" w14:textId="06F7B3DA"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C5/7A</w:t>
            </w:r>
          </w:p>
        </w:tc>
        <w:tc>
          <w:tcPr>
            <w:tcW w:w="1672" w:type="dxa"/>
          </w:tcPr>
          <w:p w14:paraId="6D85C7F4" w14:textId="195DFE7F"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7,44442</w:t>
            </w:r>
          </w:p>
        </w:tc>
        <w:tc>
          <w:tcPr>
            <w:tcW w:w="1672" w:type="dxa"/>
          </w:tcPr>
          <w:p w14:paraId="4054D7CC" w14:textId="00D8E682"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48,53958</w:t>
            </w:r>
          </w:p>
        </w:tc>
        <w:tc>
          <w:tcPr>
            <w:tcW w:w="2699" w:type="dxa"/>
          </w:tcPr>
          <w:p w14:paraId="11E78634" w14:textId="3FEC1A25" w:rsidR="003F38D1" w:rsidRPr="00BE23FA" w:rsidRDefault="003F38D1"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Koehler et al. 2021; Bahain et al. 2024</w:t>
            </w:r>
          </w:p>
        </w:tc>
      </w:tr>
      <w:tr w:rsidR="003F38D1" w:rsidRPr="00BE23FA" w14:paraId="4463A2C1" w14:textId="77777777" w:rsidTr="00366D1B">
        <w:tc>
          <w:tcPr>
            <w:tcW w:w="1672" w:type="dxa"/>
          </w:tcPr>
          <w:p w14:paraId="72CBC5C2" w14:textId="334E605A"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Mutzig-rain</w:t>
            </w:r>
          </w:p>
        </w:tc>
        <w:tc>
          <w:tcPr>
            <w:tcW w:w="1672" w:type="dxa"/>
          </w:tcPr>
          <w:p w14:paraId="0E6E9466" w14:textId="21F86658"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C7A</w:t>
            </w:r>
          </w:p>
        </w:tc>
        <w:tc>
          <w:tcPr>
            <w:tcW w:w="1672" w:type="dxa"/>
          </w:tcPr>
          <w:p w14:paraId="433FB657" w14:textId="77DD6DEF"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7,44442</w:t>
            </w:r>
          </w:p>
        </w:tc>
        <w:tc>
          <w:tcPr>
            <w:tcW w:w="1672" w:type="dxa"/>
          </w:tcPr>
          <w:p w14:paraId="7E4304AA" w14:textId="201B6EA5"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48,53958</w:t>
            </w:r>
          </w:p>
        </w:tc>
        <w:tc>
          <w:tcPr>
            <w:tcW w:w="2699" w:type="dxa"/>
          </w:tcPr>
          <w:p w14:paraId="6C16DE86" w14:textId="5FB3C5BF" w:rsidR="003F38D1" w:rsidRPr="00BE23FA" w:rsidRDefault="003F38D1"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Koehler et al. 2021; Bahain et al. 2024</w:t>
            </w:r>
          </w:p>
        </w:tc>
      </w:tr>
      <w:tr w:rsidR="003F38D1" w:rsidRPr="00BE23FA" w14:paraId="48BE747F" w14:textId="77777777" w:rsidTr="00366D1B">
        <w:tc>
          <w:tcPr>
            <w:tcW w:w="1672" w:type="dxa"/>
          </w:tcPr>
          <w:p w14:paraId="48AE1C7C" w14:textId="7F482FF8" w:rsidR="003F38D1" w:rsidRPr="00BE23FA" w:rsidRDefault="003F38D1"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Mutzig-rain</w:t>
            </w:r>
          </w:p>
        </w:tc>
        <w:tc>
          <w:tcPr>
            <w:tcW w:w="1672" w:type="dxa"/>
          </w:tcPr>
          <w:p w14:paraId="5A879B2F" w14:textId="3807944A"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C7C</w:t>
            </w:r>
          </w:p>
        </w:tc>
        <w:tc>
          <w:tcPr>
            <w:tcW w:w="1672" w:type="dxa"/>
          </w:tcPr>
          <w:p w14:paraId="1F59479F" w14:textId="7FDAAF98"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7,44442</w:t>
            </w:r>
          </w:p>
        </w:tc>
        <w:tc>
          <w:tcPr>
            <w:tcW w:w="1672" w:type="dxa"/>
          </w:tcPr>
          <w:p w14:paraId="3F1D67AB" w14:textId="2E8107EA"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48,53958</w:t>
            </w:r>
          </w:p>
        </w:tc>
        <w:tc>
          <w:tcPr>
            <w:tcW w:w="2699" w:type="dxa"/>
          </w:tcPr>
          <w:p w14:paraId="661EDAD8" w14:textId="01776090" w:rsidR="003F38D1" w:rsidRPr="00BE23FA" w:rsidRDefault="003F38D1"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Koehler et al. 2021; Bahain et al. 2024</w:t>
            </w:r>
          </w:p>
        </w:tc>
      </w:tr>
      <w:tr w:rsidR="003F38D1" w:rsidRPr="00BE23FA" w14:paraId="0EDCAF1F" w14:textId="77777777" w:rsidTr="00366D1B">
        <w:tc>
          <w:tcPr>
            <w:tcW w:w="1672" w:type="dxa"/>
          </w:tcPr>
          <w:p w14:paraId="4D8818C8" w14:textId="5AD63209"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Mutzig-rain</w:t>
            </w:r>
          </w:p>
        </w:tc>
        <w:tc>
          <w:tcPr>
            <w:tcW w:w="1672" w:type="dxa"/>
          </w:tcPr>
          <w:p w14:paraId="792B9907" w14:textId="4FCE56BA"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C8/9</w:t>
            </w:r>
          </w:p>
        </w:tc>
        <w:tc>
          <w:tcPr>
            <w:tcW w:w="1672" w:type="dxa"/>
          </w:tcPr>
          <w:p w14:paraId="189AA2B9" w14:textId="306C7FD2"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7,44442</w:t>
            </w:r>
          </w:p>
        </w:tc>
        <w:tc>
          <w:tcPr>
            <w:tcW w:w="1672" w:type="dxa"/>
          </w:tcPr>
          <w:p w14:paraId="7F614C60" w14:textId="6DEB68ED"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48,53958</w:t>
            </w:r>
          </w:p>
        </w:tc>
        <w:tc>
          <w:tcPr>
            <w:tcW w:w="2699" w:type="dxa"/>
          </w:tcPr>
          <w:p w14:paraId="52BBEF6B" w14:textId="5BC02C48" w:rsidR="003F38D1" w:rsidRPr="00BE23FA" w:rsidRDefault="003F38D1"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Koehler et al. 2021; Bahain et al. 2024</w:t>
            </w:r>
          </w:p>
        </w:tc>
      </w:tr>
      <w:tr w:rsidR="003F38D1" w:rsidRPr="00BE23FA" w14:paraId="1370996E" w14:textId="77777777" w:rsidTr="00366D1B">
        <w:tc>
          <w:tcPr>
            <w:tcW w:w="1672" w:type="dxa"/>
          </w:tcPr>
          <w:p w14:paraId="4336E42B" w14:textId="4CBEE083"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Mutzig-rain</w:t>
            </w:r>
          </w:p>
        </w:tc>
        <w:tc>
          <w:tcPr>
            <w:tcW w:w="1672" w:type="dxa"/>
          </w:tcPr>
          <w:p w14:paraId="2BDC3065" w14:textId="1815FDDB"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C9</w:t>
            </w:r>
          </w:p>
        </w:tc>
        <w:tc>
          <w:tcPr>
            <w:tcW w:w="1672" w:type="dxa"/>
          </w:tcPr>
          <w:p w14:paraId="39396650" w14:textId="26CF0502"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7,44442</w:t>
            </w:r>
          </w:p>
        </w:tc>
        <w:tc>
          <w:tcPr>
            <w:tcW w:w="1672" w:type="dxa"/>
          </w:tcPr>
          <w:p w14:paraId="6A16D9CF" w14:textId="6B8D1592"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48,53958</w:t>
            </w:r>
          </w:p>
        </w:tc>
        <w:tc>
          <w:tcPr>
            <w:tcW w:w="2699" w:type="dxa"/>
          </w:tcPr>
          <w:p w14:paraId="09AED6BC" w14:textId="766FBA4B" w:rsidR="003F38D1" w:rsidRPr="00BE23FA" w:rsidRDefault="003F38D1"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Koehler et al. 2021; Bahain et al. 2024</w:t>
            </w:r>
          </w:p>
        </w:tc>
      </w:tr>
      <w:tr w:rsidR="003F38D1" w:rsidRPr="00BE23FA" w14:paraId="6F2DC79F" w14:textId="77777777" w:rsidTr="00366D1B">
        <w:tc>
          <w:tcPr>
            <w:tcW w:w="1672" w:type="dxa"/>
          </w:tcPr>
          <w:p w14:paraId="61BACE1A" w14:textId="02064C6E"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Mutzig-rain</w:t>
            </w:r>
          </w:p>
        </w:tc>
        <w:tc>
          <w:tcPr>
            <w:tcW w:w="1672" w:type="dxa"/>
          </w:tcPr>
          <w:p w14:paraId="56819DAD" w14:textId="39B9C522"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C10</w:t>
            </w:r>
          </w:p>
        </w:tc>
        <w:tc>
          <w:tcPr>
            <w:tcW w:w="1672" w:type="dxa"/>
          </w:tcPr>
          <w:p w14:paraId="458AD4B5" w14:textId="0B28AAA3"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7,44442</w:t>
            </w:r>
          </w:p>
        </w:tc>
        <w:tc>
          <w:tcPr>
            <w:tcW w:w="1672" w:type="dxa"/>
          </w:tcPr>
          <w:p w14:paraId="7A0EFBF1" w14:textId="18DEF175"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48,53958</w:t>
            </w:r>
          </w:p>
        </w:tc>
        <w:tc>
          <w:tcPr>
            <w:tcW w:w="2699" w:type="dxa"/>
          </w:tcPr>
          <w:p w14:paraId="2BE444BD" w14:textId="374AC961" w:rsidR="003F38D1" w:rsidRPr="00BE23FA" w:rsidRDefault="003F38D1"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Koehler et al. 2021; Bahain et al. 2024</w:t>
            </w:r>
          </w:p>
        </w:tc>
      </w:tr>
      <w:tr w:rsidR="00366D1B" w:rsidRPr="00BE23FA" w14:paraId="3B1B4423" w14:textId="77777777" w:rsidTr="00366D1B">
        <w:tc>
          <w:tcPr>
            <w:tcW w:w="1672" w:type="dxa"/>
          </w:tcPr>
          <w:p w14:paraId="4A500B1C" w14:textId="00BCDA7F"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Neumark-Nord</w:t>
            </w:r>
          </w:p>
        </w:tc>
        <w:tc>
          <w:tcPr>
            <w:tcW w:w="1672" w:type="dxa"/>
          </w:tcPr>
          <w:p w14:paraId="7BC6FDD2" w14:textId="54D4189E"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2/0</w:t>
            </w:r>
          </w:p>
        </w:tc>
        <w:tc>
          <w:tcPr>
            <w:tcW w:w="1672" w:type="dxa"/>
          </w:tcPr>
          <w:p w14:paraId="1C045A87" w14:textId="7E361B37"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11,9</w:t>
            </w:r>
          </w:p>
        </w:tc>
        <w:tc>
          <w:tcPr>
            <w:tcW w:w="1672" w:type="dxa"/>
          </w:tcPr>
          <w:p w14:paraId="6E119C9F" w14:textId="44E5DE60"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51,32</w:t>
            </w:r>
          </w:p>
        </w:tc>
        <w:tc>
          <w:tcPr>
            <w:tcW w:w="2699" w:type="dxa"/>
          </w:tcPr>
          <w:p w14:paraId="34B266B7" w14:textId="4B1C6B13" w:rsidR="00366D1B"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kern w:val="0"/>
              </w:rPr>
              <w:t>Laurat and Brühl 2021</w:t>
            </w:r>
          </w:p>
        </w:tc>
      </w:tr>
      <w:tr w:rsidR="00366D1B" w:rsidRPr="00BE23FA" w14:paraId="7318C2E3" w14:textId="77777777" w:rsidTr="00366D1B">
        <w:tc>
          <w:tcPr>
            <w:tcW w:w="1672" w:type="dxa"/>
          </w:tcPr>
          <w:p w14:paraId="2011BB66" w14:textId="1861DED2"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Oliveira</w:t>
            </w:r>
          </w:p>
        </w:tc>
        <w:tc>
          <w:tcPr>
            <w:tcW w:w="1672" w:type="dxa"/>
          </w:tcPr>
          <w:p w14:paraId="634EF2DF" w14:textId="0FD98370"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8</w:t>
            </w:r>
          </w:p>
        </w:tc>
        <w:tc>
          <w:tcPr>
            <w:tcW w:w="1672" w:type="dxa"/>
          </w:tcPr>
          <w:p w14:paraId="66C84567" w14:textId="1D30DB95"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-8,61361</w:t>
            </w:r>
          </w:p>
        </w:tc>
        <w:tc>
          <w:tcPr>
            <w:tcW w:w="1672" w:type="dxa"/>
          </w:tcPr>
          <w:p w14:paraId="2C1B6BF1" w14:textId="0EAA2AB0" w:rsidR="00366D1B" w:rsidRPr="00BE23FA" w:rsidRDefault="00366D1B"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39,50639</w:t>
            </w:r>
          </w:p>
        </w:tc>
        <w:tc>
          <w:tcPr>
            <w:tcW w:w="2699" w:type="dxa"/>
          </w:tcPr>
          <w:p w14:paraId="3308C921" w14:textId="1FED007C" w:rsidR="00366D1B" w:rsidRPr="00BE23FA" w:rsidRDefault="009144FB" w:rsidP="00BE23FA">
            <w:pPr>
              <w:pStyle w:val="ListParagraph"/>
              <w:spacing w:line="360" w:lineRule="auto"/>
              <w:ind w:left="0"/>
              <w:jc w:val="both"/>
              <w:rPr>
                <w:rFonts w:ascii="Times New Roman" w:hAnsi="Times New Roman" w:cs="Times New Roman"/>
                <w:lang w:val="nb-NO"/>
              </w:rPr>
            </w:pPr>
            <w:r w:rsidRPr="00BE23FA">
              <w:rPr>
                <w:rFonts w:ascii="Times New Roman" w:hAnsi="Times New Roman" w:cs="Times New Roman"/>
                <w:kern w:val="0"/>
                <w:lang w:val="nb-NO"/>
              </w:rPr>
              <w:t xml:space="preserve">Zilhão et al. 2021; </w:t>
            </w:r>
            <w:r w:rsidR="003F38D1" w:rsidRPr="00BE23FA">
              <w:rPr>
                <w:rFonts w:ascii="Times New Roman" w:hAnsi="Times New Roman" w:cs="Times New Roman"/>
                <w:lang w:val="nb-NO"/>
              </w:rPr>
              <w:t>Kandel et al. 2023; Vermeersch 2025</w:t>
            </w:r>
          </w:p>
        </w:tc>
      </w:tr>
      <w:tr w:rsidR="003F38D1" w:rsidRPr="00BE23FA" w14:paraId="13FC1039" w14:textId="77777777" w:rsidTr="00366D1B">
        <w:tc>
          <w:tcPr>
            <w:tcW w:w="1672" w:type="dxa"/>
          </w:tcPr>
          <w:p w14:paraId="17F97EBF" w14:textId="001A75DD"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Oliveira</w:t>
            </w:r>
          </w:p>
        </w:tc>
        <w:tc>
          <w:tcPr>
            <w:tcW w:w="1672" w:type="dxa"/>
          </w:tcPr>
          <w:p w14:paraId="598017AA" w14:textId="2FFBD484"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11</w:t>
            </w:r>
          </w:p>
        </w:tc>
        <w:tc>
          <w:tcPr>
            <w:tcW w:w="1672" w:type="dxa"/>
          </w:tcPr>
          <w:p w14:paraId="2218AA07" w14:textId="0E7F60A2"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-8,61361</w:t>
            </w:r>
          </w:p>
        </w:tc>
        <w:tc>
          <w:tcPr>
            <w:tcW w:w="1672" w:type="dxa"/>
          </w:tcPr>
          <w:p w14:paraId="273F9D25" w14:textId="00FF54C3"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39,50639</w:t>
            </w:r>
          </w:p>
        </w:tc>
        <w:tc>
          <w:tcPr>
            <w:tcW w:w="2699" w:type="dxa"/>
          </w:tcPr>
          <w:p w14:paraId="4E7C5CAC" w14:textId="2FA49F46" w:rsidR="003F38D1" w:rsidRPr="00BE23FA" w:rsidRDefault="009144F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kern w:val="0"/>
                <w:lang w:val="nb-NO"/>
              </w:rPr>
              <w:t xml:space="preserve">Zilhão et al. 2021; </w:t>
            </w:r>
            <w:r w:rsidR="003F38D1" w:rsidRPr="00BE23FA">
              <w:rPr>
                <w:rFonts w:ascii="Times New Roman" w:hAnsi="Times New Roman" w:cs="Times New Roman"/>
                <w:lang w:val="nb-NO"/>
              </w:rPr>
              <w:t>Kandel et al. 2023; Vermeersch 2025</w:t>
            </w:r>
          </w:p>
        </w:tc>
      </w:tr>
      <w:tr w:rsidR="003F38D1" w:rsidRPr="00BE23FA" w14:paraId="74C9B461" w14:textId="77777777" w:rsidTr="00366D1B">
        <w:tc>
          <w:tcPr>
            <w:tcW w:w="1672" w:type="dxa"/>
          </w:tcPr>
          <w:p w14:paraId="48071719" w14:textId="122E174C"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Payre</w:t>
            </w:r>
            <w:r w:rsidR="00175B52" w:rsidRPr="00BE23FA">
              <w:rPr>
                <w:rFonts w:ascii="Times New Roman" w:hAnsi="Times New Roman" w:cs="Times New Roman"/>
                <w:vertAlign w:val="superscript"/>
              </w:rPr>
              <w:t>1</w:t>
            </w:r>
          </w:p>
        </w:tc>
        <w:tc>
          <w:tcPr>
            <w:tcW w:w="1672" w:type="dxa"/>
          </w:tcPr>
          <w:p w14:paraId="530E035B" w14:textId="5B825017"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D</w:t>
            </w:r>
          </w:p>
        </w:tc>
        <w:tc>
          <w:tcPr>
            <w:tcW w:w="1672" w:type="dxa"/>
          </w:tcPr>
          <w:p w14:paraId="5BA39BC4" w14:textId="19F93838"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4,73611</w:t>
            </w:r>
          </w:p>
        </w:tc>
        <w:tc>
          <w:tcPr>
            <w:tcW w:w="1672" w:type="dxa"/>
          </w:tcPr>
          <w:p w14:paraId="2E9B82A6" w14:textId="3E27DE41" w:rsidR="003F38D1" w:rsidRPr="00BE23FA" w:rsidRDefault="003F38D1"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rPr>
              <w:t>44,73167</w:t>
            </w:r>
          </w:p>
        </w:tc>
        <w:tc>
          <w:tcPr>
            <w:tcW w:w="2699" w:type="dxa"/>
          </w:tcPr>
          <w:p w14:paraId="1EEFE8FB" w14:textId="311B4141" w:rsidR="003F38D1" w:rsidRPr="00BE23FA" w:rsidRDefault="009144FB"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 xml:space="preserve">Foury et al. 2016; </w:t>
            </w:r>
            <w:r w:rsidR="003F38D1" w:rsidRPr="00BE23FA">
              <w:rPr>
                <w:rFonts w:ascii="Times New Roman" w:hAnsi="Times New Roman" w:cs="Times New Roman"/>
                <w:lang w:val="nb-NO"/>
              </w:rPr>
              <w:t>Kandel et al. 2023; Vermeersch 2025</w:t>
            </w:r>
          </w:p>
        </w:tc>
      </w:tr>
      <w:tr w:rsidR="00366D1B" w:rsidRPr="00BE23FA" w14:paraId="085DF651" w14:textId="77777777" w:rsidTr="00366D1B">
        <w:tc>
          <w:tcPr>
            <w:tcW w:w="1672" w:type="dxa"/>
          </w:tcPr>
          <w:p w14:paraId="10B0AF22" w14:textId="541BE3E4"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Pech de l Azé II</w:t>
            </w:r>
          </w:p>
        </w:tc>
        <w:tc>
          <w:tcPr>
            <w:tcW w:w="1672" w:type="dxa"/>
          </w:tcPr>
          <w:p w14:paraId="653B6DF6" w14:textId="746BB3FD"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4B</w:t>
            </w:r>
          </w:p>
        </w:tc>
        <w:tc>
          <w:tcPr>
            <w:tcW w:w="1672" w:type="dxa"/>
          </w:tcPr>
          <w:p w14:paraId="33F66291" w14:textId="004B4205"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1,25</w:t>
            </w:r>
          </w:p>
        </w:tc>
        <w:tc>
          <w:tcPr>
            <w:tcW w:w="1672" w:type="dxa"/>
          </w:tcPr>
          <w:p w14:paraId="0E30133F" w14:textId="743FE60D" w:rsidR="00366D1B" w:rsidRPr="00BE23FA" w:rsidRDefault="00366D1B"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44,86</w:t>
            </w:r>
          </w:p>
        </w:tc>
        <w:tc>
          <w:tcPr>
            <w:tcW w:w="2699" w:type="dxa"/>
          </w:tcPr>
          <w:p w14:paraId="655EFEB3" w14:textId="460D8478" w:rsidR="00366D1B" w:rsidRPr="00BE23FA" w:rsidRDefault="00CB47E5"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 xml:space="preserve">Jacobs et al. 2016; </w:t>
            </w:r>
            <w:r w:rsidR="008E476B" w:rsidRPr="00BE23FA">
              <w:rPr>
                <w:rFonts w:ascii="Times New Roman" w:hAnsi="Times New Roman" w:cs="Times New Roman"/>
              </w:rPr>
              <w:t>Vermeersch 2025</w:t>
            </w:r>
          </w:p>
        </w:tc>
      </w:tr>
      <w:tr w:rsidR="00FF716E" w:rsidRPr="00BE23FA" w14:paraId="18C13315" w14:textId="77777777" w:rsidTr="00366D1B">
        <w:tc>
          <w:tcPr>
            <w:tcW w:w="1672" w:type="dxa"/>
          </w:tcPr>
          <w:p w14:paraId="0168AE15" w14:textId="6EE8A6F6" w:rsidR="00FF716E" w:rsidRPr="00BE23FA" w:rsidRDefault="00FF716E"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Pecheurs</w:t>
            </w:r>
          </w:p>
        </w:tc>
        <w:tc>
          <w:tcPr>
            <w:tcW w:w="1672" w:type="dxa"/>
          </w:tcPr>
          <w:p w14:paraId="27EB1CBE" w14:textId="1465F071" w:rsidR="00FF716E" w:rsidRPr="00BE23FA" w:rsidRDefault="00FF716E"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Sector 4</w:t>
            </w:r>
          </w:p>
        </w:tc>
        <w:tc>
          <w:tcPr>
            <w:tcW w:w="1672" w:type="dxa"/>
          </w:tcPr>
          <w:p w14:paraId="01BA78F3" w14:textId="32274B56" w:rsidR="00FF716E" w:rsidRPr="00BE23FA" w:rsidRDefault="00FF716E"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4,21</w:t>
            </w:r>
          </w:p>
        </w:tc>
        <w:tc>
          <w:tcPr>
            <w:tcW w:w="1672" w:type="dxa"/>
          </w:tcPr>
          <w:p w14:paraId="69BEABAC" w14:textId="1B046215" w:rsidR="00FF716E" w:rsidRPr="00BE23FA" w:rsidRDefault="00FF716E"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44,41</w:t>
            </w:r>
          </w:p>
        </w:tc>
        <w:tc>
          <w:tcPr>
            <w:tcW w:w="2699" w:type="dxa"/>
          </w:tcPr>
          <w:p w14:paraId="52CCE02E" w14:textId="5E39C152" w:rsidR="00FF716E" w:rsidRPr="00BE23FA" w:rsidRDefault="00072AFA"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 xml:space="preserve">Moncel and Lhomme 2007; </w:t>
            </w:r>
            <w:r w:rsidR="008E476B" w:rsidRPr="00BE23FA">
              <w:rPr>
                <w:rFonts w:ascii="Times New Roman" w:hAnsi="Times New Roman" w:cs="Times New Roman"/>
              </w:rPr>
              <w:t>Vermeersch 2025</w:t>
            </w:r>
          </w:p>
        </w:tc>
      </w:tr>
      <w:tr w:rsidR="002B2A24" w:rsidRPr="00BE23FA" w14:paraId="4E321B94" w14:textId="77777777" w:rsidTr="00366D1B">
        <w:tc>
          <w:tcPr>
            <w:tcW w:w="1672" w:type="dxa"/>
          </w:tcPr>
          <w:p w14:paraId="331AA70D" w14:textId="2464B38F" w:rsidR="002B2A24" w:rsidRPr="00BE23FA" w:rsidRDefault="002B2A24"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Pešturina cave</w:t>
            </w:r>
          </w:p>
        </w:tc>
        <w:tc>
          <w:tcPr>
            <w:tcW w:w="1672" w:type="dxa"/>
          </w:tcPr>
          <w:p w14:paraId="20876A3A" w14:textId="66CDEE2B" w:rsidR="002B2A24" w:rsidRPr="00BE23FA" w:rsidRDefault="002B2A24"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4a</w:t>
            </w:r>
          </w:p>
        </w:tc>
        <w:tc>
          <w:tcPr>
            <w:tcW w:w="1672" w:type="dxa"/>
          </w:tcPr>
          <w:p w14:paraId="0602F802" w14:textId="2443FFDA" w:rsidR="002B2A24" w:rsidRPr="00BE23FA" w:rsidRDefault="002B2A24"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21,9</w:t>
            </w:r>
          </w:p>
        </w:tc>
        <w:tc>
          <w:tcPr>
            <w:tcW w:w="1672" w:type="dxa"/>
          </w:tcPr>
          <w:p w14:paraId="3AF11C66" w14:textId="25FF40DB" w:rsidR="002B2A24" w:rsidRPr="00BE23FA" w:rsidRDefault="002B2A24"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43,167</w:t>
            </w:r>
          </w:p>
        </w:tc>
        <w:tc>
          <w:tcPr>
            <w:tcW w:w="2699" w:type="dxa"/>
          </w:tcPr>
          <w:p w14:paraId="4EDB4D52" w14:textId="02520484"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 xml:space="preserve">Blackwell et al. 2014; </w:t>
            </w:r>
            <w:r w:rsidRPr="00BE23FA">
              <w:rPr>
                <w:rFonts w:ascii="Times New Roman" w:hAnsi="Times New Roman" w:cs="Times New Roman"/>
                <w:kern w:val="0"/>
                <w:lang w:val="nb-NO"/>
              </w:rPr>
              <w:t>Puzachenko et al. 2021; Mihailović et al. 2022</w:t>
            </w:r>
            <w:r w:rsidR="00C20A11" w:rsidRPr="00BE23FA">
              <w:rPr>
                <w:rFonts w:ascii="Times New Roman" w:hAnsi="Times New Roman" w:cs="Times New Roman"/>
                <w:kern w:val="0"/>
                <w:lang w:val="nb-NO"/>
              </w:rPr>
              <w:t>;</w:t>
            </w:r>
            <w:r w:rsidRPr="00BE23FA">
              <w:rPr>
                <w:rFonts w:ascii="Times New Roman" w:hAnsi="Times New Roman" w:cs="Times New Roman"/>
                <w:lang w:val="nb-NO"/>
              </w:rPr>
              <w:t xml:space="preserve"> Vermeersch 2025</w:t>
            </w:r>
          </w:p>
        </w:tc>
      </w:tr>
      <w:tr w:rsidR="002B2A24" w:rsidRPr="00BE23FA" w14:paraId="74F7A900" w14:textId="77777777" w:rsidTr="00366D1B">
        <w:tc>
          <w:tcPr>
            <w:tcW w:w="1672" w:type="dxa"/>
          </w:tcPr>
          <w:p w14:paraId="1BDF4BAE" w14:textId="5AFB9943"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Pešturina cave</w:t>
            </w:r>
          </w:p>
        </w:tc>
        <w:tc>
          <w:tcPr>
            <w:tcW w:w="1672" w:type="dxa"/>
          </w:tcPr>
          <w:p w14:paraId="60671EA3" w14:textId="0536DCF6"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4c</w:t>
            </w:r>
          </w:p>
        </w:tc>
        <w:tc>
          <w:tcPr>
            <w:tcW w:w="1672" w:type="dxa"/>
          </w:tcPr>
          <w:p w14:paraId="6F0F378B" w14:textId="0EDD1AC6"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21,9</w:t>
            </w:r>
          </w:p>
        </w:tc>
        <w:tc>
          <w:tcPr>
            <w:tcW w:w="1672" w:type="dxa"/>
          </w:tcPr>
          <w:p w14:paraId="35D2B1A7" w14:textId="1277682C"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43,16667</w:t>
            </w:r>
          </w:p>
        </w:tc>
        <w:tc>
          <w:tcPr>
            <w:tcW w:w="2699" w:type="dxa"/>
          </w:tcPr>
          <w:p w14:paraId="6EF62BB5" w14:textId="60A6AC81"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 xml:space="preserve">Blackwell et al. 2014; </w:t>
            </w:r>
            <w:r w:rsidRPr="00BE23FA">
              <w:rPr>
                <w:rFonts w:ascii="Times New Roman" w:hAnsi="Times New Roman" w:cs="Times New Roman"/>
                <w:kern w:val="0"/>
                <w:lang w:val="nb-NO"/>
              </w:rPr>
              <w:t>Puzachenko et al. 2021; Mihailović et al. 2022</w:t>
            </w:r>
            <w:r w:rsidRPr="00BE23FA">
              <w:rPr>
                <w:rFonts w:ascii="Times New Roman" w:hAnsi="Times New Roman" w:cs="Times New Roman"/>
                <w:lang w:val="nb-NO"/>
              </w:rPr>
              <w:t xml:space="preserve"> Vermeersch 2025</w:t>
            </w:r>
          </w:p>
        </w:tc>
      </w:tr>
      <w:tr w:rsidR="002B2A24" w:rsidRPr="00BE23FA" w14:paraId="0D222E1A" w14:textId="77777777" w:rsidTr="00366D1B">
        <w:tc>
          <w:tcPr>
            <w:tcW w:w="1672" w:type="dxa"/>
          </w:tcPr>
          <w:p w14:paraId="5C1B54B7" w14:textId="5B010665"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Preresa</w:t>
            </w:r>
          </w:p>
        </w:tc>
        <w:tc>
          <w:tcPr>
            <w:tcW w:w="1672" w:type="dxa"/>
          </w:tcPr>
          <w:p w14:paraId="1F8DEA17" w14:textId="515F4A26" w:rsidR="002B2A24" w:rsidRPr="00BE23FA" w:rsidRDefault="002B2A24" w:rsidP="00BE23FA">
            <w:pPr>
              <w:pStyle w:val="ListParagraph"/>
              <w:spacing w:line="360" w:lineRule="auto"/>
              <w:ind w:left="0"/>
              <w:jc w:val="both"/>
              <w:rPr>
                <w:rFonts w:ascii="Times New Roman" w:hAnsi="Times New Roman" w:cs="Times New Roman"/>
                <w:u w:val="single"/>
                <w:lang w:val="nb-NO"/>
              </w:rPr>
            </w:pPr>
          </w:p>
        </w:tc>
        <w:tc>
          <w:tcPr>
            <w:tcW w:w="1672" w:type="dxa"/>
          </w:tcPr>
          <w:p w14:paraId="225A46A1" w14:textId="277DE784"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-3,589</w:t>
            </w:r>
          </w:p>
        </w:tc>
        <w:tc>
          <w:tcPr>
            <w:tcW w:w="1672" w:type="dxa"/>
          </w:tcPr>
          <w:p w14:paraId="7C5452E5" w14:textId="1B45C573"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40,303</w:t>
            </w:r>
          </w:p>
        </w:tc>
        <w:tc>
          <w:tcPr>
            <w:tcW w:w="2699" w:type="dxa"/>
          </w:tcPr>
          <w:p w14:paraId="49FD152D" w14:textId="137F59EB" w:rsidR="002B2A24" w:rsidRPr="00BE23FA" w:rsidRDefault="002B2A24" w:rsidP="00BE23FA">
            <w:pPr>
              <w:pStyle w:val="ListParagraph"/>
              <w:spacing w:line="360" w:lineRule="auto"/>
              <w:ind w:left="0"/>
              <w:jc w:val="both"/>
              <w:rPr>
                <w:rFonts w:ascii="Times New Roman" w:hAnsi="Times New Roman" w:cs="Times New Roman"/>
                <w:u w:val="single"/>
              </w:rPr>
            </w:pPr>
            <w:r w:rsidRPr="00BE23FA">
              <w:rPr>
                <w:rFonts w:ascii="Times New Roman" w:hAnsi="Times New Roman" w:cs="Times New Roman"/>
              </w:rPr>
              <w:t>López-Recio et al. 2018; Vermeersch 2025</w:t>
            </w:r>
          </w:p>
        </w:tc>
      </w:tr>
      <w:tr w:rsidR="002B2A24" w:rsidRPr="00BE23FA" w14:paraId="13DED747" w14:textId="77777777" w:rsidTr="00366D1B">
        <w:tc>
          <w:tcPr>
            <w:tcW w:w="1672" w:type="dxa"/>
          </w:tcPr>
          <w:p w14:paraId="734F4B3F" w14:textId="513212A3"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Ramandils</w:t>
            </w:r>
          </w:p>
        </w:tc>
        <w:tc>
          <w:tcPr>
            <w:tcW w:w="1672" w:type="dxa"/>
          </w:tcPr>
          <w:p w14:paraId="4406ABBE" w14:textId="296F8D36"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V</w:t>
            </w:r>
          </w:p>
        </w:tc>
        <w:tc>
          <w:tcPr>
            <w:tcW w:w="1672" w:type="dxa"/>
          </w:tcPr>
          <w:p w14:paraId="4EF77B9A" w14:textId="22265396"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3,0346</w:t>
            </w:r>
          </w:p>
        </w:tc>
        <w:tc>
          <w:tcPr>
            <w:tcW w:w="1672" w:type="dxa"/>
          </w:tcPr>
          <w:p w14:paraId="074DAC26" w14:textId="3A80C32F"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43,00618</w:t>
            </w:r>
          </w:p>
        </w:tc>
        <w:tc>
          <w:tcPr>
            <w:tcW w:w="2699" w:type="dxa"/>
          </w:tcPr>
          <w:p w14:paraId="49D1E22E" w14:textId="0FB9A724"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rPr>
              <w:t>Rush et al. 2019; Vermeersch 2025</w:t>
            </w:r>
          </w:p>
        </w:tc>
      </w:tr>
      <w:tr w:rsidR="002B2A24" w:rsidRPr="00BE23FA" w14:paraId="4BAF6548" w14:textId="77777777" w:rsidTr="00366D1B">
        <w:tc>
          <w:tcPr>
            <w:tcW w:w="1672" w:type="dxa"/>
          </w:tcPr>
          <w:p w14:paraId="66F58D17" w14:textId="21B860CB"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Rinoceront</w:t>
            </w:r>
          </w:p>
        </w:tc>
        <w:tc>
          <w:tcPr>
            <w:tcW w:w="1672" w:type="dxa"/>
          </w:tcPr>
          <w:p w14:paraId="7532A470" w14:textId="1DF945F6"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I</w:t>
            </w:r>
          </w:p>
        </w:tc>
        <w:tc>
          <w:tcPr>
            <w:tcW w:w="1672" w:type="dxa"/>
          </w:tcPr>
          <w:p w14:paraId="32DB4AE8" w14:textId="64E5D9BD"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1,960833333</w:t>
            </w:r>
          </w:p>
        </w:tc>
        <w:tc>
          <w:tcPr>
            <w:tcW w:w="1672" w:type="dxa"/>
          </w:tcPr>
          <w:p w14:paraId="21D5879E" w14:textId="6B51233B"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41,27361111</w:t>
            </w:r>
          </w:p>
        </w:tc>
        <w:tc>
          <w:tcPr>
            <w:tcW w:w="2699" w:type="dxa"/>
          </w:tcPr>
          <w:p w14:paraId="17C06A01" w14:textId="55AB4407"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rPr>
              <w:t>Daura et al. 2015</w:t>
            </w:r>
          </w:p>
        </w:tc>
      </w:tr>
      <w:tr w:rsidR="002B2A24" w:rsidRPr="00BE23FA" w14:paraId="0C304052" w14:textId="77777777" w:rsidTr="00366D1B">
        <w:tc>
          <w:tcPr>
            <w:tcW w:w="1672" w:type="dxa"/>
          </w:tcPr>
          <w:p w14:paraId="2C1A276A" w14:textId="7078C889"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Riparo Mochi</w:t>
            </w:r>
          </w:p>
        </w:tc>
        <w:tc>
          <w:tcPr>
            <w:tcW w:w="1672" w:type="dxa"/>
          </w:tcPr>
          <w:p w14:paraId="0266DD89" w14:textId="20BDDE24"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I</w:t>
            </w:r>
          </w:p>
        </w:tc>
        <w:tc>
          <w:tcPr>
            <w:tcW w:w="1672" w:type="dxa"/>
          </w:tcPr>
          <w:p w14:paraId="3F4D83F2" w14:textId="23E50345"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7,53478</w:t>
            </w:r>
          </w:p>
        </w:tc>
        <w:tc>
          <w:tcPr>
            <w:tcW w:w="1672" w:type="dxa"/>
          </w:tcPr>
          <w:p w14:paraId="1BCBB715" w14:textId="5ED72E16"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43,78406</w:t>
            </w:r>
          </w:p>
        </w:tc>
        <w:tc>
          <w:tcPr>
            <w:tcW w:w="2699" w:type="dxa"/>
          </w:tcPr>
          <w:p w14:paraId="713B54C7" w14:textId="695FF672" w:rsidR="002B2A24" w:rsidRPr="00BE23FA" w:rsidRDefault="005C7487"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 xml:space="preserve">Frouin et al. 2022; </w:t>
            </w:r>
            <w:r w:rsidR="002B2A24" w:rsidRPr="00BE23FA">
              <w:rPr>
                <w:rFonts w:ascii="Times New Roman" w:hAnsi="Times New Roman" w:cs="Times New Roman"/>
                <w:lang w:val="nb-NO"/>
              </w:rPr>
              <w:t>Kandel et al. 2023; Vermeersch 2025</w:t>
            </w:r>
          </w:p>
        </w:tc>
      </w:tr>
      <w:tr w:rsidR="002B2A24" w:rsidRPr="00BE23FA" w14:paraId="299939B1" w14:textId="77777777" w:rsidTr="00366D1B">
        <w:tc>
          <w:tcPr>
            <w:tcW w:w="1672" w:type="dxa"/>
          </w:tcPr>
          <w:p w14:paraId="0C0D45E5" w14:textId="6F7FA0A1"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Roc de Marsal</w:t>
            </w:r>
          </w:p>
        </w:tc>
        <w:tc>
          <w:tcPr>
            <w:tcW w:w="1672" w:type="dxa"/>
          </w:tcPr>
          <w:p w14:paraId="743F0ACD" w14:textId="1CE12D42"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w:t>
            </w:r>
          </w:p>
        </w:tc>
        <w:tc>
          <w:tcPr>
            <w:tcW w:w="1672" w:type="dxa"/>
          </w:tcPr>
          <w:p w14:paraId="318E458C" w14:textId="4F48CFB2"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0,96705</w:t>
            </w:r>
          </w:p>
        </w:tc>
        <w:tc>
          <w:tcPr>
            <w:tcW w:w="1672" w:type="dxa"/>
          </w:tcPr>
          <w:p w14:paraId="3A0ED511" w14:textId="469FCF95"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44,90636</w:t>
            </w:r>
          </w:p>
        </w:tc>
        <w:tc>
          <w:tcPr>
            <w:tcW w:w="2699" w:type="dxa"/>
          </w:tcPr>
          <w:p w14:paraId="6610B268" w14:textId="4E8966D3"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kern w:val="0"/>
                <w:lang w:val="nb-NO"/>
              </w:rPr>
              <w:t>Goldberg et al. 2012; Guérin et al. 2017</w:t>
            </w:r>
          </w:p>
        </w:tc>
      </w:tr>
      <w:tr w:rsidR="002B2A24" w:rsidRPr="00BE23FA" w14:paraId="35EF23F0" w14:textId="77777777" w:rsidTr="00366D1B">
        <w:tc>
          <w:tcPr>
            <w:tcW w:w="1672" w:type="dxa"/>
          </w:tcPr>
          <w:p w14:paraId="4DBD4AE8" w14:textId="25128F3C"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Roc de Marsal</w:t>
            </w:r>
          </w:p>
        </w:tc>
        <w:tc>
          <w:tcPr>
            <w:tcW w:w="1672" w:type="dxa"/>
          </w:tcPr>
          <w:p w14:paraId="71EF7DDF" w14:textId="2C43ED81"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8</w:t>
            </w:r>
          </w:p>
        </w:tc>
        <w:tc>
          <w:tcPr>
            <w:tcW w:w="1672" w:type="dxa"/>
          </w:tcPr>
          <w:p w14:paraId="0BBCBAD1" w14:textId="774272D4"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0,96705</w:t>
            </w:r>
          </w:p>
        </w:tc>
        <w:tc>
          <w:tcPr>
            <w:tcW w:w="1672" w:type="dxa"/>
          </w:tcPr>
          <w:p w14:paraId="62579F7E" w14:textId="5AEA1755"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44,90636</w:t>
            </w:r>
          </w:p>
        </w:tc>
        <w:tc>
          <w:tcPr>
            <w:tcW w:w="2699" w:type="dxa"/>
          </w:tcPr>
          <w:p w14:paraId="568E8E1F" w14:textId="46CAF284"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kern w:val="0"/>
                <w:lang w:val="nb-NO"/>
              </w:rPr>
              <w:t>Goldberg et al. 2012; Guérin et al. 2017</w:t>
            </w:r>
          </w:p>
        </w:tc>
      </w:tr>
      <w:tr w:rsidR="002B2A24" w:rsidRPr="00BE23FA" w14:paraId="57A37A11" w14:textId="77777777" w:rsidTr="00366D1B">
        <w:tc>
          <w:tcPr>
            <w:tcW w:w="1672" w:type="dxa"/>
          </w:tcPr>
          <w:p w14:paraId="532FAD50" w14:textId="386FC7B6"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Roc de Marsal</w:t>
            </w:r>
          </w:p>
        </w:tc>
        <w:tc>
          <w:tcPr>
            <w:tcW w:w="1672" w:type="dxa"/>
          </w:tcPr>
          <w:p w14:paraId="6718B5BE" w14:textId="3DBF1726"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9</w:t>
            </w:r>
          </w:p>
        </w:tc>
        <w:tc>
          <w:tcPr>
            <w:tcW w:w="1672" w:type="dxa"/>
          </w:tcPr>
          <w:p w14:paraId="3A013881" w14:textId="68320900"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0,96705</w:t>
            </w:r>
          </w:p>
        </w:tc>
        <w:tc>
          <w:tcPr>
            <w:tcW w:w="1672" w:type="dxa"/>
          </w:tcPr>
          <w:p w14:paraId="5BE177B7" w14:textId="526B5CB1"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44,90636</w:t>
            </w:r>
          </w:p>
        </w:tc>
        <w:tc>
          <w:tcPr>
            <w:tcW w:w="2699" w:type="dxa"/>
          </w:tcPr>
          <w:p w14:paraId="73BA92ED" w14:textId="46E4F14C"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kern w:val="0"/>
                <w:lang w:val="nb-NO"/>
              </w:rPr>
              <w:t>Goldberg et al. 2012; Guérin et al. 2017</w:t>
            </w:r>
          </w:p>
        </w:tc>
      </w:tr>
      <w:tr w:rsidR="002B2A24" w:rsidRPr="00BE23FA" w14:paraId="60EF16F7" w14:textId="77777777" w:rsidTr="00366D1B">
        <w:tc>
          <w:tcPr>
            <w:tcW w:w="1672" w:type="dxa"/>
          </w:tcPr>
          <w:p w14:paraId="358ED4A3" w14:textId="365C820A"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Scladina</w:t>
            </w:r>
          </w:p>
        </w:tc>
        <w:tc>
          <w:tcPr>
            <w:tcW w:w="1672" w:type="dxa"/>
          </w:tcPr>
          <w:p w14:paraId="438051B9" w14:textId="068998C4"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3</w:t>
            </w:r>
          </w:p>
        </w:tc>
        <w:tc>
          <w:tcPr>
            <w:tcW w:w="1672" w:type="dxa"/>
          </w:tcPr>
          <w:p w14:paraId="2CCBFE40" w14:textId="5775A5B8"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5,02</w:t>
            </w:r>
          </w:p>
        </w:tc>
        <w:tc>
          <w:tcPr>
            <w:tcW w:w="1672" w:type="dxa"/>
          </w:tcPr>
          <w:p w14:paraId="28E5A123" w14:textId="1A2D72D3"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50,48</w:t>
            </w:r>
          </w:p>
        </w:tc>
        <w:tc>
          <w:tcPr>
            <w:tcW w:w="2699" w:type="dxa"/>
          </w:tcPr>
          <w:p w14:paraId="0C6384EC" w14:textId="4C88466B"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Puzachenko et al. 2021</w:t>
            </w:r>
            <w:r w:rsidR="00AF7497" w:rsidRPr="00BE23FA">
              <w:rPr>
                <w:rFonts w:ascii="Times New Roman" w:hAnsi="Times New Roman" w:cs="Times New Roman"/>
                <w:lang w:val="nb-NO"/>
              </w:rPr>
              <w:t>; Vanhof et al. 2024</w:t>
            </w:r>
          </w:p>
        </w:tc>
      </w:tr>
      <w:tr w:rsidR="002B2A24" w:rsidRPr="00BE23FA" w14:paraId="74F0B903" w14:textId="77777777" w:rsidTr="00366D1B">
        <w:tc>
          <w:tcPr>
            <w:tcW w:w="1672" w:type="dxa"/>
          </w:tcPr>
          <w:p w14:paraId="4F50FBA3" w14:textId="757D13FC"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Tabun Cave</w:t>
            </w:r>
          </w:p>
        </w:tc>
        <w:tc>
          <w:tcPr>
            <w:tcW w:w="1672" w:type="dxa"/>
          </w:tcPr>
          <w:p w14:paraId="70D28A5B" w14:textId="472C4BEA"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B</w:t>
            </w:r>
          </w:p>
        </w:tc>
        <w:tc>
          <w:tcPr>
            <w:tcW w:w="1672" w:type="dxa"/>
          </w:tcPr>
          <w:p w14:paraId="5812C5B6" w14:textId="2479C45B"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34,97</w:t>
            </w:r>
          </w:p>
        </w:tc>
        <w:tc>
          <w:tcPr>
            <w:tcW w:w="1672" w:type="dxa"/>
          </w:tcPr>
          <w:p w14:paraId="6337AC4F" w14:textId="2623A923"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lang w:val="nb-NO"/>
              </w:rPr>
              <w:t>32,67</w:t>
            </w:r>
          </w:p>
        </w:tc>
        <w:tc>
          <w:tcPr>
            <w:tcW w:w="2699" w:type="dxa"/>
          </w:tcPr>
          <w:p w14:paraId="69DA40B1" w14:textId="09388002"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kern w:val="0"/>
                <w:lang w:val="nb-NO"/>
              </w:rPr>
              <w:t>Grün and Stringer 2000; Kandel et al. 2023</w:t>
            </w:r>
          </w:p>
        </w:tc>
      </w:tr>
      <w:tr w:rsidR="002B2A24" w:rsidRPr="00BE23FA" w14:paraId="04DBA190" w14:textId="77777777" w:rsidTr="00366D1B">
        <w:tc>
          <w:tcPr>
            <w:tcW w:w="1672" w:type="dxa"/>
          </w:tcPr>
          <w:p w14:paraId="51F6ABD0" w14:textId="403CCCB8" w:rsidR="002B2A24" w:rsidRPr="00BE23FA" w:rsidRDefault="002B2A24"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Tata</w:t>
            </w:r>
          </w:p>
        </w:tc>
        <w:tc>
          <w:tcPr>
            <w:tcW w:w="1672" w:type="dxa"/>
          </w:tcPr>
          <w:p w14:paraId="7F2A30FC" w14:textId="778692F2" w:rsidR="002B2A24" w:rsidRPr="00BE23FA" w:rsidRDefault="002B2A24" w:rsidP="00BE23FA">
            <w:pPr>
              <w:pStyle w:val="ListParagraph"/>
              <w:spacing w:line="360" w:lineRule="auto"/>
              <w:ind w:left="0"/>
              <w:jc w:val="both"/>
              <w:rPr>
                <w:rFonts w:ascii="Times New Roman" w:hAnsi="Times New Roman" w:cs="Times New Roman"/>
                <w:u w:val="single"/>
                <w:lang w:val="en-US"/>
              </w:rPr>
            </w:pPr>
          </w:p>
        </w:tc>
        <w:tc>
          <w:tcPr>
            <w:tcW w:w="1672" w:type="dxa"/>
          </w:tcPr>
          <w:p w14:paraId="10A63F5E" w14:textId="6A9EBC5F" w:rsidR="002B2A24" w:rsidRPr="00BE23FA" w:rsidRDefault="002B2A24"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18,32853</w:t>
            </w:r>
          </w:p>
        </w:tc>
        <w:tc>
          <w:tcPr>
            <w:tcW w:w="1672" w:type="dxa"/>
          </w:tcPr>
          <w:p w14:paraId="54D9AA86" w14:textId="25E2057A" w:rsidR="002B2A24" w:rsidRPr="00BE23FA" w:rsidRDefault="002B2A24"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47,65526</w:t>
            </w:r>
          </w:p>
        </w:tc>
        <w:tc>
          <w:tcPr>
            <w:tcW w:w="2699" w:type="dxa"/>
          </w:tcPr>
          <w:p w14:paraId="3D6FCB6B" w14:textId="57937629" w:rsidR="002B2A24" w:rsidRPr="00BE23FA" w:rsidRDefault="002B2A24"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US"/>
              </w:rPr>
              <w:t>Borel et al. 2017; Vermeersch 2025</w:t>
            </w:r>
          </w:p>
        </w:tc>
      </w:tr>
      <w:tr w:rsidR="002B2A24" w:rsidRPr="00BE23FA" w14:paraId="315A82EA" w14:textId="77777777" w:rsidTr="00366D1B">
        <w:tc>
          <w:tcPr>
            <w:tcW w:w="1672" w:type="dxa"/>
          </w:tcPr>
          <w:p w14:paraId="78D1D50B" w14:textId="4DBDD465" w:rsidR="002B2A24" w:rsidRPr="00BE23FA" w:rsidRDefault="002B2A24"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lastRenderedPageBreak/>
              <w:t>Vanguard Cave</w:t>
            </w:r>
          </w:p>
        </w:tc>
        <w:tc>
          <w:tcPr>
            <w:tcW w:w="1672" w:type="dxa"/>
          </w:tcPr>
          <w:p w14:paraId="24E70EFE" w14:textId="068A1105" w:rsidR="002B2A24" w:rsidRPr="00BE23FA" w:rsidRDefault="002B2A24" w:rsidP="00BE23FA">
            <w:pPr>
              <w:pStyle w:val="ListParagraph"/>
              <w:spacing w:line="360" w:lineRule="auto"/>
              <w:ind w:left="0"/>
              <w:jc w:val="both"/>
              <w:rPr>
                <w:rFonts w:ascii="Times New Roman" w:hAnsi="Times New Roman" w:cs="Times New Roman"/>
                <w:u w:val="single"/>
                <w:lang w:val="en-US"/>
              </w:rPr>
            </w:pPr>
          </w:p>
        </w:tc>
        <w:tc>
          <w:tcPr>
            <w:tcW w:w="1672" w:type="dxa"/>
          </w:tcPr>
          <w:p w14:paraId="4F36F3D3" w14:textId="2C8E5F9A" w:rsidR="002B2A24" w:rsidRPr="00BE23FA" w:rsidRDefault="002B2A24"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-5,34167</w:t>
            </w:r>
          </w:p>
        </w:tc>
        <w:tc>
          <w:tcPr>
            <w:tcW w:w="1672" w:type="dxa"/>
          </w:tcPr>
          <w:p w14:paraId="0A34BF6C" w14:textId="44716AC7" w:rsidR="002B2A24" w:rsidRPr="00BE23FA" w:rsidRDefault="002B2A24"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36,121389</w:t>
            </w:r>
          </w:p>
        </w:tc>
        <w:tc>
          <w:tcPr>
            <w:tcW w:w="2699" w:type="dxa"/>
          </w:tcPr>
          <w:p w14:paraId="24A03694" w14:textId="310B0F63" w:rsidR="002B2A24" w:rsidRPr="00BE23FA" w:rsidRDefault="002B2A24"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kern w:val="0"/>
                <w:lang w:val="nb-NO"/>
              </w:rPr>
              <w:t>Carrión et al. 2018;</w:t>
            </w:r>
            <w:r w:rsidR="004A3EC3" w:rsidRPr="00BE23FA">
              <w:rPr>
                <w:rFonts w:ascii="Times New Roman" w:hAnsi="Times New Roman" w:cs="Times New Roman"/>
                <w:kern w:val="0"/>
                <w:lang w:val="nb-NO"/>
              </w:rPr>
              <w:t xml:space="preserve"> Doerschner et al. 2019;</w:t>
            </w:r>
            <w:r w:rsidRPr="00BE23FA">
              <w:rPr>
                <w:rFonts w:ascii="Times New Roman" w:hAnsi="Times New Roman" w:cs="Times New Roman"/>
                <w:kern w:val="0"/>
                <w:lang w:val="nb-NO"/>
              </w:rPr>
              <w:t xml:space="preserve"> Vermeersch 2025</w:t>
            </w:r>
          </w:p>
        </w:tc>
      </w:tr>
      <w:tr w:rsidR="002B2A24" w:rsidRPr="00BE23FA" w14:paraId="0B75AAD9" w14:textId="77777777" w:rsidTr="00366D1B">
        <w:tc>
          <w:tcPr>
            <w:tcW w:w="1672" w:type="dxa"/>
          </w:tcPr>
          <w:p w14:paraId="4FA14E47" w14:textId="344B8494" w:rsidR="002B2A24" w:rsidRPr="00BE23FA" w:rsidRDefault="002B2A24"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Vindija</w:t>
            </w:r>
          </w:p>
        </w:tc>
        <w:tc>
          <w:tcPr>
            <w:tcW w:w="1672" w:type="dxa"/>
          </w:tcPr>
          <w:p w14:paraId="7A44E7EF" w14:textId="72843F0F" w:rsidR="002B2A24" w:rsidRPr="00BE23FA" w:rsidRDefault="002B2A24"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H/I</w:t>
            </w:r>
          </w:p>
        </w:tc>
        <w:tc>
          <w:tcPr>
            <w:tcW w:w="1672" w:type="dxa"/>
          </w:tcPr>
          <w:p w14:paraId="4082BC7A" w14:textId="4025D535" w:rsidR="002B2A24" w:rsidRPr="00BE23FA" w:rsidRDefault="002B2A24"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16,08</w:t>
            </w:r>
          </w:p>
        </w:tc>
        <w:tc>
          <w:tcPr>
            <w:tcW w:w="1672" w:type="dxa"/>
          </w:tcPr>
          <w:p w14:paraId="72856983" w14:textId="3C73A063" w:rsidR="002B2A24" w:rsidRPr="00BE23FA" w:rsidRDefault="002B2A24"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46,3</w:t>
            </w:r>
          </w:p>
        </w:tc>
        <w:tc>
          <w:tcPr>
            <w:tcW w:w="2699" w:type="dxa"/>
          </w:tcPr>
          <w:p w14:paraId="032DB497" w14:textId="72361893" w:rsidR="002B2A24" w:rsidRPr="00BE23FA" w:rsidRDefault="004A3EC3"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rPr>
              <w:t xml:space="preserve">Karavanić et al. 2021; </w:t>
            </w:r>
            <w:r w:rsidR="002B2A24" w:rsidRPr="00BE23FA">
              <w:rPr>
                <w:rFonts w:ascii="Times New Roman" w:hAnsi="Times New Roman" w:cs="Times New Roman"/>
              </w:rPr>
              <w:t>Vermeersch 2025</w:t>
            </w:r>
          </w:p>
        </w:tc>
      </w:tr>
      <w:tr w:rsidR="002B2A24" w:rsidRPr="00BE23FA" w14:paraId="067A8A08" w14:textId="77777777" w:rsidTr="00366D1B">
        <w:tc>
          <w:tcPr>
            <w:tcW w:w="1672" w:type="dxa"/>
          </w:tcPr>
          <w:p w14:paraId="3C27FDD5" w14:textId="2888DF08" w:rsidR="002B2A24" w:rsidRPr="00BE23FA" w:rsidRDefault="002B2A24"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Vindija</w:t>
            </w:r>
          </w:p>
        </w:tc>
        <w:tc>
          <w:tcPr>
            <w:tcW w:w="1672" w:type="dxa"/>
          </w:tcPr>
          <w:p w14:paraId="6541AB49" w14:textId="42856DD5" w:rsidR="002B2A24" w:rsidRPr="00BE23FA" w:rsidRDefault="002B2A24"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H</w:t>
            </w:r>
          </w:p>
        </w:tc>
        <w:tc>
          <w:tcPr>
            <w:tcW w:w="1672" w:type="dxa"/>
          </w:tcPr>
          <w:p w14:paraId="2354F50D" w14:textId="2D0390D7" w:rsidR="002B2A24" w:rsidRPr="00BE23FA" w:rsidRDefault="002B2A24"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16,08</w:t>
            </w:r>
          </w:p>
        </w:tc>
        <w:tc>
          <w:tcPr>
            <w:tcW w:w="1672" w:type="dxa"/>
          </w:tcPr>
          <w:p w14:paraId="0D49ABEC" w14:textId="1013620D" w:rsidR="002B2A24" w:rsidRPr="00BE23FA" w:rsidRDefault="002B2A24"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46,3</w:t>
            </w:r>
          </w:p>
        </w:tc>
        <w:tc>
          <w:tcPr>
            <w:tcW w:w="2699" w:type="dxa"/>
          </w:tcPr>
          <w:p w14:paraId="5E55390D" w14:textId="3CE64129" w:rsidR="002B2A24" w:rsidRPr="00BE23FA" w:rsidRDefault="004A3EC3" w:rsidP="00BE23FA">
            <w:pPr>
              <w:pStyle w:val="ListParagraph"/>
              <w:spacing w:line="360" w:lineRule="auto"/>
              <w:ind w:left="0"/>
              <w:jc w:val="both"/>
              <w:rPr>
                <w:rFonts w:ascii="Times New Roman" w:hAnsi="Times New Roman" w:cs="Times New Roman"/>
                <w:u w:val="single"/>
                <w:lang w:val="nb-NO"/>
              </w:rPr>
            </w:pPr>
            <w:r w:rsidRPr="00BE23FA">
              <w:rPr>
                <w:rFonts w:ascii="Times New Roman" w:hAnsi="Times New Roman" w:cs="Times New Roman"/>
              </w:rPr>
              <w:t>Karavanić et al. 2021; Vermeersch 2025</w:t>
            </w:r>
          </w:p>
        </w:tc>
      </w:tr>
      <w:tr w:rsidR="002B2A24" w:rsidRPr="00BE23FA" w14:paraId="3B0780C3" w14:textId="77777777" w:rsidTr="00366D1B">
        <w:tc>
          <w:tcPr>
            <w:tcW w:w="1672" w:type="dxa"/>
          </w:tcPr>
          <w:p w14:paraId="260E145F" w14:textId="16CABF96" w:rsidR="002B2A24" w:rsidRPr="00BE23FA" w:rsidRDefault="002B2A24"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Zwoleń</w:t>
            </w:r>
          </w:p>
        </w:tc>
        <w:tc>
          <w:tcPr>
            <w:tcW w:w="1672" w:type="dxa"/>
          </w:tcPr>
          <w:p w14:paraId="05305496" w14:textId="7B24978F" w:rsidR="002B2A24" w:rsidRPr="00BE23FA" w:rsidRDefault="002B2A24"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IV</w:t>
            </w:r>
          </w:p>
        </w:tc>
        <w:tc>
          <w:tcPr>
            <w:tcW w:w="1672" w:type="dxa"/>
          </w:tcPr>
          <w:p w14:paraId="2A29AA54" w14:textId="6DCDDE1E" w:rsidR="002B2A24" w:rsidRPr="00BE23FA" w:rsidRDefault="002B2A24"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21,588</w:t>
            </w:r>
          </w:p>
        </w:tc>
        <w:tc>
          <w:tcPr>
            <w:tcW w:w="1672" w:type="dxa"/>
          </w:tcPr>
          <w:p w14:paraId="1B7815F6" w14:textId="5E594D91" w:rsidR="002B2A24" w:rsidRPr="00BE23FA" w:rsidRDefault="002B2A24"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GB"/>
              </w:rPr>
              <w:t>51,355</w:t>
            </w:r>
          </w:p>
        </w:tc>
        <w:tc>
          <w:tcPr>
            <w:tcW w:w="2699" w:type="dxa"/>
          </w:tcPr>
          <w:p w14:paraId="68EF2FBE" w14:textId="37FDE5E2" w:rsidR="002B2A24" w:rsidRPr="00BE23FA" w:rsidRDefault="002B2A24" w:rsidP="00BE23FA">
            <w:pPr>
              <w:pStyle w:val="ListParagraph"/>
              <w:spacing w:line="360" w:lineRule="auto"/>
              <w:ind w:left="0"/>
              <w:jc w:val="both"/>
              <w:rPr>
                <w:rFonts w:ascii="Times New Roman" w:hAnsi="Times New Roman" w:cs="Times New Roman"/>
                <w:u w:val="single"/>
                <w:lang w:val="en-US"/>
              </w:rPr>
            </w:pPr>
            <w:r w:rsidRPr="00BE23FA">
              <w:rPr>
                <w:rFonts w:ascii="Times New Roman" w:hAnsi="Times New Roman" w:cs="Times New Roman"/>
                <w:lang w:val="en-US"/>
              </w:rPr>
              <w:t>Wojtal and Patou-Mathis 2003; Vermeersch 2025</w:t>
            </w:r>
          </w:p>
        </w:tc>
      </w:tr>
    </w:tbl>
    <w:p w14:paraId="1CB8B416" w14:textId="0D40868B" w:rsidR="00366D1B" w:rsidRPr="00BE23FA" w:rsidRDefault="00175B52" w:rsidP="00BE23FA">
      <w:pPr>
        <w:pStyle w:val="ListParagraph"/>
        <w:spacing w:line="360" w:lineRule="auto"/>
        <w:ind w:left="360"/>
        <w:jc w:val="both"/>
        <w:rPr>
          <w:rFonts w:ascii="Times New Roman" w:hAnsi="Times New Roman" w:cs="Times New Roman"/>
          <w:lang w:val="en-GB"/>
        </w:rPr>
      </w:pPr>
      <w:r w:rsidRPr="00BE23FA">
        <w:rPr>
          <w:rFonts w:ascii="Times New Roman" w:hAnsi="Times New Roman" w:cs="Times New Roman"/>
          <w:vertAlign w:val="superscript"/>
          <w:lang w:val="en-GB"/>
        </w:rPr>
        <w:t>1</w:t>
      </w:r>
      <w:r w:rsidRPr="00BE23FA">
        <w:rPr>
          <w:rFonts w:ascii="Times New Roman" w:hAnsi="Times New Roman" w:cs="Times New Roman"/>
          <w:lang w:val="en-GB"/>
        </w:rPr>
        <w:t>Payre Layer D was retained on the basis of the biostratigraphic attribution of Foury et al. (2016), who place this level in MIS 5c or MIS 5a, despite the complexity of the available radiometric chronology.</w:t>
      </w:r>
    </w:p>
    <w:p w14:paraId="334BA8B8" w14:textId="77777777" w:rsidR="00175B52" w:rsidRPr="00BE23FA" w:rsidRDefault="00175B52" w:rsidP="00BE23FA">
      <w:pPr>
        <w:pStyle w:val="ListParagraph"/>
        <w:spacing w:line="360" w:lineRule="auto"/>
        <w:ind w:left="360"/>
        <w:jc w:val="both"/>
        <w:rPr>
          <w:rFonts w:ascii="Times New Roman" w:hAnsi="Times New Roman" w:cs="Times New Roman"/>
          <w:u w:val="single"/>
          <w:lang w:val="en-US"/>
        </w:rPr>
      </w:pPr>
    </w:p>
    <w:p w14:paraId="7BD860AC" w14:textId="0BF259AC" w:rsidR="00AA2DD8" w:rsidRPr="00BE23FA" w:rsidRDefault="00AA2DD8" w:rsidP="00BE23FA">
      <w:pPr>
        <w:pStyle w:val="ListParagraph"/>
        <w:numPr>
          <w:ilvl w:val="0"/>
          <w:numId w:val="5"/>
        </w:numPr>
        <w:spacing w:line="360" w:lineRule="auto"/>
        <w:jc w:val="both"/>
        <w:rPr>
          <w:rFonts w:ascii="Times New Roman" w:hAnsi="Times New Roman" w:cs="Times New Roman"/>
          <w:u w:val="single"/>
          <w:lang w:val="en-US"/>
        </w:rPr>
      </w:pPr>
      <w:r w:rsidRPr="00BE23FA">
        <w:rPr>
          <w:rFonts w:ascii="Times New Roman" w:hAnsi="Times New Roman" w:cs="Times New Roman"/>
          <w:u w:val="single"/>
          <w:lang w:val="en-US"/>
        </w:rPr>
        <w:t>Evaluation of NPP Estimation Models</w:t>
      </w:r>
    </w:p>
    <w:p w14:paraId="0845807E" w14:textId="7179DEE4" w:rsidR="00175CFD" w:rsidRPr="00BE23FA" w:rsidRDefault="00175CFD" w:rsidP="00BE23FA">
      <w:pPr>
        <w:spacing w:line="360" w:lineRule="auto"/>
        <w:jc w:val="both"/>
        <w:rPr>
          <w:rFonts w:ascii="Times New Roman" w:hAnsi="Times New Roman" w:cs="Times New Roman"/>
          <w:lang w:val="en-US"/>
        </w:rPr>
      </w:pPr>
      <w:r w:rsidRPr="00BE23FA">
        <w:rPr>
          <w:rFonts w:ascii="Times New Roman" w:hAnsi="Times New Roman" w:cs="Times New Roman"/>
          <w:lang w:val="en-US"/>
        </w:rPr>
        <w:t>To estimate the population densities of each species, we used two models to calculate the Net Primary Productivity (NPP) (i.e., the Miami model</w:t>
      </w:r>
      <w:r w:rsidR="00ED2D4A" w:rsidRPr="00BE23FA">
        <w:rPr>
          <w:rFonts w:ascii="Times New Roman" w:hAnsi="Times New Roman" w:cs="Times New Roman"/>
          <w:lang w:val="en-US"/>
        </w:rPr>
        <w:t xml:space="preserve"> (Lieth 1975)</w:t>
      </w:r>
      <w:r w:rsidRPr="00BE23FA">
        <w:rPr>
          <w:rFonts w:ascii="Times New Roman" w:hAnsi="Times New Roman" w:cs="Times New Roman"/>
          <w:lang w:val="en-US"/>
        </w:rPr>
        <w:t xml:space="preserve"> and the NCEAS model</w:t>
      </w:r>
      <w:r w:rsidR="00ED2D4A" w:rsidRPr="00BE23FA">
        <w:rPr>
          <w:rFonts w:ascii="Times New Roman" w:hAnsi="Times New Roman" w:cs="Times New Roman"/>
          <w:lang w:val="en-US"/>
        </w:rPr>
        <w:t xml:space="preserve"> (Del Grosso et al. 2008)</w:t>
      </w:r>
      <w:r w:rsidRPr="00BE23FA">
        <w:rPr>
          <w:rFonts w:ascii="Times New Roman" w:hAnsi="Times New Roman" w:cs="Times New Roman"/>
          <w:lang w:val="en-US"/>
        </w:rPr>
        <w:t>). Both models rely on mean annual temperature and annual precipitation values to estimate NPP. In the case of the NCEAS model, two different estimates are proposed depending on whether the ecosystem is non-tree dominant or tree dominant. In our case, we selected the estimate for tree-dominant ecosystems, as it provides higher NPP values, and we preferred to use higher values that could act as an upper limit in the estimations.</w:t>
      </w:r>
    </w:p>
    <w:p w14:paraId="3779D343" w14:textId="296FAD0C" w:rsidR="00175CFD" w:rsidRPr="00BE23FA" w:rsidRDefault="00175CFD" w:rsidP="00BE23FA">
      <w:pPr>
        <w:spacing w:line="360" w:lineRule="auto"/>
        <w:jc w:val="both"/>
        <w:rPr>
          <w:rFonts w:ascii="Times New Roman" w:hAnsi="Times New Roman" w:cs="Times New Roman"/>
          <w:lang w:val="en-US"/>
        </w:rPr>
      </w:pPr>
      <w:r w:rsidRPr="00BE23FA">
        <w:rPr>
          <w:rFonts w:ascii="Times New Roman" w:hAnsi="Times New Roman" w:cs="Times New Roman"/>
          <w:lang w:val="en-US"/>
        </w:rPr>
        <w:t>The objective is to assess which of the two models best fits the expected NPP values in the Upper Lozoya Valley by comparing the current values for this environment, obtained using these models, with the reference value proposed by th</w:t>
      </w:r>
      <w:r w:rsidR="009F084C" w:rsidRPr="00BE23FA">
        <w:rPr>
          <w:rFonts w:ascii="Times New Roman" w:hAnsi="Times New Roman" w:cs="Times New Roman"/>
          <w:lang w:val="en-US"/>
        </w:rPr>
        <w:t>e EEA</w:t>
      </w:r>
      <w:r w:rsidR="00ED2D4A" w:rsidRPr="00BE23FA">
        <w:rPr>
          <w:rFonts w:ascii="Times New Roman" w:hAnsi="Times New Roman" w:cs="Times New Roman"/>
          <w:lang w:val="en-US"/>
        </w:rPr>
        <w:t xml:space="preserve"> (European Environment Agency 2023)</w:t>
      </w:r>
      <w:r w:rsidRPr="00BE23FA">
        <w:rPr>
          <w:rFonts w:ascii="Times New Roman" w:hAnsi="Times New Roman" w:cs="Times New Roman"/>
          <w:lang w:val="en-US"/>
        </w:rPr>
        <w:t>. To obtain the NPP values from the Miami and NCEAS models, we used mean annual temperature and annual precipitation values from WorldClim</w:t>
      </w:r>
      <w:r w:rsidR="00ED2D4A" w:rsidRPr="00BE23FA">
        <w:rPr>
          <w:rFonts w:ascii="Times New Roman" w:hAnsi="Times New Roman" w:cs="Times New Roman"/>
          <w:lang w:val="en-US"/>
        </w:rPr>
        <w:t xml:space="preserve"> (Fick and Hijmans 2017)</w:t>
      </w:r>
      <w:r w:rsidRPr="00BE23FA">
        <w:rPr>
          <w:rFonts w:ascii="Times New Roman" w:hAnsi="Times New Roman" w:cs="Times New Roman"/>
          <w:lang w:val="en-US"/>
        </w:rPr>
        <w:t>. Subsequently, we obtained the values from EEA for the year 2000, which were used as a reference for comparison.</w:t>
      </w:r>
    </w:p>
    <w:p w14:paraId="7C4EEBBF" w14:textId="36665A25" w:rsidR="00175CFD" w:rsidRPr="00BE23FA" w:rsidRDefault="00175CFD" w:rsidP="00BE23FA">
      <w:pPr>
        <w:spacing w:line="360" w:lineRule="auto"/>
        <w:jc w:val="both"/>
        <w:rPr>
          <w:rFonts w:ascii="Times New Roman" w:hAnsi="Times New Roman" w:cs="Times New Roman"/>
          <w:lang w:val="en-US"/>
        </w:rPr>
      </w:pPr>
      <w:r w:rsidRPr="00BE23FA">
        <w:rPr>
          <w:rFonts w:ascii="Times New Roman" w:hAnsi="Times New Roman" w:cs="Times New Roman"/>
          <w:lang w:val="en-US"/>
        </w:rPr>
        <w:t>We observed that the Miami model estimates NPP values higher than those proposed by the EEA, whereas the NCEAS model estimates lower values (Table S1)</w:t>
      </w:r>
      <w:r w:rsidR="009431CE" w:rsidRPr="00BE23FA">
        <w:rPr>
          <w:rFonts w:ascii="Times New Roman" w:hAnsi="Times New Roman" w:cs="Times New Roman"/>
          <w:lang w:val="en-US"/>
        </w:rPr>
        <w:t>. This could indicate an overestimation of NPP by the Miami model and an underestimation by the NCEAS model, as shown in Figure S1, where data points above the 1:1 line indicate overestimation, while those below it indicate underestimation.</w:t>
      </w:r>
      <w:r w:rsidRPr="00BE23FA">
        <w:rPr>
          <w:rFonts w:ascii="Times New Roman" w:hAnsi="Times New Roman" w:cs="Times New Roman"/>
          <w:lang w:val="en-US"/>
        </w:rPr>
        <w:t xml:space="preserve"> </w:t>
      </w:r>
      <w:r w:rsidR="009431CE" w:rsidRPr="00BE23FA">
        <w:rPr>
          <w:rFonts w:ascii="Times New Roman" w:hAnsi="Times New Roman" w:cs="Times New Roman"/>
          <w:lang w:val="en-US"/>
        </w:rPr>
        <w:t xml:space="preserve">This pattern </w:t>
      </w:r>
      <w:r w:rsidRPr="00BE23FA">
        <w:rPr>
          <w:rFonts w:ascii="Times New Roman" w:hAnsi="Times New Roman" w:cs="Times New Roman"/>
          <w:lang w:val="en-US"/>
        </w:rPr>
        <w:t>aligns with findings from</w:t>
      </w:r>
      <w:r w:rsidR="0097507D" w:rsidRPr="00BE23FA">
        <w:rPr>
          <w:rFonts w:ascii="Times New Roman" w:hAnsi="Times New Roman" w:cs="Times New Roman"/>
          <w:lang w:val="en-US"/>
        </w:rPr>
        <w:t xml:space="preserve"> Del Grosso et al. </w:t>
      </w:r>
      <w:r w:rsidR="007D6974" w:rsidRPr="00BE23FA">
        <w:rPr>
          <w:rFonts w:ascii="Times New Roman" w:hAnsi="Times New Roman" w:cs="Times New Roman"/>
          <w:lang w:val="en-US"/>
        </w:rPr>
        <w:t>(</w:t>
      </w:r>
      <w:r w:rsidR="0097507D" w:rsidRPr="00BE23FA">
        <w:rPr>
          <w:rFonts w:ascii="Times New Roman" w:hAnsi="Times New Roman" w:cs="Times New Roman"/>
          <w:lang w:val="en-US"/>
        </w:rPr>
        <w:t>2008)</w:t>
      </w:r>
      <w:r w:rsidRPr="00BE23FA">
        <w:rPr>
          <w:rFonts w:ascii="Times New Roman" w:hAnsi="Times New Roman" w:cs="Times New Roman"/>
          <w:lang w:val="en-US"/>
        </w:rPr>
        <w:t xml:space="preserve">, </w:t>
      </w:r>
      <w:r w:rsidR="009431CE" w:rsidRPr="00BE23FA">
        <w:rPr>
          <w:rFonts w:ascii="Times New Roman" w:hAnsi="Times New Roman" w:cs="Times New Roman"/>
          <w:lang w:val="en-US"/>
        </w:rPr>
        <w:t xml:space="preserve">who reported </w:t>
      </w:r>
      <w:r w:rsidRPr="00BE23FA">
        <w:rPr>
          <w:rFonts w:ascii="Times New Roman" w:hAnsi="Times New Roman" w:cs="Times New Roman"/>
          <w:lang w:val="en-US"/>
        </w:rPr>
        <w:t>that the Miami model tends to overestimate NPP. Similarly, the NCEAS model may be underestimating values, as its NPP estimat</w:t>
      </w:r>
      <w:r w:rsidR="00704BAD" w:rsidRPr="00BE23FA">
        <w:rPr>
          <w:rFonts w:ascii="Times New Roman" w:hAnsi="Times New Roman" w:cs="Times New Roman"/>
          <w:lang w:val="en-US"/>
        </w:rPr>
        <w:t>es</w:t>
      </w:r>
      <w:r w:rsidRPr="00BE23FA">
        <w:rPr>
          <w:rFonts w:ascii="Times New Roman" w:hAnsi="Times New Roman" w:cs="Times New Roman"/>
          <w:lang w:val="en-US"/>
        </w:rPr>
        <w:t xml:space="preserve"> are based on specific biomes.</w:t>
      </w:r>
    </w:p>
    <w:p w14:paraId="7655B953" w14:textId="7AB701A9" w:rsidR="00175CFD" w:rsidRPr="00BE23FA" w:rsidRDefault="00175CFD" w:rsidP="00BE23FA">
      <w:pPr>
        <w:spacing w:line="360" w:lineRule="auto"/>
        <w:jc w:val="both"/>
        <w:rPr>
          <w:rFonts w:ascii="Times New Roman" w:hAnsi="Times New Roman" w:cs="Times New Roman"/>
          <w:lang w:val="en-US"/>
        </w:rPr>
      </w:pPr>
      <w:r w:rsidRPr="00BE23FA">
        <w:rPr>
          <w:rFonts w:ascii="Times New Roman" w:hAnsi="Times New Roman" w:cs="Times New Roman"/>
          <w:lang w:val="en-US"/>
        </w:rPr>
        <w:t>Therefore, we could expect the NPP value for the Upper Lozoya Valley to fall between the values obtained from the Miami and NCEAS models.</w:t>
      </w:r>
    </w:p>
    <w:p w14:paraId="51DCFDDD" w14:textId="7A42BB72" w:rsidR="001032FF" w:rsidRPr="00BE23FA" w:rsidRDefault="001032FF" w:rsidP="00BE23FA">
      <w:pPr>
        <w:pStyle w:val="Caption"/>
        <w:keepNext/>
        <w:spacing w:after="0" w:line="360" w:lineRule="auto"/>
        <w:jc w:val="center"/>
        <w:rPr>
          <w:rFonts w:ascii="Times New Roman" w:hAnsi="Times New Roman" w:cs="Times New Roman"/>
          <w:i w:val="0"/>
          <w:color w:val="auto"/>
          <w:sz w:val="22"/>
          <w:szCs w:val="22"/>
          <w:lang w:val="en-US"/>
        </w:rPr>
      </w:pPr>
      <w:r w:rsidRPr="00BE23FA">
        <w:rPr>
          <w:rFonts w:ascii="Times New Roman" w:hAnsi="Times New Roman" w:cs="Times New Roman"/>
          <w:b/>
          <w:i w:val="0"/>
          <w:color w:val="auto"/>
          <w:sz w:val="22"/>
          <w:szCs w:val="22"/>
          <w:lang w:val="en-US"/>
        </w:rPr>
        <w:t xml:space="preserve">Table </w:t>
      </w:r>
      <w:r w:rsidR="0011120E" w:rsidRPr="00BE23FA">
        <w:rPr>
          <w:rFonts w:ascii="Times New Roman" w:hAnsi="Times New Roman" w:cs="Times New Roman"/>
          <w:b/>
          <w:i w:val="0"/>
          <w:color w:val="auto"/>
          <w:sz w:val="22"/>
          <w:szCs w:val="22"/>
          <w:lang w:val="en-US"/>
        </w:rPr>
        <w:t>S</w:t>
      </w:r>
      <w:r w:rsidRPr="00BE23FA">
        <w:rPr>
          <w:rFonts w:ascii="Times New Roman" w:hAnsi="Times New Roman" w:cs="Times New Roman"/>
          <w:b/>
          <w:i w:val="0"/>
          <w:color w:val="auto"/>
          <w:sz w:val="22"/>
          <w:szCs w:val="22"/>
        </w:rPr>
        <w:fldChar w:fldCharType="begin"/>
      </w:r>
      <w:r w:rsidRPr="00BE23FA">
        <w:rPr>
          <w:rFonts w:ascii="Times New Roman" w:hAnsi="Times New Roman" w:cs="Times New Roman"/>
          <w:b/>
          <w:i w:val="0"/>
          <w:color w:val="auto"/>
          <w:sz w:val="22"/>
          <w:szCs w:val="22"/>
          <w:lang w:val="en-US"/>
        </w:rPr>
        <w:instrText xml:space="preserve"> SEQ Table \* ARABIC </w:instrText>
      </w:r>
      <w:r w:rsidRPr="00BE23FA">
        <w:rPr>
          <w:rFonts w:ascii="Times New Roman" w:hAnsi="Times New Roman" w:cs="Times New Roman"/>
          <w:b/>
          <w:i w:val="0"/>
          <w:color w:val="auto"/>
          <w:sz w:val="22"/>
          <w:szCs w:val="22"/>
        </w:rPr>
        <w:fldChar w:fldCharType="separate"/>
      </w:r>
      <w:r w:rsidRPr="00BE23FA">
        <w:rPr>
          <w:rFonts w:ascii="Times New Roman" w:hAnsi="Times New Roman" w:cs="Times New Roman"/>
          <w:b/>
          <w:i w:val="0"/>
          <w:noProof/>
          <w:color w:val="auto"/>
          <w:sz w:val="22"/>
          <w:szCs w:val="22"/>
          <w:lang w:val="en-US"/>
        </w:rPr>
        <w:t>1</w:t>
      </w:r>
      <w:r w:rsidRPr="00BE23FA">
        <w:rPr>
          <w:rFonts w:ascii="Times New Roman" w:hAnsi="Times New Roman" w:cs="Times New Roman"/>
          <w:b/>
          <w:i w:val="0"/>
          <w:color w:val="auto"/>
          <w:sz w:val="22"/>
          <w:szCs w:val="22"/>
        </w:rPr>
        <w:fldChar w:fldCharType="end"/>
      </w:r>
      <w:r w:rsidRPr="00BE23FA">
        <w:rPr>
          <w:rFonts w:ascii="Times New Roman" w:hAnsi="Times New Roman" w:cs="Times New Roman"/>
          <w:i w:val="0"/>
          <w:color w:val="auto"/>
          <w:sz w:val="22"/>
          <w:szCs w:val="22"/>
          <w:lang w:val="en-US"/>
        </w:rPr>
        <w:t xml:space="preserve">. </w:t>
      </w:r>
      <w:r w:rsidR="00AA2DD8" w:rsidRPr="00BE23FA">
        <w:rPr>
          <w:rFonts w:ascii="Times New Roman" w:hAnsi="Times New Roman" w:cs="Times New Roman"/>
          <w:i w:val="0"/>
          <w:color w:val="auto"/>
          <w:sz w:val="22"/>
          <w:szCs w:val="22"/>
          <w:lang w:val="en-US"/>
        </w:rPr>
        <w:t>NPP values obtained from the Miami and NCEAS models and those proposed by the EEA, expressed in g m</w:t>
      </w:r>
      <w:r w:rsidR="00AA2DD8" w:rsidRPr="00BE23FA">
        <w:rPr>
          <w:rFonts w:ascii="Times New Roman" w:hAnsi="Times New Roman" w:cs="Times New Roman"/>
          <w:i w:val="0"/>
          <w:color w:val="auto"/>
          <w:sz w:val="22"/>
          <w:szCs w:val="22"/>
          <w:vertAlign w:val="superscript"/>
          <w:lang w:val="en-US"/>
        </w:rPr>
        <w:t>-2</w:t>
      </w:r>
      <w:r w:rsidR="00AA2DD8" w:rsidRPr="00BE23FA">
        <w:rPr>
          <w:rFonts w:ascii="Times New Roman" w:hAnsi="Times New Roman" w:cs="Times New Roman"/>
          <w:i w:val="0"/>
          <w:color w:val="auto"/>
          <w:sz w:val="22"/>
          <w:szCs w:val="22"/>
          <w:lang w:val="en-US"/>
        </w:rPr>
        <w:t xml:space="preserve"> year</w:t>
      </w:r>
      <w:r w:rsidR="00AA2DD8" w:rsidRPr="00BE23FA">
        <w:rPr>
          <w:rFonts w:ascii="Times New Roman" w:hAnsi="Times New Roman" w:cs="Times New Roman"/>
          <w:i w:val="0"/>
          <w:color w:val="auto"/>
          <w:sz w:val="22"/>
          <w:szCs w:val="22"/>
          <w:vertAlign w:val="superscript"/>
          <w:lang w:val="en-US"/>
        </w:rPr>
        <w:t>-1</w:t>
      </w:r>
      <w:r w:rsidR="00AA2DD8" w:rsidRPr="00BE23FA">
        <w:rPr>
          <w:rFonts w:ascii="Times New Roman" w:hAnsi="Times New Roman" w:cs="Times New Roman"/>
          <w:i w:val="0"/>
          <w:color w:val="auto"/>
          <w:sz w:val="22"/>
          <w:szCs w:val="22"/>
          <w:lang w:val="en-US"/>
        </w:rPr>
        <w:t>, for the Upper</w:t>
      </w:r>
      <w:r w:rsidR="00382E9C" w:rsidRPr="00BE23FA">
        <w:rPr>
          <w:rFonts w:ascii="Times New Roman" w:hAnsi="Times New Roman" w:cs="Times New Roman"/>
          <w:i w:val="0"/>
          <w:color w:val="auto"/>
          <w:sz w:val="22"/>
          <w:szCs w:val="22"/>
          <w:lang w:val="en-US"/>
        </w:rPr>
        <w:t xml:space="preserve"> Valley of the</w:t>
      </w:r>
      <w:r w:rsidR="00AA2DD8" w:rsidRPr="00BE23FA">
        <w:rPr>
          <w:rFonts w:ascii="Times New Roman" w:hAnsi="Times New Roman" w:cs="Times New Roman"/>
          <w:i w:val="0"/>
          <w:color w:val="auto"/>
          <w:sz w:val="22"/>
          <w:szCs w:val="22"/>
          <w:lang w:val="en-US"/>
        </w:rPr>
        <w:t xml:space="preserve"> Lozoya</w:t>
      </w:r>
      <w:r w:rsidR="00382E9C" w:rsidRPr="00BE23FA">
        <w:rPr>
          <w:rFonts w:ascii="Times New Roman" w:hAnsi="Times New Roman" w:cs="Times New Roman"/>
          <w:i w:val="0"/>
          <w:color w:val="auto"/>
          <w:sz w:val="22"/>
          <w:szCs w:val="22"/>
          <w:lang w:val="en-US"/>
        </w:rPr>
        <w:t xml:space="preserve"> river</w:t>
      </w:r>
      <w:r w:rsidR="00AA2DD8" w:rsidRPr="00BE23FA">
        <w:rPr>
          <w:rFonts w:ascii="Times New Roman" w:hAnsi="Times New Roman" w:cs="Times New Roman"/>
          <w:i w:val="0"/>
          <w:color w:val="auto"/>
          <w:sz w:val="22"/>
          <w:szCs w:val="22"/>
          <w:lang w:val="en-US"/>
        </w:rPr>
        <w:t>.</w:t>
      </w:r>
    </w:p>
    <w:tbl>
      <w:tblPr>
        <w:tblStyle w:val="TableGrid"/>
        <w:tblW w:w="0" w:type="auto"/>
        <w:jc w:val="center"/>
        <w:tblLook w:val="04A0" w:firstRow="1" w:lastRow="0" w:firstColumn="1" w:lastColumn="0" w:noHBand="0" w:noVBand="1"/>
      </w:tblPr>
      <w:tblGrid>
        <w:gridCol w:w="1644"/>
        <w:gridCol w:w="1698"/>
      </w:tblGrid>
      <w:tr w:rsidR="00C36C0D" w:rsidRPr="00BE23FA" w14:paraId="0FF52678" w14:textId="77777777" w:rsidTr="00AA2DD8">
        <w:trPr>
          <w:jc w:val="center"/>
        </w:trPr>
        <w:tc>
          <w:tcPr>
            <w:tcW w:w="1644" w:type="dxa"/>
          </w:tcPr>
          <w:p w14:paraId="3F7AF603" w14:textId="77777777" w:rsidR="00C36C0D" w:rsidRPr="00BE23FA" w:rsidRDefault="00C36C0D" w:rsidP="00BE23FA">
            <w:pPr>
              <w:spacing w:line="360" w:lineRule="auto"/>
              <w:jc w:val="both"/>
              <w:rPr>
                <w:rFonts w:ascii="Times New Roman" w:hAnsi="Times New Roman" w:cs="Times New Roman"/>
                <w:lang w:val="en-US"/>
              </w:rPr>
            </w:pPr>
          </w:p>
        </w:tc>
        <w:tc>
          <w:tcPr>
            <w:tcW w:w="1698" w:type="dxa"/>
            <w:vAlign w:val="center"/>
          </w:tcPr>
          <w:p w14:paraId="6B3CA0E3" w14:textId="78123895" w:rsidR="00C36C0D" w:rsidRPr="00BE23FA" w:rsidRDefault="00C36C0D" w:rsidP="00BE23FA">
            <w:pPr>
              <w:spacing w:line="360" w:lineRule="auto"/>
              <w:jc w:val="center"/>
              <w:rPr>
                <w:rFonts w:ascii="Times New Roman" w:hAnsi="Times New Roman" w:cs="Times New Roman"/>
                <w:b/>
              </w:rPr>
            </w:pPr>
            <w:r w:rsidRPr="00BE23FA">
              <w:rPr>
                <w:rFonts w:ascii="Times New Roman" w:hAnsi="Times New Roman" w:cs="Times New Roman"/>
                <w:b/>
              </w:rPr>
              <w:t>NPP (g/m</w:t>
            </w:r>
            <w:r w:rsidRPr="00BE23FA">
              <w:rPr>
                <w:rFonts w:ascii="Times New Roman" w:hAnsi="Times New Roman" w:cs="Times New Roman"/>
                <w:b/>
                <w:vertAlign w:val="superscript"/>
              </w:rPr>
              <w:t>2</w:t>
            </w:r>
            <w:r w:rsidRPr="00BE23FA">
              <w:rPr>
                <w:rFonts w:ascii="Times New Roman" w:hAnsi="Times New Roman" w:cs="Times New Roman"/>
                <w:b/>
              </w:rPr>
              <w:t>/year)</w:t>
            </w:r>
          </w:p>
        </w:tc>
      </w:tr>
      <w:tr w:rsidR="00C36C0D" w:rsidRPr="00BE23FA" w14:paraId="24FB79B3" w14:textId="77777777" w:rsidTr="00AA2DD8">
        <w:trPr>
          <w:jc w:val="center"/>
        </w:trPr>
        <w:tc>
          <w:tcPr>
            <w:tcW w:w="1644" w:type="dxa"/>
          </w:tcPr>
          <w:p w14:paraId="4AD182C4" w14:textId="6E119301" w:rsidR="00C36C0D" w:rsidRPr="00BE23FA" w:rsidRDefault="00C36C0D" w:rsidP="00BE23FA">
            <w:pPr>
              <w:spacing w:line="360" w:lineRule="auto"/>
              <w:jc w:val="both"/>
              <w:rPr>
                <w:rFonts w:ascii="Times New Roman" w:hAnsi="Times New Roman" w:cs="Times New Roman"/>
              </w:rPr>
            </w:pPr>
            <w:r w:rsidRPr="00BE23FA">
              <w:rPr>
                <w:rFonts w:ascii="Times New Roman" w:hAnsi="Times New Roman" w:cs="Times New Roman"/>
              </w:rPr>
              <w:t>Modelo Miami</w:t>
            </w:r>
          </w:p>
        </w:tc>
        <w:tc>
          <w:tcPr>
            <w:tcW w:w="1698" w:type="dxa"/>
            <w:vAlign w:val="center"/>
          </w:tcPr>
          <w:p w14:paraId="62926361" w14:textId="33417657" w:rsidR="00C36C0D" w:rsidRPr="00BE23FA" w:rsidRDefault="00C36C0D" w:rsidP="00BE23FA">
            <w:pPr>
              <w:spacing w:line="360" w:lineRule="auto"/>
              <w:jc w:val="center"/>
              <w:rPr>
                <w:rFonts w:ascii="Times New Roman" w:hAnsi="Times New Roman" w:cs="Times New Roman"/>
              </w:rPr>
            </w:pPr>
            <w:r w:rsidRPr="00BE23FA">
              <w:rPr>
                <w:rFonts w:ascii="Times New Roman" w:hAnsi="Times New Roman" w:cs="Times New Roman"/>
              </w:rPr>
              <w:t>1012.12</w:t>
            </w:r>
          </w:p>
        </w:tc>
      </w:tr>
      <w:tr w:rsidR="00C36C0D" w:rsidRPr="00BE23FA" w14:paraId="0BBDD390" w14:textId="77777777" w:rsidTr="00AA2DD8">
        <w:trPr>
          <w:jc w:val="center"/>
        </w:trPr>
        <w:tc>
          <w:tcPr>
            <w:tcW w:w="1644" w:type="dxa"/>
          </w:tcPr>
          <w:p w14:paraId="5E788C5C" w14:textId="7165AD83" w:rsidR="00C36C0D" w:rsidRPr="00BE23FA" w:rsidRDefault="00C36C0D" w:rsidP="00BE23FA">
            <w:pPr>
              <w:spacing w:line="360" w:lineRule="auto"/>
              <w:jc w:val="both"/>
              <w:rPr>
                <w:rFonts w:ascii="Times New Roman" w:hAnsi="Times New Roman" w:cs="Times New Roman"/>
              </w:rPr>
            </w:pPr>
            <w:r w:rsidRPr="00BE23FA">
              <w:rPr>
                <w:rFonts w:ascii="Times New Roman" w:hAnsi="Times New Roman" w:cs="Times New Roman"/>
              </w:rPr>
              <w:t>Modelo NCEAS</w:t>
            </w:r>
          </w:p>
        </w:tc>
        <w:tc>
          <w:tcPr>
            <w:tcW w:w="1698" w:type="dxa"/>
            <w:vAlign w:val="center"/>
          </w:tcPr>
          <w:p w14:paraId="51AD9870" w14:textId="64BE667C" w:rsidR="00C36C0D" w:rsidRPr="00BE23FA" w:rsidRDefault="00C36C0D" w:rsidP="00BE23FA">
            <w:pPr>
              <w:spacing w:line="360" w:lineRule="auto"/>
              <w:jc w:val="center"/>
              <w:rPr>
                <w:rFonts w:ascii="Times New Roman" w:hAnsi="Times New Roman" w:cs="Times New Roman"/>
              </w:rPr>
            </w:pPr>
            <w:r w:rsidRPr="00BE23FA">
              <w:rPr>
                <w:rFonts w:ascii="Times New Roman" w:hAnsi="Times New Roman" w:cs="Times New Roman"/>
              </w:rPr>
              <w:t>441.02</w:t>
            </w:r>
          </w:p>
        </w:tc>
      </w:tr>
      <w:tr w:rsidR="00C36C0D" w:rsidRPr="00BE23FA" w14:paraId="2A3619B0" w14:textId="77777777" w:rsidTr="00AA2DD8">
        <w:trPr>
          <w:jc w:val="center"/>
        </w:trPr>
        <w:tc>
          <w:tcPr>
            <w:tcW w:w="1644" w:type="dxa"/>
          </w:tcPr>
          <w:p w14:paraId="2227D562" w14:textId="776E9276" w:rsidR="00C36C0D" w:rsidRPr="00BE23FA" w:rsidRDefault="00C36C0D" w:rsidP="00BE23FA">
            <w:pPr>
              <w:spacing w:line="360" w:lineRule="auto"/>
              <w:jc w:val="both"/>
              <w:rPr>
                <w:rFonts w:ascii="Times New Roman" w:hAnsi="Times New Roman" w:cs="Times New Roman"/>
              </w:rPr>
            </w:pPr>
            <w:r w:rsidRPr="00BE23FA">
              <w:rPr>
                <w:rFonts w:ascii="Times New Roman" w:hAnsi="Times New Roman" w:cs="Times New Roman"/>
              </w:rPr>
              <w:t>EEA</w:t>
            </w:r>
          </w:p>
        </w:tc>
        <w:tc>
          <w:tcPr>
            <w:tcW w:w="1698" w:type="dxa"/>
            <w:vAlign w:val="center"/>
          </w:tcPr>
          <w:p w14:paraId="6D31CA98" w14:textId="67F5BCE4" w:rsidR="00C36C0D" w:rsidRPr="00BE23FA" w:rsidRDefault="00C36C0D" w:rsidP="00BE23FA">
            <w:pPr>
              <w:spacing w:line="360" w:lineRule="auto"/>
              <w:jc w:val="center"/>
              <w:rPr>
                <w:rFonts w:ascii="Times New Roman" w:hAnsi="Times New Roman" w:cs="Times New Roman"/>
              </w:rPr>
            </w:pPr>
            <w:r w:rsidRPr="00BE23FA">
              <w:rPr>
                <w:rFonts w:ascii="Times New Roman" w:hAnsi="Times New Roman" w:cs="Times New Roman"/>
              </w:rPr>
              <w:t>660.55</w:t>
            </w:r>
          </w:p>
        </w:tc>
      </w:tr>
    </w:tbl>
    <w:p w14:paraId="30B1ABDC" w14:textId="6FDAE26B" w:rsidR="00AD3D75" w:rsidRPr="00BE23FA" w:rsidRDefault="006F786A" w:rsidP="00BE23FA">
      <w:pPr>
        <w:keepNext/>
        <w:spacing w:after="0" w:line="360" w:lineRule="auto"/>
        <w:jc w:val="center"/>
        <w:rPr>
          <w:rFonts w:ascii="Times New Roman" w:hAnsi="Times New Roman" w:cs="Times New Roman"/>
        </w:rPr>
      </w:pPr>
      <w:r w:rsidRPr="00BE23FA">
        <w:rPr>
          <w:rFonts w:ascii="Times New Roman" w:hAnsi="Times New Roman" w:cs="Times New Roman"/>
          <w:noProof/>
          <w:lang w:val="en-IN" w:eastAsia="en-IN"/>
        </w:rPr>
        <w:drawing>
          <wp:inline distT="0" distB="0" distL="0" distR="0" wp14:anchorId="3B2D1CEE" wp14:editId="27924F92">
            <wp:extent cx="5023863" cy="2266109"/>
            <wp:effectExtent l="0" t="0" r="5715" b="1270"/>
            <wp:docPr id="802260150" name="Imagen 4" descr="Gráfico, Gráfico de dispers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260150" name="Imagen 4" descr="Gráfico, Gráfico de dispersión&#10;&#10;El contenido generado por IA puede ser incorrecto."/>
                    <pic:cNvPicPr/>
                  </pic:nvPicPr>
                  <pic:blipFill rotWithShape="1">
                    <a:blip r:embed="rId6" cstate="print">
                      <a:extLst>
                        <a:ext uri="{28A0092B-C50C-407E-A947-70E740481C1C}">
                          <a14:useLocalDpi xmlns:a14="http://schemas.microsoft.com/office/drawing/2010/main" val="0"/>
                        </a:ext>
                      </a:extLst>
                    </a:blip>
                    <a:srcRect l="3334" t="13933" r="3602" b="11431"/>
                    <a:stretch/>
                  </pic:blipFill>
                  <pic:spPr bwMode="auto">
                    <a:xfrm>
                      <a:off x="0" y="0"/>
                      <a:ext cx="5025581" cy="2266884"/>
                    </a:xfrm>
                    <a:prstGeom prst="rect">
                      <a:avLst/>
                    </a:prstGeom>
                    <a:ln>
                      <a:noFill/>
                    </a:ln>
                    <a:extLst>
                      <a:ext uri="{53640926-AAD7-44D8-BBD7-CCE9431645EC}">
                        <a14:shadowObscured xmlns:a14="http://schemas.microsoft.com/office/drawing/2010/main"/>
                      </a:ext>
                    </a:extLst>
                  </pic:spPr>
                </pic:pic>
              </a:graphicData>
            </a:graphic>
          </wp:inline>
        </w:drawing>
      </w:r>
    </w:p>
    <w:p w14:paraId="20627C07" w14:textId="56646AC1" w:rsidR="00C36C0D" w:rsidRPr="00BE23FA" w:rsidRDefault="00AD3D75" w:rsidP="00BE23FA">
      <w:pPr>
        <w:pStyle w:val="Caption"/>
        <w:spacing w:after="0" w:line="360" w:lineRule="auto"/>
        <w:jc w:val="center"/>
        <w:rPr>
          <w:rFonts w:ascii="Times New Roman" w:hAnsi="Times New Roman" w:cs="Times New Roman"/>
          <w:i w:val="0"/>
          <w:color w:val="auto"/>
          <w:sz w:val="22"/>
          <w:szCs w:val="22"/>
          <w:lang w:val="en-US"/>
        </w:rPr>
      </w:pPr>
      <w:r w:rsidRPr="00BE23FA">
        <w:rPr>
          <w:rFonts w:ascii="Times New Roman" w:hAnsi="Times New Roman" w:cs="Times New Roman"/>
          <w:b/>
          <w:i w:val="0"/>
          <w:color w:val="auto"/>
          <w:sz w:val="22"/>
          <w:szCs w:val="22"/>
          <w:lang w:val="en-US"/>
        </w:rPr>
        <w:t xml:space="preserve">Figure </w:t>
      </w:r>
      <w:r w:rsidR="0011120E" w:rsidRPr="00BE23FA">
        <w:rPr>
          <w:rFonts w:ascii="Times New Roman" w:hAnsi="Times New Roman" w:cs="Times New Roman"/>
          <w:b/>
          <w:i w:val="0"/>
          <w:color w:val="auto"/>
          <w:sz w:val="22"/>
          <w:szCs w:val="22"/>
          <w:lang w:val="en-US"/>
        </w:rPr>
        <w:t>S</w:t>
      </w:r>
      <w:r w:rsidRPr="00BE23FA">
        <w:rPr>
          <w:rFonts w:ascii="Times New Roman" w:hAnsi="Times New Roman" w:cs="Times New Roman"/>
          <w:b/>
          <w:i w:val="0"/>
          <w:color w:val="auto"/>
          <w:sz w:val="22"/>
          <w:szCs w:val="22"/>
        </w:rPr>
        <w:fldChar w:fldCharType="begin"/>
      </w:r>
      <w:r w:rsidRPr="00BE23FA">
        <w:rPr>
          <w:rFonts w:ascii="Times New Roman" w:hAnsi="Times New Roman" w:cs="Times New Roman"/>
          <w:b/>
          <w:i w:val="0"/>
          <w:color w:val="auto"/>
          <w:sz w:val="22"/>
          <w:szCs w:val="22"/>
          <w:lang w:val="en-US"/>
        </w:rPr>
        <w:instrText xml:space="preserve"> SEQ Figure \* ARABIC </w:instrText>
      </w:r>
      <w:r w:rsidRPr="00BE23FA">
        <w:rPr>
          <w:rFonts w:ascii="Times New Roman" w:hAnsi="Times New Roman" w:cs="Times New Roman"/>
          <w:b/>
          <w:i w:val="0"/>
          <w:color w:val="auto"/>
          <w:sz w:val="22"/>
          <w:szCs w:val="22"/>
        </w:rPr>
        <w:fldChar w:fldCharType="separate"/>
      </w:r>
      <w:r w:rsidR="007E11CF" w:rsidRPr="00BE23FA">
        <w:rPr>
          <w:rFonts w:ascii="Times New Roman" w:hAnsi="Times New Roman" w:cs="Times New Roman"/>
          <w:b/>
          <w:i w:val="0"/>
          <w:noProof/>
          <w:color w:val="auto"/>
          <w:sz w:val="22"/>
          <w:szCs w:val="22"/>
          <w:lang w:val="en-US"/>
        </w:rPr>
        <w:t>1</w:t>
      </w:r>
      <w:r w:rsidRPr="00BE23FA">
        <w:rPr>
          <w:rFonts w:ascii="Times New Roman" w:hAnsi="Times New Roman" w:cs="Times New Roman"/>
          <w:b/>
          <w:i w:val="0"/>
          <w:color w:val="auto"/>
          <w:sz w:val="22"/>
          <w:szCs w:val="22"/>
        </w:rPr>
        <w:fldChar w:fldCharType="end"/>
      </w:r>
      <w:r w:rsidRPr="00BE23FA">
        <w:rPr>
          <w:rFonts w:ascii="Times New Roman" w:hAnsi="Times New Roman" w:cs="Times New Roman"/>
          <w:i w:val="0"/>
          <w:color w:val="auto"/>
          <w:sz w:val="22"/>
          <w:szCs w:val="22"/>
          <w:lang w:val="en-US"/>
        </w:rPr>
        <w:t xml:space="preserve">. </w:t>
      </w:r>
      <w:r w:rsidR="00AA2DD8" w:rsidRPr="00BE23FA">
        <w:rPr>
          <w:rFonts w:ascii="Times New Roman" w:hAnsi="Times New Roman" w:cs="Times New Roman"/>
          <w:i w:val="0"/>
          <w:color w:val="auto"/>
          <w:sz w:val="22"/>
          <w:szCs w:val="22"/>
          <w:lang w:val="en-US"/>
        </w:rPr>
        <w:t>Distribution of EEA NPP values versus those obtained with the Miami and NCEAS models in the Upper Lozoya Valley.</w:t>
      </w:r>
    </w:p>
    <w:p w14:paraId="037F2083" w14:textId="77777777" w:rsidR="00AC1454" w:rsidRPr="00BE23FA" w:rsidRDefault="00AC1454" w:rsidP="00BE23FA">
      <w:pPr>
        <w:spacing w:line="360" w:lineRule="auto"/>
        <w:jc w:val="both"/>
        <w:rPr>
          <w:rFonts w:ascii="Times New Roman" w:hAnsi="Times New Roman" w:cs="Times New Roman"/>
          <w:lang w:val="en-US"/>
        </w:rPr>
      </w:pPr>
    </w:p>
    <w:p w14:paraId="3BA2FFD3" w14:textId="28DBA8D5" w:rsidR="00AA2DD8" w:rsidRPr="00BE23FA" w:rsidRDefault="00AA2DD8" w:rsidP="00BE23FA">
      <w:pPr>
        <w:pStyle w:val="ListParagraph"/>
        <w:numPr>
          <w:ilvl w:val="0"/>
          <w:numId w:val="5"/>
        </w:numPr>
        <w:spacing w:line="360" w:lineRule="auto"/>
        <w:jc w:val="both"/>
        <w:rPr>
          <w:rFonts w:ascii="Times New Roman" w:hAnsi="Times New Roman" w:cs="Times New Roman"/>
          <w:u w:val="single"/>
        </w:rPr>
      </w:pPr>
      <w:r w:rsidRPr="00BE23FA">
        <w:rPr>
          <w:rFonts w:ascii="Times New Roman" w:hAnsi="Times New Roman" w:cs="Times New Roman"/>
          <w:u w:val="single"/>
        </w:rPr>
        <w:t>Methodology Validation</w:t>
      </w:r>
    </w:p>
    <w:p w14:paraId="67E3C6E6" w14:textId="60FF48B1" w:rsidR="002377FD" w:rsidRPr="00BE23FA" w:rsidRDefault="00B41F4D" w:rsidP="00BE23FA">
      <w:pPr>
        <w:spacing w:line="360" w:lineRule="auto"/>
        <w:jc w:val="both"/>
        <w:rPr>
          <w:rFonts w:ascii="Times New Roman" w:hAnsi="Times New Roman" w:cs="Times New Roman"/>
          <w:bCs/>
          <w:lang w:val="en-US"/>
        </w:rPr>
      </w:pPr>
      <w:r w:rsidRPr="00BE23FA">
        <w:rPr>
          <w:rFonts w:ascii="Times New Roman" w:hAnsi="Times New Roman" w:cs="Times New Roman"/>
          <w:bCs/>
          <w:lang w:val="en-US"/>
        </w:rPr>
        <w:t>With the validation of the methodology, we aim to assess whether the observed reduction in prey biomass in the Lozoya Valley resembles patterns observed in current ecosystems. The ecosystems selected for comparison were those described by</w:t>
      </w:r>
      <w:r w:rsidR="00ED2D4A" w:rsidRPr="00BE23FA">
        <w:rPr>
          <w:rFonts w:ascii="Times New Roman" w:hAnsi="Times New Roman" w:cs="Times New Roman"/>
          <w:bCs/>
          <w:lang w:val="en-US"/>
        </w:rPr>
        <w:t xml:space="preserve"> </w:t>
      </w:r>
      <w:r w:rsidR="00ED2D4A" w:rsidRPr="00BE23FA">
        <w:rPr>
          <w:rFonts w:ascii="Times New Roman" w:hAnsi="Times New Roman" w:cs="Times New Roman"/>
          <w:lang w:val="en-US"/>
        </w:rPr>
        <w:t xml:space="preserve">Hatton et al. </w:t>
      </w:r>
      <w:r w:rsidR="007D6974" w:rsidRPr="00BE23FA">
        <w:rPr>
          <w:rFonts w:ascii="Times New Roman" w:hAnsi="Times New Roman" w:cs="Times New Roman"/>
          <w:lang w:val="en-US"/>
        </w:rPr>
        <w:t>(</w:t>
      </w:r>
      <w:r w:rsidR="00ED2D4A" w:rsidRPr="00BE23FA">
        <w:rPr>
          <w:rFonts w:ascii="Times New Roman" w:hAnsi="Times New Roman" w:cs="Times New Roman"/>
          <w:lang w:val="en-US"/>
        </w:rPr>
        <w:t>2015)</w:t>
      </w:r>
      <w:r w:rsidR="00CD36E1" w:rsidRPr="00BE23FA">
        <w:rPr>
          <w:rFonts w:ascii="Times New Roman" w:hAnsi="Times New Roman" w:cs="Times New Roman"/>
          <w:bCs/>
          <w:lang w:val="en-US"/>
        </w:rPr>
        <w:t xml:space="preserve"> </w:t>
      </w:r>
      <w:r w:rsidRPr="00BE23FA">
        <w:rPr>
          <w:rFonts w:ascii="Times New Roman" w:hAnsi="Times New Roman" w:cs="Times New Roman"/>
          <w:bCs/>
          <w:lang w:val="en-US"/>
        </w:rPr>
        <w:t xml:space="preserve">for Africa, India, and North America, as well as those observed </w:t>
      </w:r>
      <w:r w:rsidR="009F084C" w:rsidRPr="00BE23FA">
        <w:rPr>
          <w:rFonts w:ascii="Times New Roman" w:hAnsi="Times New Roman" w:cs="Times New Roman"/>
          <w:bCs/>
          <w:lang w:val="en-US"/>
        </w:rPr>
        <w:t>by</w:t>
      </w:r>
      <w:r w:rsidR="0097507D" w:rsidRPr="00BE23FA">
        <w:rPr>
          <w:rFonts w:ascii="Times New Roman" w:hAnsi="Times New Roman" w:cs="Times New Roman"/>
          <w:bCs/>
          <w:lang w:val="en-US"/>
        </w:rPr>
        <w:t xml:space="preserve"> </w:t>
      </w:r>
      <w:r w:rsidR="0097507D" w:rsidRPr="00BE23FA">
        <w:rPr>
          <w:rFonts w:ascii="Times New Roman" w:hAnsi="Times New Roman" w:cs="Times New Roman"/>
          <w:lang w:val="en-US"/>
        </w:rPr>
        <w:t xml:space="preserve">Rodríguez et al. </w:t>
      </w:r>
      <w:r w:rsidR="007D6974" w:rsidRPr="00BE23FA">
        <w:rPr>
          <w:rFonts w:ascii="Times New Roman" w:hAnsi="Times New Roman" w:cs="Times New Roman"/>
          <w:lang w:val="en-US"/>
        </w:rPr>
        <w:t>(</w:t>
      </w:r>
      <w:r w:rsidR="0097507D" w:rsidRPr="00BE23FA">
        <w:rPr>
          <w:rFonts w:ascii="Times New Roman" w:hAnsi="Times New Roman" w:cs="Times New Roman"/>
          <w:lang w:val="en-US"/>
        </w:rPr>
        <w:t>2014)</w:t>
      </w:r>
      <w:r w:rsidR="009F084C" w:rsidRPr="00BE23FA">
        <w:rPr>
          <w:rFonts w:ascii="Times New Roman" w:hAnsi="Times New Roman" w:cs="Times New Roman"/>
          <w:bCs/>
          <w:lang w:val="en-US"/>
        </w:rPr>
        <w:t xml:space="preserve"> </w:t>
      </w:r>
      <w:r w:rsidRPr="00BE23FA">
        <w:rPr>
          <w:rFonts w:ascii="Times New Roman" w:hAnsi="Times New Roman" w:cs="Times New Roman"/>
          <w:bCs/>
          <w:lang w:val="en-US"/>
        </w:rPr>
        <w:t>for different regions wor</w:t>
      </w:r>
      <w:r w:rsidR="00A01E76" w:rsidRPr="00BE23FA">
        <w:rPr>
          <w:rFonts w:ascii="Times New Roman" w:hAnsi="Times New Roman" w:cs="Times New Roman"/>
          <w:bCs/>
          <w:lang w:val="en-US"/>
        </w:rPr>
        <w:t>l</w:t>
      </w:r>
      <w:r w:rsidRPr="00BE23FA">
        <w:rPr>
          <w:rFonts w:ascii="Times New Roman" w:hAnsi="Times New Roman" w:cs="Times New Roman"/>
          <w:bCs/>
          <w:lang w:val="en-US"/>
        </w:rPr>
        <w:t>dwide. Biomass reduction is defined as the proportion of potential biomass not realized in the observed biomass:</w:t>
      </w:r>
    </w:p>
    <w:p w14:paraId="4E5B498C" w14:textId="79145171" w:rsidR="009C0F03" w:rsidRPr="00BE23FA" w:rsidRDefault="00B41F4D" w:rsidP="00BE23FA">
      <w:pPr>
        <w:spacing w:line="360" w:lineRule="auto"/>
        <w:jc w:val="both"/>
        <w:rPr>
          <w:rFonts w:ascii="Times New Roman" w:hAnsi="Times New Roman" w:cs="Times New Roman"/>
          <w:bCs/>
          <w:lang w:val="en-US"/>
        </w:rPr>
      </w:pPr>
      <w:r w:rsidRPr="00BE23FA">
        <w:rPr>
          <w:rFonts w:ascii="Times New Roman" w:hAnsi="Times New Roman" w:cs="Times New Roman"/>
          <w:bCs/>
          <w:lang w:val="en-US"/>
        </w:rPr>
        <w:t>Biomass reduction</w:t>
      </w:r>
      <w:r w:rsidR="009C0F03" w:rsidRPr="00BE23FA">
        <w:rPr>
          <w:rFonts w:ascii="Times New Roman" w:hAnsi="Times New Roman" w:cs="Times New Roman"/>
          <w:bCs/>
          <w:lang w:val="en-US"/>
        </w:rPr>
        <w:t xml:space="preserve"> = (B – b) / B</w:t>
      </w:r>
      <w:r w:rsidR="00FA63FC" w:rsidRPr="00BE23FA">
        <w:rPr>
          <w:rFonts w:ascii="Times New Roman" w:hAnsi="Times New Roman" w:cs="Times New Roman"/>
          <w:bCs/>
          <w:lang w:val="en-US"/>
        </w:rPr>
        <w:tab/>
      </w:r>
      <w:r w:rsidR="00FA63FC" w:rsidRPr="00BE23FA">
        <w:rPr>
          <w:rFonts w:ascii="Times New Roman" w:hAnsi="Times New Roman" w:cs="Times New Roman"/>
          <w:bCs/>
          <w:lang w:val="en-US"/>
        </w:rPr>
        <w:tab/>
      </w:r>
      <w:r w:rsidR="00C04C60" w:rsidRPr="00BE23FA">
        <w:rPr>
          <w:rFonts w:ascii="Times New Roman" w:hAnsi="Times New Roman" w:cs="Times New Roman"/>
          <w:bCs/>
          <w:lang w:val="en-US"/>
        </w:rPr>
        <w:t>,</w:t>
      </w:r>
      <w:r w:rsidR="00FA63FC" w:rsidRPr="00BE23FA">
        <w:rPr>
          <w:rFonts w:ascii="Times New Roman" w:hAnsi="Times New Roman" w:cs="Times New Roman"/>
          <w:bCs/>
          <w:lang w:val="en-US"/>
        </w:rPr>
        <w:tab/>
      </w:r>
      <w:r w:rsidR="00FA63FC" w:rsidRPr="00BE23FA">
        <w:rPr>
          <w:rFonts w:ascii="Times New Roman" w:hAnsi="Times New Roman" w:cs="Times New Roman"/>
          <w:bCs/>
          <w:lang w:val="en-US"/>
        </w:rPr>
        <w:tab/>
      </w:r>
      <w:r w:rsidR="00FA63FC" w:rsidRPr="00BE23FA">
        <w:rPr>
          <w:rFonts w:ascii="Times New Roman" w:hAnsi="Times New Roman" w:cs="Times New Roman"/>
          <w:bCs/>
          <w:lang w:val="en-US"/>
        </w:rPr>
        <w:tab/>
      </w:r>
      <w:r w:rsidR="00FA63FC" w:rsidRPr="00BE23FA">
        <w:rPr>
          <w:rFonts w:ascii="Times New Roman" w:hAnsi="Times New Roman" w:cs="Times New Roman"/>
          <w:bCs/>
          <w:lang w:val="en-US"/>
        </w:rPr>
        <w:tab/>
      </w:r>
      <w:r w:rsidR="00FA63FC" w:rsidRPr="00BE23FA">
        <w:rPr>
          <w:rFonts w:ascii="Times New Roman" w:hAnsi="Times New Roman" w:cs="Times New Roman"/>
          <w:bCs/>
          <w:lang w:val="en-US"/>
        </w:rPr>
        <w:tab/>
      </w:r>
      <w:r w:rsidR="00B958B4" w:rsidRPr="00BE23FA">
        <w:rPr>
          <w:rFonts w:ascii="Times New Roman" w:hAnsi="Times New Roman" w:cs="Times New Roman"/>
          <w:bCs/>
          <w:lang w:val="en-US"/>
        </w:rPr>
        <w:t>(1)</w:t>
      </w:r>
    </w:p>
    <w:p w14:paraId="71C1D75D" w14:textId="21D0C873" w:rsidR="009C0F03" w:rsidRPr="00BE23FA" w:rsidRDefault="00C04C60" w:rsidP="00BE23FA">
      <w:pPr>
        <w:spacing w:line="360" w:lineRule="auto"/>
        <w:jc w:val="both"/>
        <w:rPr>
          <w:rFonts w:ascii="Times New Roman" w:hAnsi="Times New Roman" w:cs="Times New Roman"/>
          <w:bCs/>
          <w:lang w:val="en-US"/>
        </w:rPr>
      </w:pPr>
      <w:proofErr w:type="gramStart"/>
      <w:r w:rsidRPr="00BE23FA">
        <w:rPr>
          <w:rFonts w:ascii="Times New Roman" w:hAnsi="Times New Roman" w:cs="Times New Roman"/>
          <w:bCs/>
          <w:lang w:val="en-US"/>
        </w:rPr>
        <w:t>w</w:t>
      </w:r>
      <w:r w:rsidR="00B41F4D" w:rsidRPr="00BE23FA">
        <w:rPr>
          <w:rFonts w:ascii="Times New Roman" w:hAnsi="Times New Roman" w:cs="Times New Roman"/>
          <w:bCs/>
          <w:lang w:val="en-US"/>
        </w:rPr>
        <w:t>here</w:t>
      </w:r>
      <w:proofErr w:type="gramEnd"/>
      <w:r w:rsidR="00B41F4D" w:rsidRPr="00BE23FA">
        <w:rPr>
          <w:rFonts w:ascii="Times New Roman" w:hAnsi="Times New Roman" w:cs="Times New Roman"/>
          <w:bCs/>
          <w:lang w:val="en-US"/>
        </w:rPr>
        <w:t xml:space="preserve"> B represents the potential biomass derived from equation (2), and b is the observed biomass.</w:t>
      </w:r>
    </w:p>
    <w:p w14:paraId="35CC332D" w14:textId="49FFCC10" w:rsidR="001F6F92" w:rsidRPr="00BE23FA" w:rsidRDefault="00B41F4D" w:rsidP="00BE23FA">
      <w:pPr>
        <w:spacing w:line="360" w:lineRule="auto"/>
        <w:jc w:val="both"/>
        <w:rPr>
          <w:rFonts w:ascii="Times New Roman" w:hAnsi="Times New Roman" w:cs="Times New Roman"/>
          <w:bCs/>
          <w:lang w:val="en-US"/>
        </w:rPr>
      </w:pPr>
      <w:r w:rsidRPr="00BE23FA">
        <w:rPr>
          <w:rFonts w:ascii="Times New Roman" w:hAnsi="Times New Roman" w:cs="Times New Roman"/>
          <w:bCs/>
          <w:lang w:val="en-US"/>
        </w:rPr>
        <w:t>To estimate the potential biomass of current ecosystems, we first calculated the NPP using two empirical models, the Miami model</w:t>
      </w:r>
      <w:r w:rsidR="00ED2D4A" w:rsidRPr="00BE23FA">
        <w:rPr>
          <w:rFonts w:ascii="Times New Roman" w:hAnsi="Times New Roman" w:cs="Times New Roman"/>
          <w:bCs/>
          <w:lang w:val="en-US"/>
        </w:rPr>
        <w:t xml:space="preserve"> </w:t>
      </w:r>
      <w:r w:rsidR="00ED2D4A" w:rsidRPr="00BE23FA">
        <w:rPr>
          <w:rFonts w:ascii="Times New Roman" w:hAnsi="Times New Roman" w:cs="Times New Roman"/>
          <w:lang w:val="en-US"/>
        </w:rPr>
        <w:t>(Lieth 1975)</w:t>
      </w:r>
      <w:r w:rsidRPr="00BE23FA">
        <w:rPr>
          <w:rFonts w:ascii="Times New Roman" w:hAnsi="Times New Roman" w:cs="Times New Roman"/>
          <w:bCs/>
          <w:lang w:val="en-US"/>
        </w:rPr>
        <w:t xml:space="preserve"> and the NCEAS model</w:t>
      </w:r>
      <w:r w:rsidR="00ED2D4A" w:rsidRPr="00BE23FA">
        <w:rPr>
          <w:rFonts w:ascii="Times New Roman" w:hAnsi="Times New Roman" w:cs="Times New Roman"/>
          <w:bCs/>
          <w:lang w:val="en-US"/>
        </w:rPr>
        <w:t xml:space="preserve"> </w:t>
      </w:r>
      <w:r w:rsidR="00ED2D4A" w:rsidRPr="00BE23FA">
        <w:rPr>
          <w:rFonts w:ascii="Times New Roman" w:hAnsi="Times New Roman" w:cs="Times New Roman"/>
          <w:lang w:val="en-US"/>
        </w:rPr>
        <w:t>(Del Grosso et al. 2008)</w:t>
      </w:r>
      <w:r w:rsidRPr="00BE23FA">
        <w:rPr>
          <w:rFonts w:ascii="Times New Roman" w:hAnsi="Times New Roman" w:cs="Times New Roman"/>
          <w:bCs/>
          <w:lang w:val="en-US"/>
        </w:rPr>
        <w:t>. Both models use mean annual temperature and annual precipitation as predictors, which were obtained from the WorldClim</w:t>
      </w:r>
      <w:r w:rsidR="00ED2D4A" w:rsidRPr="00BE23FA">
        <w:rPr>
          <w:rFonts w:ascii="Times New Roman" w:hAnsi="Times New Roman" w:cs="Times New Roman"/>
          <w:bCs/>
          <w:lang w:val="en-US"/>
        </w:rPr>
        <w:t xml:space="preserve"> </w:t>
      </w:r>
      <w:r w:rsidR="00ED2D4A" w:rsidRPr="00BE23FA">
        <w:rPr>
          <w:rFonts w:ascii="Times New Roman" w:hAnsi="Times New Roman" w:cs="Times New Roman"/>
          <w:lang w:val="en-US"/>
        </w:rPr>
        <w:t>(Fick and Hijmans 2017)</w:t>
      </w:r>
      <w:r w:rsidRPr="00BE23FA">
        <w:rPr>
          <w:rFonts w:ascii="Times New Roman" w:hAnsi="Times New Roman" w:cs="Times New Roman"/>
          <w:bCs/>
          <w:lang w:val="en-US"/>
        </w:rPr>
        <w:t xml:space="preserve"> variables bio01 and bio12. The NCEAS model accounts for differences among biome types, distinguishing between tree-dominated and non-tree-dominated ecosystems. We used the NPP estimates for tree-dominated ecosystems, as these values were higher than those for non-tree-dominated ecosystems, considering them as the maximum potential NPP. Subsequently, the potential biomass (B) was calculated for each NPP model as the total herbivore biomass (THB) that the ecosystem could support, using the predictive equation proposed by</w:t>
      </w:r>
      <w:r w:rsidR="00ED2D4A" w:rsidRPr="00BE23FA">
        <w:rPr>
          <w:rFonts w:ascii="Times New Roman" w:hAnsi="Times New Roman" w:cs="Times New Roman"/>
          <w:bCs/>
          <w:lang w:val="en-US"/>
        </w:rPr>
        <w:t xml:space="preserve"> </w:t>
      </w:r>
      <w:r w:rsidR="00ED2D4A" w:rsidRPr="00BE23FA">
        <w:rPr>
          <w:rFonts w:ascii="Times New Roman" w:hAnsi="Times New Roman" w:cs="Times New Roman"/>
          <w:lang w:val="en-US"/>
        </w:rPr>
        <w:t xml:space="preserve">Vidal-Cordasco et al. </w:t>
      </w:r>
      <w:r w:rsidR="007D6974" w:rsidRPr="00BE23FA">
        <w:rPr>
          <w:rFonts w:ascii="Times New Roman" w:hAnsi="Times New Roman" w:cs="Times New Roman"/>
          <w:lang w:val="en-US"/>
        </w:rPr>
        <w:t>(</w:t>
      </w:r>
      <w:r w:rsidR="00ED2D4A" w:rsidRPr="00BE23FA">
        <w:rPr>
          <w:rFonts w:ascii="Times New Roman" w:hAnsi="Times New Roman" w:cs="Times New Roman"/>
          <w:lang w:val="en-US"/>
        </w:rPr>
        <w:t>2022)</w:t>
      </w:r>
      <w:r w:rsidRPr="00BE23FA">
        <w:rPr>
          <w:rFonts w:ascii="Times New Roman" w:hAnsi="Times New Roman" w:cs="Times New Roman"/>
          <w:bCs/>
          <w:lang w:val="en-GB"/>
        </w:rPr>
        <w:t>:</w:t>
      </w:r>
    </w:p>
    <w:p w14:paraId="3BF4A624" w14:textId="17965DAC" w:rsidR="009C0F03" w:rsidRPr="00BE23FA" w:rsidRDefault="00F15E1D" w:rsidP="00BE23FA">
      <w:pPr>
        <w:spacing w:line="360" w:lineRule="auto"/>
        <w:jc w:val="both"/>
        <w:rPr>
          <w:rFonts w:ascii="Times New Roman" w:hAnsi="Times New Roman" w:cs="Times New Roman"/>
          <w:bCs/>
          <w:lang w:val="en-US"/>
        </w:rPr>
      </w:pPr>
      <w:r w:rsidRPr="00BE23FA">
        <w:rPr>
          <w:rFonts w:ascii="Times New Roman" w:hAnsi="Times New Roman" w:cs="Times New Roman"/>
          <w:bCs/>
          <w:lang w:val="en-US"/>
        </w:rPr>
        <w:t xml:space="preserve">THB = 10^ (1.401 × </w:t>
      </w:r>
      <w:proofErr w:type="gramStart"/>
      <w:r w:rsidRPr="00BE23FA">
        <w:rPr>
          <w:rFonts w:ascii="Times New Roman" w:hAnsi="Times New Roman" w:cs="Times New Roman"/>
          <w:bCs/>
          <w:lang w:val="en-US"/>
        </w:rPr>
        <w:t>log10[</w:t>
      </w:r>
      <w:proofErr w:type="gramEnd"/>
      <w:r w:rsidRPr="00BE23FA">
        <w:rPr>
          <w:rFonts w:ascii="Times New Roman" w:hAnsi="Times New Roman" w:cs="Times New Roman"/>
          <w:bCs/>
          <w:lang w:val="en-US"/>
        </w:rPr>
        <w:t>NPP] − 0.642)</w:t>
      </w:r>
      <w:r w:rsidRPr="00BE23FA">
        <w:rPr>
          <w:rFonts w:ascii="Times New Roman" w:hAnsi="Times New Roman" w:cs="Times New Roman"/>
          <w:bCs/>
          <w:lang w:val="en-US"/>
        </w:rPr>
        <w:tab/>
      </w:r>
      <w:r w:rsidRPr="00BE23FA">
        <w:rPr>
          <w:rFonts w:ascii="Times New Roman" w:hAnsi="Times New Roman" w:cs="Times New Roman"/>
          <w:bCs/>
          <w:lang w:val="en-US"/>
        </w:rPr>
        <w:tab/>
      </w:r>
      <w:r w:rsidR="00C04C60" w:rsidRPr="00BE23FA">
        <w:rPr>
          <w:rFonts w:ascii="Times New Roman" w:hAnsi="Times New Roman" w:cs="Times New Roman"/>
          <w:bCs/>
          <w:lang w:val="en-US"/>
        </w:rPr>
        <w:t>,</w:t>
      </w:r>
      <w:r w:rsidRPr="00BE23FA">
        <w:rPr>
          <w:rFonts w:ascii="Times New Roman" w:hAnsi="Times New Roman" w:cs="Times New Roman"/>
          <w:bCs/>
          <w:lang w:val="en-US"/>
        </w:rPr>
        <w:tab/>
      </w:r>
      <w:r w:rsidRPr="00BE23FA">
        <w:rPr>
          <w:rFonts w:ascii="Times New Roman" w:hAnsi="Times New Roman" w:cs="Times New Roman"/>
          <w:bCs/>
          <w:lang w:val="en-US"/>
        </w:rPr>
        <w:tab/>
      </w:r>
      <w:r w:rsidRPr="00BE23FA">
        <w:rPr>
          <w:rFonts w:ascii="Times New Roman" w:hAnsi="Times New Roman" w:cs="Times New Roman"/>
          <w:bCs/>
          <w:lang w:val="en-US"/>
        </w:rPr>
        <w:tab/>
      </w:r>
      <w:r w:rsidRPr="00BE23FA">
        <w:rPr>
          <w:rFonts w:ascii="Times New Roman" w:hAnsi="Times New Roman" w:cs="Times New Roman"/>
          <w:bCs/>
          <w:lang w:val="en-US"/>
        </w:rPr>
        <w:tab/>
      </w:r>
      <w:r w:rsidR="009C0F03" w:rsidRPr="00BE23FA">
        <w:rPr>
          <w:rFonts w:ascii="Times New Roman" w:hAnsi="Times New Roman" w:cs="Times New Roman"/>
          <w:bCs/>
          <w:lang w:val="en-US"/>
        </w:rPr>
        <w:t>(2)</w:t>
      </w:r>
    </w:p>
    <w:p w14:paraId="7E720A0C" w14:textId="7850D960" w:rsidR="00F15E1D" w:rsidRPr="00BE23FA" w:rsidRDefault="00C04C60" w:rsidP="00BE23FA">
      <w:pPr>
        <w:spacing w:line="360" w:lineRule="auto"/>
        <w:jc w:val="both"/>
        <w:rPr>
          <w:rFonts w:ascii="Times New Roman" w:hAnsi="Times New Roman" w:cs="Times New Roman"/>
          <w:bCs/>
          <w:lang w:val="en-US"/>
        </w:rPr>
      </w:pPr>
      <w:proofErr w:type="gramStart"/>
      <w:r w:rsidRPr="00BE23FA">
        <w:rPr>
          <w:rFonts w:ascii="Times New Roman" w:hAnsi="Times New Roman" w:cs="Times New Roman"/>
          <w:lang w:val="en-US"/>
        </w:rPr>
        <w:t>w</w:t>
      </w:r>
      <w:r w:rsidR="001F6F92" w:rsidRPr="00BE23FA">
        <w:rPr>
          <w:rFonts w:ascii="Times New Roman" w:hAnsi="Times New Roman" w:cs="Times New Roman"/>
          <w:lang w:val="en-US"/>
        </w:rPr>
        <w:t>here</w:t>
      </w:r>
      <w:proofErr w:type="gramEnd"/>
      <w:r w:rsidR="001F6F92" w:rsidRPr="00BE23FA">
        <w:rPr>
          <w:rFonts w:ascii="Times New Roman" w:hAnsi="Times New Roman" w:cs="Times New Roman"/>
          <w:lang w:val="en-US"/>
        </w:rPr>
        <w:t xml:space="preserve"> the values of THB and NPP are expressed in g m</w:t>
      </w:r>
      <w:r w:rsidR="001F6F92" w:rsidRPr="00BE23FA">
        <w:rPr>
          <w:rFonts w:ascii="Times New Roman" w:hAnsi="Times New Roman" w:cs="Times New Roman"/>
          <w:vertAlign w:val="superscript"/>
          <w:lang w:val="en-US"/>
        </w:rPr>
        <w:t>-2</w:t>
      </w:r>
      <w:r w:rsidR="001F6F92" w:rsidRPr="00BE23FA">
        <w:rPr>
          <w:rFonts w:ascii="Times New Roman" w:hAnsi="Times New Roman" w:cs="Times New Roman"/>
          <w:lang w:val="en-US"/>
        </w:rPr>
        <w:t xml:space="preserve"> </w:t>
      </w:r>
      <w:r w:rsidR="008C1837" w:rsidRPr="00BE23FA">
        <w:rPr>
          <w:rFonts w:ascii="Times New Roman" w:hAnsi="Times New Roman" w:cs="Times New Roman"/>
          <w:lang w:val="en-US"/>
        </w:rPr>
        <w:t>year</w:t>
      </w:r>
      <w:r w:rsidR="001F6F92" w:rsidRPr="00BE23FA">
        <w:rPr>
          <w:rFonts w:ascii="Times New Roman" w:hAnsi="Times New Roman" w:cs="Times New Roman"/>
          <w:vertAlign w:val="superscript"/>
          <w:lang w:val="en-US"/>
        </w:rPr>
        <w:t>-1</w:t>
      </w:r>
      <w:r w:rsidR="00F15E1D" w:rsidRPr="00BE23FA">
        <w:rPr>
          <w:rFonts w:ascii="Times New Roman" w:hAnsi="Times New Roman" w:cs="Times New Roman"/>
          <w:bCs/>
          <w:lang w:val="en-US"/>
        </w:rPr>
        <w:t>.</w:t>
      </w:r>
      <w:r w:rsidR="00B958B4" w:rsidRPr="00BE23FA">
        <w:rPr>
          <w:rFonts w:ascii="Times New Roman" w:hAnsi="Times New Roman" w:cs="Times New Roman"/>
          <w:bCs/>
          <w:lang w:val="en-US"/>
        </w:rPr>
        <w:t xml:space="preserve"> </w:t>
      </w:r>
    </w:p>
    <w:p w14:paraId="6629E987" w14:textId="42244459" w:rsidR="00B41F4D" w:rsidRPr="00BE23FA" w:rsidRDefault="00B41F4D" w:rsidP="00BE23FA">
      <w:pPr>
        <w:spacing w:line="360" w:lineRule="auto"/>
        <w:jc w:val="both"/>
        <w:rPr>
          <w:rFonts w:ascii="Times New Roman" w:hAnsi="Times New Roman" w:cs="Times New Roman"/>
          <w:bCs/>
          <w:lang w:val="en-US"/>
        </w:rPr>
      </w:pPr>
      <w:r w:rsidRPr="00BE23FA">
        <w:rPr>
          <w:rFonts w:ascii="Times New Roman" w:hAnsi="Times New Roman" w:cs="Times New Roman"/>
          <w:bCs/>
          <w:lang w:val="en-US"/>
        </w:rPr>
        <w:t>In the case of the Lozoya Valley, the observed biomass values used were those of expected biomass (</w:t>
      </w:r>
      <w:r w:rsidRPr="00BE23FA">
        <w:rPr>
          <w:rFonts w:ascii="Times New Roman" w:hAnsi="Times New Roman" w:cs="Times New Roman"/>
          <w:bCs/>
          <w:i/>
          <w:iCs/>
          <w:lang w:val="en-US"/>
        </w:rPr>
        <w:t>PB</w:t>
      </w:r>
      <w:r w:rsidRPr="00BE23FA">
        <w:rPr>
          <w:rFonts w:ascii="Times New Roman" w:hAnsi="Times New Roman" w:cs="Times New Roman"/>
          <w:bCs/>
          <w:i/>
          <w:iCs/>
          <w:vertAlign w:val="subscript"/>
          <w:lang w:val="en-US"/>
        </w:rPr>
        <w:t>E</w:t>
      </w:r>
      <w:r w:rsidRPr="00BE23FA">
        <w:rPr>
          <w:rFonts w:ascii="Times New Roman" w:hAnsi="Times New Roman" w:cs="Times New Roman"/>
          <w:bCs/>
          <w:lang w:val="en-US"/>
        </w:rPr>
        <w:t>) obtained in the present study. To increase the dataset, potential biomass (</w:t>
      </w:r>
      <w:r w:rsidRPr="00BE23FA">
        <w:rPr>
          <w:rFonts w:ascii="Times New Roman" w:hAnsi="Times New Roman" w:cs="Times New Roman"/>
          <w:bCs/>
          <w:i/>
          <w:iCs/>
          <w:lang w:val="en-US"/>
        </w:rPr>
        <w:t>PB</w:t>
      </w:r>
      <w:r w:rsidRPr="00BE23FA">
        <w:rPr>
          <w:rFonts w:ascii="Times New Roman" w:hAnsi="Times New Roman" w:cs="Times New Roman"/>
          <w:bCs/>
          <w:i/>
          <w:iCs/>
          <w:vertAlign w:val="subscript"/>
          <w:lang w:val="en-US"/>
        </w:rPr>
        <w:t>P</w:t>
      </w:r>
      <w:r w:rsidRPr="00BE23FA">
        <w:rPr>
          <w:rFonts w:ascii="Times New Roman" w:hAnsi="Times New Roman" w:cs="Times New Roman"/>
          <w:bCs/>
          <w:lang w:val="en-US"/>
        </w:rPr>
        <w:t>) and observed biomass (</w:t>
      </w:r>
      <w:r w:rsidRPr="00BE23FA">
        <w:rPr>
          <w:rFonts w:ascii="Times New Roman" w:hAnsi="Times New Roman" w:cs="Times New Roman"/>
          <w:bCs/>
          <w:i/>
          <w:iCs/>
          <w:lang w:val="en-US"/>
        </w:rPr>
        <w:t>PB</w:t>
      </w:r>
      <w:r w:rsidRPr="00BE23FA">
        <w:rPr>
          <w:rFonts w:ascii="Times New Roman" w:hAnsi="Times New Roman" w:cs="Times New Roman"/>
          <w:bCs/>
          <w:i/>
          <w:iCs/>
          <w:vertAlign w:val="subscript"/>
          <w:lang w:val="en-US"/>
        </w:rPr>
        <w:t>E</w:t>
      </w:r>
      <w:r w:rsidRPr="00BE23FA">
        <w:rPr>
          <w:rFonts w:ascii="Times New Roman" w:hAnsi="Times New Roman" w:cs="Times New Roman"/>
          <w:bCs/>
          <w:lang w:val="en-US"/>
        </w:rPr>
        <w:t>) values were taken for 50 random points within the Upper Lozoya Valley area.</w:t>
      </w:r>
    </w:p>
    <w:p w14:paraId="2302F302" w14:textId="77CB67E4" w:rsidR="00B41F4D" w:rsidRPr="00BE23FA" w:rsidRDefault="00B41F4D" w:rsidP="00BE23FA">
      <w:pPr>
        <w:spacing w:line="360" w:lineRule="auto"/>
        <w:jc w:val="both"/>
        <w:rPr>
          <w:rFonts w:ascii="Times New Roman" w:hAnsi="Times New Roman" w:cs="Times New Roman"/>
          <w:bCs/>
          <w:lang w:val="en-US"/>
        </w:rPr>
      </w:pPr>
      <w:r w:rsidRPr="00BE23FA">
        <w:rPr>
          <w:rFonts w:ascii="Times New Roman" w:hAnsi="Times New Roman" w:cs="Times New Roman"/>
          <w:bCs/>
          <w:lang w:val="en-US"/>
        </w:rPr>
        <w:t>It was observed that at some locations, no reduction in biomass occurred, and instead, the observed biomass exceeded the potential biomass</w:t>
      </w:r>
      <w:r w:rsidR="00D41E0D" w:rsidRPr="00BE23FA">
        <w:rPr>
          <w:rFonts w:ascii="Times New Roman" w:hAnsi="Times New Roman" w:cs="Times New Roman"/>
          <w:bCs/>
          <w:lang w:val="en-US"/>
        </w:rPr>
        <w:t>. This could be because, being reserves and national parks, nutritional support may be occurring in some of them, leading to observed biomass surpassing the potential biomass</w:t>
      </w:r>
      <w:r w:rsidRPr="00BE23FA">
        <w:rPr>
          <w:rFonts w:ascii="Times New Roman" w:hAnsi="Times New Roman" w:cs="Times New Roman"/>
          <w:bCs/>
          <w:lang w:val="en-US"/>
        </w:rPr>
        <w:t>. Therefore, these locations were excluded from the analysis, leaving only those where a reduction in biomass was observed, leading to the number of locations presented in Table S2 as the “filtered number”.</w:t>
      </w:r>
    </w:p>
    <w:p w14:paraId="647FD11E" w14:textId="69E8C11D" w:rsidR="00D650DC" w:rsidRPr="00BE23FA" w:rsidRDefault="00995862" w:rsidP="00BE23FA">
      <w:pPr>
        <w:spacing w:line="360" w:lineRule="auto"/>
        <w:jc w:val="both"/>
        <w:rPr>
          <w:rFonts w:ascii="Times New Roman" w:hAnsi="Times New Roman" w:cs="Times New Roman"/>
          <w:bCs/>
          <w:lang w:val="en-US"/>
        </w:rPr>
      </w:pPr>
      <w:r w:rsidRPr="00BE23FA">
        <w:rPr>
          <w:rFonts w:ascii="Times New Roman" w:hAnsi="Times New Roman" w:cs="Times New Roman"/>
          <w:bCs/>
          <w:lang w:val="en-US"/>
        </w:rPr>
        <w:t>The results show that with the NCEAS model, we obtained biomass reductions similar to those observed in current herbivore communities (Fig</w:t>
      </w:r>
      <w:r w:rsidR="00FA63FC" w:rsidRPr="00BE23FA">
        <w:rPr>
          <w:rFonts w:ascii="Times New Roman" w:hAnsi="Times New Roman" w:cs="Times New Roman"/>
          <w:bCs/>
          <w:lang w:val="en-US"/>
        </w:rPr>
        <w:t>.</w:t>
      </w:r>
      <w:r w:rsidRPr="00BE23FA">
        <w:rPr>
          <w:rFonts w:ascii="Times New Roman" w:hAnsi="Times New Roman" w:cs="Times New Roman"/>
          <w:bCs/>
          <w:lang w:val="en-US"/>
        </w:rPr>
        <w:t xml:space="preserve"> S2</w:t>
      </w:r>
      <w:r w:rsidR="00526DFA" w:rsidRPr="00BE23FA">
        <w:rPr>
          <w:rFonts w:ascii="Times New Roman" w:hAnsi="Times New Roman" w:cs="Times New Roman"/>
          <w:bCs/>
          <w:lang w:val="en-US"/>
        </w:rPr>
        <w:t>B</w:t>
      </w:r>
      <w:r w:rsidRPr="00BE23FA">
        <w:rPr>
          <w:rFonts w:ascii="Times New Roman" w:hAnsi="Times New Roman" w:cs="Times New Roman"/>
          <w:bCs/>
          <w:lang w:val="en-US"/>
        </w:rPr>
        <w:t>). On the other hand, with the Miami model, current ecosystems exhibited greater reductions in biomass than those observed in the Lozoya Valley (Fig</w:t>
      </w:r>
      <w:r w:rsidR="00FA63FC" w:rsidRPr="00BE23FA">
        <w:rPr>
          <w:rFonts w:ascii="Times New Roman" w:hAnsi="Times New Roman" w:cs="Times New Roman"/>
          <w:bCs/>
          <w:lang w:val="en-US"/>
        </w:rPr>
        <w:t>.</w:t>
      </w:r>
      <w:r w:rsidRPr="00BE23FA">
        <w:rPr>
          <w:rFonts w:ascii="Times New Roman" w:hAnsi="Times New Roman" w:cs="Times New Roman"/>
          <w:bCs/>
          <w:lang w:val="en-US"/>
        </w:rPr>
        <w:t xml:space="preserve"> S2</w:t>
      </w:r>
      <w:r w:rsidR="00526DFA" w:rsidRPr="00BE23FA">
        <w:rPr>
          <w:rFonts w:ascii="Times New Roman" w:hAnsi="Times New Roman" w:cs="Times New Roman"/>
          <w:bCs/>
          <w:lang w:val="en-US"/>
        </w:rPr>
        <w:t>A</w:t>
      </w:r>
      <w:r w:rsidRPr="00BE23FA">
        <w:rPr>
          <w:rFonts w:ascii="Times New Roman" w:hAnsi="Times New Roman" w:cs="Times New Roman"/>
          <w:bCs/>
          <w:lang w:val="en-US"/>
        </w:rPr>
        <w:t>).</w:t>
      </w:r>
      <w:r w:rsidR="00606CB3" w:rsidRPr="00BE23FA">
        <w:rPr>
          <w:rFonts w:ascii="Times New Roman" w:hAnsi="Times New Roman" w:cs="Times New Roman"/>
          <w:bCs/>
          <w:lang w:val="en-US"/>
        </w:rPr>
        <w:t xml:space="preserve"> </w:t>
      </w:r>
      <w:r w:rsidRPr="00BE23FA">
        <w:rPr>
          <w:rFonts w:ascii="Times New Roman" w:hAnsi="Times New Roman" w:cs="Times New Roman"/>
          <w:bCs/>
          <w:lang w:val="en-US"/>
        </w:rPr>
        <w:t>This could reflect an overestimation by the Miami model, which leads to much higher potential biomass values, thus increasing the difference with observed biomass. Nevertheless, we observed that with the NCEAS model, there were fewer locations where the potential biomass exceeded the observed biomass, compared to the Miami model, where the number of such locations was higher, possibly indicating an underestimation of biomass with the NCEAS model (Table S2).</w:t>
      </w:r>
      <w:r w:rsidR="00896BE7" w:rsidRPr="00BE23FA">
        <w:rPr>
          <w:rFonts w:ascii="Times New Roman" w:hAnsi="Times New Roman" w:cs="Times New Roman"/>
          <w:bCs/>
          <w:lang w:val="en-US"/>
        </w:rPr>
        <w:t xml:space="preserve"> </w:t>
      </w:r>
      <w:r w:rsidRPr="00BE23FA">
        <w:rPr>
          <w:rFonts w:ascii="Times New Roman" w:hAnsi="Times New Roman" w:cs="Times New Roman"/>
          <w:bCs/>
          <w:lang w:val="en-US"/>
        </w:rPr>
        <w:t>However, when comparing only North America, as it is the only region where all locations are included in both NPP models, we observed that the NCEAS model provides biomass reductions more similar to those observed in these locations compared to the Miami model (Fig</w:t>
      </w:r>
      <w:r w:rsidR="00FA63FC" w:rsidRPr="00BE23FA">
        <w:rPr>
          <w:rFonts w:ascii="Times New Roman" w:hAnsi="Times New Roman" w:cs="Times New Roman"/>
          <w:bCs/>
          <w:lang w:val="en-US"/>
        </w:rPr>
        <w:t>.</w:t>
      </w:r>
      <w:r w:rsidRPr="00BE23FA">
        <w:rPr>
          <w:rFonts w:ascii="Times New Roman" w:hAnsi="Times New Roman" w:cs="Times New Roman"/>
          <w:bCs/>
          <w:lang w:val="en-US"/>
        </w:rPr>
        <w:t xml:space="preserve"> S2).</w:t>
      </w:r>
    </w:p>
    <w:p w14:paraId="7D6346A2" w14:textId="0CDA8CC4" w:rsidR="00DC300E" w:rsidRPr="00BE23FA" w:rsidRDefault="00995862" w:rsidP="00BE23FA">
      <w:pPr>
        <w:spacing w:line="360" w:lineRule="auto"/>
        <w:jc w:val="both"/>
        <w:rPr>
          <w:rFonts w:ascii="Times New Roman" w:hAnsi="Times New Roman" w:cs="Times New Roman"/>
          <w:bCs/>
          <w:lang w:val="en-US"/>
        </w:rPr>
      </w:pPr>
      <w:r w:rsidRPr="00BE23FA">
        <w:rPr>
          <w:rFonts w:ascii="Times New Roman" w:hAnsi="Times New Roman" w:cs="Times New Roman"/>
          <w:bCs/>
          <w:lang w:val="en-US"/>
        </w:rPr>
        <w:t>Therefore, the methodology followed in this study estimates herbivore biomass reduction that closely aligns with what is observed in current ecosystems, highlighting the importance of considering the potential distribution of species in the study area when estimating prey biomass.</w:t>
      </w:r>
    </w:p>
    <w:p w14:paraId="2B7DE9D3" w14:textId="2B4680E6" w:rsidR="001032FF" w:rsidRPr="00BE23FA" w:rsidRDefault="001032FF" w:rsidP="00BE23FA">
      <w:pPr>
        <w:pStyle w:val="Caption"/>
        <w:keepNext/>
        <w:spacing w:after="0" w:line="360" w:lineRule="auto"/>
        <w:jc w:val="center"/>
        <w:rPr>
          <w:rFonts w:ascii="Times New Roman" w:hAnsi="Times New Roman" w:cs="Times New Roman"/>
          <w:i w:val="0"/>
          <w:color w:val="auto"/>
          <w:sz w:val="22"/>
          <w:szCs w:val="22"/>
          <w:lang w:val="en-US"/>
        </w:rPr>
      </w:pPr>
      <w:r w:rsidRPr="00BE23FA">
        <w:rPr>
          <w:rFonts w:ascii="Times New Roman" w:hAnsi="Times New Roman" w:cs="Times New Roman"/>
          <w:b/>
          <w:i w:val="0"/>
          <w:color w:val="auto"/>
          <w:sz w:val="22"/>
          <w:szCs w:val="22"/>
          <w:lang w:val="en-US"/>
        </w:rPr>
        <w:t xml:space="preserve">Table </w:t>
      </w:r>
      <w:r w:rsidR="0011120E" w:rsidRPr="00BE23FA">
        <w:rPr>
          <w:rFonts w:ascii="Times New Roman" w:hAnsi="Times New Roman" w:cs="Times New Roman"/>
          <w:b/>
          <w:i w:val="0"/>
          <w:color w:val="auto"/>
          <w:sz w:val="22"/>
          <w:szCs w:val="22"/>
          <w:lang w:val="en-US"/>
        </w:rPr>
        <w:t>S</w:t>
      </w:r>
      <w:r w:rsidRPr="00BE23FA">
        <w:rPr>
          <w:rFonts w:ascii="Times New Roman" w:hAnsi="Times New Roman" w:cs="Times New Roman"/>
          <w:b/>
          <w:i w:val="0"/>
          <w:color w:val="auto"/>
          <w:sz w:val="22"/>
          <w:szCs w:val="22"/>
        </w:rPr>
        <w:fldChar w:fldCharType="begin"/>
      </w:r>
      <w:r w:rsidRPr="00BE23FA">
        <w:rPr>
          <w:rFonts w:ascii="Times New Roman" w:hAnsi="Times New Roman" w:cs="Times New Roman"/>
          <w:b/>
          <w:i w:val="0"/>
          <w:color w:val="auto"/>
          <w:sz w:val="22"/>
          <w:szCs w:val="22"/>
          <w:lang w:val="en-US"/>
        </w:rPr>
        <w:instrText xml:space="preserve"> SEQ Table \* ARABIC </w:instrText>
      </w:r>
      <w:r w:rsidRPr="00BE23FA">
        <w:rPr>
          <w:rFonts w:ascii="Times New Roman" w:hAnsi="Times New Roman" w:cs="Times New Roman"/>
          <w:b/>
          <w:i w:val="0"/>
          <w:color w:val="auto"/>
          <w:sz w:val="22"/>
          <w:szCs w:val="22"/>
        </w:rPr>
        <w:fldChar w:fldCharType="separate"/>
      </w:r>
      <w:r w:rsidRPr="00BE23FA">
        <w:rPr>
          <w:rFonts w:ascii="Times New Roman" w:hAnsi="Times New Roman" w:cs="Times New Roman"/>
          <w:b/>
          <w:i w:val="0"/>
          <w:noProof/>
          <w:color w:val="auto"/>
          <w:sz w:val="22"/>
          <w:szCs w:val="22"/>
          <w:lang w:val="en-US"/>
        </w:rPr>
        <w:t>2</w:t>
      </w:r>
      <w:r w:rsidRPr="00BE23FA">
        <w:rPr>
          <w:rFonts w:ascii="Times New Roman" w:hAnsi="Times New Roman" w:cs="Times New Roman"/>
          <w:b/>
          <w:i w:val="0"/>
          <w:color w:val="auto"/>
          <w:sz w:val="22"/>
          <w:szCs w:val="22"/>
        </w:rPr>
        <w:fldChar w:fldCharType="end"/>
      </w:r>
      <w:r w:rsidRPr="00BE23FA">
        <w:rPr>
          <w:rFonts w:ascii="Times New Roman" w:hAnsi="Times New Roman" w:cs="Times New Roman"/>
          <w:i w:val="0"/>
          <w:color w:val="auto"/>
          <w:sz w:val="22"/>
          <w:szCs w:val="22"/>
          <w:lang w:val="en-US"/>
        </w:rPr>
        <w:t xml:space="preserve">. </w:t>
      </w:r>
      <w:r w:rsidR="00382E9C" w:rsidRPr="00BE23FA">
        <w:rPr>
          <w:rFonts w:ascii="Times New Roman" w:hAnsi="Times New Roman" w:cs="Times New Roman"/>
          <w:i w:val="0"/>
          <w:color w:val="auto"/>
          <w:sz w:val="22"/>
          <w:szCs w:val="22"/>
          <w:lang w:val="en-US"/>
        </w:rPr>
        <w:t>Number of locations used for the analysis. The original number refers to the number of locations in each dataset, while the filtered number represents the remaining observations after keeping only the locations where there is a biomass reduction.</w:t>
      </w:r>
    </w:p>
    <w:tbl>
      <w:tblPr>
        <w:tblStyle w:val="TableGrid"/>
        <w:tblW w:w="0" w:type="auto"/>
        <w:jc w:val="center"/>
        <w:tblLook w:val="04A0" w:firstRow="1" w:lastRow="0" w:firstColumn="1" w:lastColumn="0" w:noHBand="0" w:noVBand="1"/>
      </w:tblPr>
      <w:tblGrid>
        <w:gridCol w:w="1511"/>
        <w:gridCol w:w="1644"/>
        <w:gridCol w:w="1400"/>
        <w:gridCol w:w="1522"/>
      </w:tblGrid>
      <w:tr w:rsidR="00AD3D75" w:rsidRPr="00BE23FA" w14:paraId="442338DA" w14:textId="77777777" w:rsidTr="00AD3D75">
        <w:trPr>
          <w:jc w:val="center"/>
        </w:trPr>
        <w:tc>
          <w:tcPr>
            <w:tcW w:w="1511" w:type="dxa"/>
            <w:vMerge w:val="restart"/>
          </w:tcPr>
          <w:p w14:paraId="189E6008" w14:textId="77777777" w:rsidR="00AD3D75" w:rsidRPr="00BE23FA" w:rsidRDefault="00AD3D75" w:rsidP="00BE23FA">
            <w:pPr>
              <w:spacing w:line="360" w:lineRule="auto"/>
              <w:jc w:val="both"/>
              <w:rPr>
                <w:rFonts w:ascii="Times New Roman" w:hAnsi="Times New Roman" w:cs="Times New Roman"/>
                <w:bCs/>
                <w:lang w:val="en-US"/>
              </w:rPr>
            </w:pPr>
          </w:p>
        </w:tc>
        <w:tc>
          <w:tcPr>
            <w:tcW w:w="1644" w:type="dxa"/>
            <w:vMerge w:val="restart"/>
            <w:vAlign w:val="center"/>
          </w:tcPr>
          <w:p w14:paraId="34DE0921" w14:textId="6B06E7B1" w:rsidR="00AD3D75" w:rsidRPr="00BE23FA" w:rsidRDefault="00AD3D75" w:rsidP="00BE23FA">
            <w:pPr>
              <w:spacing w:line="360" w:lineRule="auto"/>
              <w:jc w:val="center"/>
              <w:rPr>
                <w:rFonts w:ascii="Times New Roman" w:hAnsi="Times New Roman" w:cs="Times New Roman"/>
                <w:bCs/>
              </w:rPr>
            </w:pPr>
            <w:r w:rsidRPr="00BE23FA">
              <w:rPr>
                <w:rFonts w:ascii="Times New Roman" w:hAnsi="Times New Roman" w:cs="Times New Roman"/>
                <w:bCs/>
              </w:rPr>
              <w:t>Original number</w:t>
            </w:r>
          </w:p>
        </w:tc>
        <w:tc>
          <w:tcPr>
            <w:tcW w:w="2922" w:type="dxa"/>
            <w:gridSpan w:val="2"/>
            <w:vAlign w:val="center"/>
          </w:tcPr>
          <w:p w14:paraId="64EF1C72" w14:textId="4AB97938" w:rsidR="00AD3D75" w:rsidRPr="00BE23FA" w:rsidRDefault="00AD3D75" w:rsidP="00BE23FA">
            <w:pPr>
              <w:spacing w:line="360" w:lineRule="auto"/>
              <w:jc w:val="center"/>
              <w:rPr>
                <w:rFonts w:ascii="Times New Roman" w:hAnsi="Times New Roman" w:cs="Times New Roman"/>
                <w:bCs/>
              </w:rPr>
            </w:pPr>
            <w:r w:rsidRPr="00BE23FA">
              <w:rPr>
                <w:rFonts w:ascii="Times New Roman" w:hAnsi="Times New Roman" w:cs="Times New Roman"/>
                <w:bCs/>
              </w:rPr>
              <w:t>Filt</w:t>
            </w:r>
            <w:r w:rsidR="00A14672" w:rsidRPr="00BE23FA">
              <w:rPr>
                <w:rFonts w:ascii="Times New Roman" w:hAnsi="Times New Roman" w:cs="Times New Roman"/>
                <w:bCs/>
              </w:rPr>
              <w:t>e</w:t>
            </w:r>
            <w:r w:rsidRPr="00BE23FA">
              <w:rPr>
                <w:rFonts w:ascii="Times New Roman" w:hAnsi="Times New Roman" w:cs="Times New Roman"/>
                <w:bCs/>
              </w:rPr>
              <w:t>red number</w:t>
            </w:r>
          </w:p>
        </w:tc>
      </w:tr>
      <w:tr w:rsidR="00AD3D75" w:rsidRPr="00BE23FA" w14:paraId="3BC10485" w14:textId="77777777" w:rsidTr="00AD3D75">
        <w:trPr>
          <w:jc w:val="center"/>
        </w:trPr>
        <w:tc>
          <w:tcPr>
            <w:tcW w:w="1511" w:type="dxa"/>
            <w:vMerge/>
          </w:tcPr>
          <w:p w14:paraId="1648CB34" w14:textId="77777777" w:rsidR="00AD3D75" w:rsidRPr="00BE23FA" w:rsidRDefault="00AD3D75" w:rsidP="00BE23FA">
            <w:pPr>
              <w:spacing w:line="360" w:lineRule="auto"/>
              <w:jc w:val="both"/>
              <w:rPr>
                <w:rFonts w:ascii="Times New Roman" w:hAnsi="Times New Roman" w:cs="Times New Roman"/>
                <w:bCs/>
              </w:rPr>
            </w:pPr>
          </w:p>
        </w:tc>
        <w:tc>
          <w:tcPr>
            <w:tcW w:w="1644" w:type="dxa"/>
            <w:vMerge/>
            <w:vAlign w:val="center"/>
          </w:tcPr>
          <w:p w14:paraId="3A7D49AA" w14:textId="62C6430B" w:rsidR="00AD3D75" w:rsidRPr="00BE23FA" w:rsidRDefault="00AD3D75" w:rsidP="00BE23FA">
            <w:pPr>
              <w:spacing w:line="360" w:lineRule="auto"/>
              <w:jc w:val="center"/>
              <w:rPr>
                <w:rFonts w:ascii="Times New Roman" w:hAnsi="Times New Roman" w:cs="Times New Roman"/>
                <w:bCs/>
              </w:rPr>
            </w:pPr>
          </w:p>
        </w:tc>
        <w:tc>
          <w:tcPr>
            <w:tcW w:w="1400" w:type="dxa"/>
            <w:vAlign w:val="center"/>
          </w:tcPr>
          <w:p w14:paraId="01A852BA" w14:textId="55B16E7E" w:rsidR="00AD3D75" w:rsidRPr="00BE23FA" w:rsidRDefault="00AD3D75" w:rsidP="00BE23FA">
            <w:pPr>
              <w:spacing w:line="360" w:lineRule="auto"/>
              <w:jc w:val="center"/>
              <w:rPr>
                <w:rFonts w:ascii="Times New Roman" w:hAnsi="Times New Roman" w:cs="Times New Roman"/>
                <w:bCs/>
              </w:rPr>
            </w:pPr>
            <w:r w:rsidRPr="00BE23FA">
              <w:rPr>
                <w:rFonts w:ascii="Times New Roman" w:hAnsi="Times New Roman" w:cs="Times New Roman"/>
                <w:bCs/>
              </w:rPr>
              <w:t>Miami model</w:t>
            </w:r>
          </w:p>
        </w:tc>
        <w:tc>
          <w:tcPr>
            <w:tcW w:w="1522" w:type="dxa"/>
            <w:vAlign w:val="center"/>
          </w:tcPr>
          <w:p w14:paraId="317A4BF7" w14:textId="12E8C579" w:rsidR="00AD3D75" w:rsidRPr="00BE23FA" w:rsidRDefault="00AD3D75" w:rsidP="00BE23FA">
            <w:pPr>
              <w:spacing w:line="360" w:lineRule="auto"/>
              <w:jc w:val="center"/>
              <w:rPr>
                <w:rFonts w:ascii="Times New Roman" w:hAnsi="Times New Roman" w:cs="Times New Roman"/>
                <w:bCs/>
              </w:rPr>
            </w:pPr>
            <w:r w:rsidRPr="00BE23FA">
              <w:rPr>
                <w:rFonts w:ascii="Times New Roman" w:hAnsi="Times New Roman" w:cs="Times New Roman"/>
                <w:bCs/>
              </w:rPr>
              <w:t>NCEAS model</w:t>
            </w:r>
          </w:p>
        </w:tc>
      </w:tr>
      <w:tr w:rsidR="00487650" w:rsidRPr="00BE23FA" w14:paraId="48729E84" w14:textId="77777777" w:rsidTr="00AD3D75">
        <w:trPr>
          <w:jc w:val="center"/>
        </w:trPr>
        <w:tc>
          <w:tcPr>
            <w:tcW w:w="1511" w:type="dxa"/>
          </w:tcPr>
          <w:p w14:paraId="76D733B9" w14:textId="51C7F418" w:rsidR="00487650" w:rsidRPr="00BE23FA" w:rsidRDefault="00487650" w:rsidP="00BE23FA">
            <w:pPr>
              <w:spacing w:line="360" w:lineRule="auto"/>
              <w:jc w:val="both"/>
              <w:rPr>
                <w:rFonts w:ascii="Times New Roman" w:hAnsi="Times New Roman" w:cs="Times New Roman"/>
                <w:bCs/>
              </w:rPr>
            </w:pPr>
            <w:r w:rsidRPr="00BE23FA">
              <w:rPr>
                <w:rFonts w:ascii="Times New Roman" w:hAnsi="Times New Roman" w:cs="Times New Roman"/>
                <w:bCs/>
              </w:rPr>
              <w:t>Africa</w:t>
            </w:r>
          </w:p>
        </w:tc>
        <w:tc>
          <w:tcPr>
            <w:tcW w:w="1644" w:type="dxa"/>
            <w:vAlign w:val="center"/>
          </w:tcPr>
          <w:p w14:paraId="0788FB15" w14:textId="1F8BEBA7" w:rsidR="00487650" w:rsidRPr="00BE23FA" w:rsidRDefault="0069505D" w:rsidP="00BE23FA">
            <w:pPr>
              <w:spacing w:line="360" w:lineRule="auto"/>
              <w:jc w:val="center"/>
              <w:rPr>
                <w:rFonts w:ascii="Times New Roman" w:hAnsi="Times New Roman" w:cs="Times New Roman"/>
                <w:bCs/>
              </w:rPr>
            </w:pPr>
            <w:r w:rsidRPr="00BE23FA">
              <w:rPr>
                <w:rFonts w:ascii="Times New Roman" w:hAnsi="Times New Roman" w:cs="Times New Roman"/>
                <w:bCs/>
              </w:rPr>
              <w:t>46</w:t>
            </w:r>
          </w:p>
        </w:tc>
        <w:tc>
          <w:tcPr>
            <w:tcW w:w="1400" w:type="dxa"/>
            <w:vAlign w:val="center"/>
          </w:tcPr>
          <w:p w14:paraId="38E83ACA" w14:textId="737FC3D7" w:rsidR="00487650" w:rsidRPr="00BE23FA" w:rsidRDefault="00487650" w:rsidP="00BE23FA">
            <w:pPr>
              <w:spacing w:line="360" w:lineRule="auto"/>
              <w:jc w:val="center"/>
              <w:rPr>
                <w:rFonts w:ascii="Times New Roman" w:hAnsi="Times New Roman" w:cs="Times New Roman"/>
                <w:bCs/>
              </w:rPr>
            </w:pPr>
            <w:r w:rsidRPr="00BE23FA">
              <w:rPr>
                <w:rFonts w:ascii="Times New Roman" w:hAnsi="Times New Roman" w:cs="Times New Roman"/>
                <w:bCs/>
              </w:rPr>
              <w:t>37</w:t>
            </w:r>
          </w:p>
        </w:tc>
        <w:tc>
          <w:tcPr>
            <w:tcW w:w="1522" w:type="dxa"/>
            <w:vAlign w:val="center"/>
          </w:tcPr>
          <w:p w14:paraId="40243784" w14:textId="77A53237" w:rsidR="00487650" w:rsidRPr="00BE23FA" w:rsidRDefault="00487650" w:rsidP="00BE23FA">
            <w:pPr>
              <w:spacing w:line="360" w:lineRule="auto"/>
              <w:jc w:val="center"/>
              <w:rPr>
                <w:rFonts w:ascii="Times New Roman" w:hAnsi="Times New Roman" w:cs="Times New Roman"/>
                <w:bCs/>
              </w:rPr>
            </w:pPr>
            <w:r w:rsidRPr="00BE23FA">
              <w:rPr>
                <w:rFonts w:ascii="Times New Roman" w:hAnsi="Times New Roman" w:cs="Times New Roman"/>
                <w:bCs/>
              </w:rPr>
              <w:t>11</w:t>
            </w:r>
          </w:p>
        </w:tc>
      </w:tr>
      <w:tr w:rsidR="00487650" w:rsidRPr="00BE23FA" w14:paraId="024F56EB" w14:textId="77777777" w:rsidTr="00AD3D75">
        <w:trPr>
          <w:jc w:val="center"/>
        </w:trPr>
        <w:tc>
          <w:tcPr>
            <w:tcW w:w="1511" w:type="dxa"/>
          </w:tcPr>
          <w:p w14:paraId="70380671" w14:textId="2193CADF" w:rsidR="00487650" w:rsidRPr="00BE23FA" w:rsidRDefault="00487650" w:rsidP="00BE23FA">
            <w:pPr>
              <w:spacing w:line="360" w:lineRule="auto"/>
              <w:jc w:val="both"/>
              <w:rPr>
                <w:rFonts w:ascii="Times New Roman" w:hAnsi="Times New Roman" w:cs="Times New Roman"/>
                <w:bCs/>
              </w:rPr>
            </w:pPr>
            <w:r w:rsidRPr="00BE23FA">
              <w:rPr>
                <w:rFonts w:ascii="Times New Roman" w:hAnsi="Times New Roman" w:cs="Times New Roman"/>
                <w:bCs/>
              </w:rPr>
              <w:t>India</w:t>
            </w:r>
          </w:p>
        </w:tc>
        <w:tc>
          <w:tcPr>
            <w:tcW w:w="1644" w:type="dxa"/>
            <w:vAlign w:val="center"/>
          </w:tcPr>
          <w:p w14:paraId="196F164C" w14:textId="78670A7B" w:rsidR="00487650" w:rsidRPr="00BE23FA" w:rsidRDefault="0069505D" w:rsidP="00BE23FA">
            <w:pPr>
              <w:spacing w:line="360" w:lineRule="auto"/>
              <w:jc w:val="center"/>
              <w:rPr>
                <w:rFonts w:ascii="Times New Roman" w:hAnsi="Times New Roman" w:cs="Times New Roman"/>
                <w:bCs/>
              </w:rPr>
            </w:pPr>
            <w:r w:rsidRPr="00BE23FA">
              <w:rPr>
                <w:rFonts w:ascii="Times New Roman" w:hAnsi="Times New Roman" w:cs="Times New Roman"/>
                <w:bCs/>
              </w:rPr>
              <w:t>88</w:t>
            </w:r>
          </w:p>
        </w:tc>
        <w:tc>
          <w:tcPr>
            <w:tcW w:w="1400" w:type="dxa"/>
            <w:vAlign w:val="center"/>
          </w:tcPr>
          <w:p w14:paraId="305C0ABF" w14:textId="2D14FE5E" w:rsidR="00487650" w:rsidRPr="00BE23FA" w:rsidRDefault="00487650" w:rsidP="00BE23FA">
            <w:pPr>
              <w:spacing w:line="360" w:lineRule="auto"/>
              <w:jc w:val="center"/>
              <w:rPr>
                <w:rFonts w:ascii="Times New Roman" w:hAnsi="Times New Roman" w:cs="Times New Roman"/>
                <w:bCs/>
              </w:rPr>
            </w:pPr>
            <w:r w:rsidRPr="00BE23FA">
              <w:rPr>
                <w:rFonts w:ascii="Times New Roman" w:hAnsi="Times New Roman" w:cs="Times New Roman"/>
                <w:bCs/>
              </w:rPr>
              <w:t>88</w:t>
            </w:r>
          </w:p>
        </w:tc>
        <w:tc>
          <w:tcPr>
            <w:tcW w:w="1522" w:type="dxa"/>
            <w:vAlign w:val="center"/>
          </w:tcPr>
          <w:p w14:paraId="5615183A" w14:textId="262B2F0A" w:rsidR="00487650" w:rsidRPr="00BE23FA" w:rsidRDefault="00487650" w:rsidP="00BE23FA">
            <w:pPr>
              <w:spacing w:line="360" w:lineRule="auto"/>
              <w:jc w:val="center"/>
              <w:rPr>
                <w:rFonts w:ascii="Times New Roman" w:hAnsi="Times New Roman" w:cs="Times New Roman"/>
                <w:bCs/>
              </w:rPr>
            </w:pPr>
            <w:r w:rsidRPr="00BE23FA">
              <w:rPr>
                <w:rFonts w:ascii="Times New Roman" w:hAnsi="Times New Roman" w:cs="Times New Roman"/>
                <w:bCs/>
              </w:rPr>
              <w:t>61</w:t>
            </w:r>
          </w:p>
        </w:tc>
      </w:tr>
      <w:tr w:rsidR="00487650" w:rsidRPr="00BE23FA" w14:paraId="7DC8C5BC" w14:textId="77777777" w:rsidTr="00AD3D75">
        <w:trPr>
          <w:jc w:val="center"/>
        </w:trPr>
        <w:tc>
          <w:tcPr>
            <w:tcW w:w="1511" w:type="dxa"/>
          </w:tcPr>
          <w:p w14:paraId="38C633CA" w14:textId="65866ED9" w:rsidR="00487650" w:rsidRPr="00BE23FA" w:rsidRDefault="00487650" w:rsidP="00BE23FA">
            <w:pPr>
              <w:spacing w:line="360" w:lineRule="auto"/>
              <w:jc w:val="both"/>
              <w:rPr>
                <w:rFonts w:ascii="Times New Roman" w:hAnsi="Times New Roman" w:cs="Times New Roman"/>
                <w:bCs/>
              </w:rPr>
            </w:pPr>
            <w:r w:rsidRPr="00BE23FA">
              <w:rPr>
                <w:rFonts w:ascii="Times New Roman" w:hAnsi="Times New Roman" w:cs="Times New Roman"/>
                <w:bCs/>
              </w:rPr>
              <w:t>North America</w:t>
            </w:r>
          </w:p>
        </w:tc>
        <w:tc>
          <w:tcPr>
            <w:tcW w:w="1644" w:type="dxa"/>
            <w:vAlign w:val="center"/>
          </w:tcPr>
          <w:p w14:paraId="6B6BC1C4" w14:textId="2F341D4A" w:rsidR="00487650" w:rsidRPr="00BE23FA" w:rsidRDefault="0069505D" w:rsidP="00BE23FA">
            <w:pPr>
              <w:spacing w:line="360" w:lineRule="auto"/>
              <w:jc w:val="center"/>
              <w:rPr>
                <w:rFonts w:ascii="Times New Roman" w:hAnsi="Times New Roman" w:cs="Times New Roman"/>
                <w:bCs/>
              </w:rPr>
            </w:pPr>
            <w:r w:rsidRPr="00BE23FA">
              <w:rPr>
                <w:rFonts w:ascii="Times New Roman" w:hAnsi="Times New Roman" w:cs="Times New Roman"/>
                <w:bCs/>
              </w:rPr>
              <w:t>52</w:t>
            </w:r>
          </w:p>
        </w:tc>
        <w:tc>
          <w:tcPr>
            <w:tcW w:w="1400" w:type="dxa"/>
            <w:vAlign w:val="center"/>
          </w:tcPr>
          <w:p w14:paraId="26BD8BA0" w14:textId="55B71349" w:rsidR="00487650" w:rsidRPr="00BE23FA" w:rsidRDefault="00487650" w:rsidP="00BE23FA">
            <w:pPr>
              <w:spacing w:line="360" w:lineRule="auto"/>
              <w:jc w:val="center"/>
              <w:rPr>
                <w:rFonts w:ascii="Times New Roman" w:hAnsi="Times New Roman" w:cs="Times New Roman"/>
                <w:bCs/>
              </w:rPr>
            </w:pPr>
            <w:r w:rsidRPr="00BE23FA">
              <w:rPr>
                <w:rFonts w:ascii="Times New Roman" w:hAnsi="Times New Roman" w:cs="Times New Roman"/>
                <w:bCs/>
              </w:rPr>
              <w:t>52</w:t>
            </w:r>
          </w:p>
        </w:tc>
        <w:tc>
          <w:tcPr>
            <w:tcW w:w="1522" w:type="dxa"/>
            <w:vAlign w:val="center"/>
          </w:tcPr>
          <w:p w14:paraId="50A24F4B" w14:textId="706BA6F0" w:rsidR="00487650" w:rsidRPr="00BE23FA" w:rsidRDefault="00487650" w:rsidP="00BE23FA">
            <w:pPr>
              <w:spacing w:line="360" w:lineRule="auto"/>
              <w:jc w:val="center"/>
              <w:rPr>
                <w:rFonts w:ascii="Times New Roman" w:hAnsi="Times New Roman" w:cs="Times New Roman"/>
                <w:bCs/>
              </w:rPr>
            </w:pPr>
            <w:r w:rsidRPr="00BE23FA">
              <w:rPr>
                <w:rFonts w:ascii="Times New Roman" w:hAnsi="Times New Roman" w:cs="Times New Roman"/>
                <w:bCs/>
              </w:rPr>
              <w:t>52</w:t>
            </w:r>
          </w:p>
        </w:tc>
      </w:tr>
      <w:tr w:rsidR="00487650" w:rsidRPr="00BE23FA" w14:paraId="77DF5941" w14:textId="77777777" w:rsidTr="00AD3D75">
        <w:trPr>
          <w:jc w:val="center"/>
        </w:trPr>
        <w:tc>
          <w:tcPr>
            <w:tcW w:w="1511" w:type="dxa"/>
          </w:tcPr>
          <w:p w14:paraId="1A56C72B" w14:textId="2511E756" w:rsidR="00487650" w:rsidRPr="00BE23FA" w:rsidRDefault="00487650" w:rsidP="00BE23FA">
            <w:pPr>
              <w:spacing w:line="360" w:lineRule="auto"/>
              <w:jc w:val="both"/>
              <w:rPr>
                <w:rFonts w:ascii="Times New Roman" w:hAnsi="Times New Roman" w:cs="Times New Roman"/>
                <w:bCs/>
              </w:rPr>
            </w:pPr>
            <w:r w:rsidRPr="00BE23FA">
              <w:rPr>
                <w:rFonts w:ascii="Times New Roman" w:hAnsi="Times New Roman" w:cs="Times New Roman"/>
                <w:bCs/>
              </w:rPr>
              <w:t>Global</w:t>
            </w:r>
          </w:p>
        </w:tc>
        <w:tc>
          <w:tcPr>
            <w:tcW w:w="1644" w:type="dxa"/>
            <w:vAlign w:val="center"/>
          </w:tcPr>
          <w:p w14:paraId="2534503E" w14:textId="284DD3BE" w:rsidR="00487650" w:rsidRPr="00BE23FA" w:rsidRDefault="0069505D" w:rsidP="00BE23FA">
            <w:pPr>
              <w:spacing w:line="360" w:lineRule="auto"/>
              <w:jc w:val="center"/>
              <w:rPr>
                <w:rFonts w:ascii="Times New Roman" w:hAnsi="Times New Roman" w:cs="Times New Roman"/>
                <w:bCs/>
              </w:rPr>
            </w:pPr>
            <w:r w:rsidRPr="00BE23FA">
              <w:rPr>
                <w:rFonts w:ascii="Times New Roman" w:hAnsi="Times New Roman" w:cs="Times New Roman"/>
                <w:bCs/>
              </w:rPr>
              <w:t>94</w:t>
            </w:r>
          </w:p>
        </w:tc>
        <w:tc>
          <w:tcPr>
            <w:tcW w:w="1400" w:type="dxa"/>
            <w:vAlign w:val="center"/>
          </w:tcPr>
          <w:p w14:paraId="0E23787E" w14:textId="1FF56BC6" w:rsidR="00487650" w:rsidRPr="00BE23FA" w:rsidRDefault="00487650" w:rsidP="00BE23FA">
            <w:pPr>
              <w:spacing w:line="360" w:lineRule="auto"/>
              <w:jc w:val="center"/>
              <w:rPr>
                <w:rFonts w:ascii="Times New Roman" w:hAnsi="Times New Roman" w:cs="Times New Roman"/>
                <w:bCs/>
              </w:rPr>
            </w:pPr>
            <w:r w:rsidRPr="00BE23FA">
              <w:rPr>
                <w:rFonts w:ascii="Times New Roman" w:hAnsi="Times New Roman" w:cs="Times New Roman"/>
                <w:bCs/>
              </w:rPr>
              <w:t>59</w:t>
            </w:r>
          </w:p>
        </w:tc>
        <w:tc>
          <w:tcPr>
            <w:tcW w:w="1522" w:type="dxa"/>
            <w:vAlign w:val="center"/>
          </w:tcPr>
          <w:p w14:paraId="01D23246" w14:textId="732B0122" w:rsidR="00487650" w:rsidRPr="00BE23FA" w:rsidRDefault="00487650" w:rsidP="00BE23FA">
            <w:pPr>
              <w:spacing w:line="360" w:lineRule="auto"/>
              <w:jc w:val="center"/>
              <w:rPr>
                <w:rFonts w:ascii="Times New Roman" w:hAnsi="Times New Roman" w:cs="Times New Roman"/>
                <w:bCs/>
              </w:rPr>
            </w:pPr>
            <w:r w:rsidRPr="00BE23FA">
              <w:rPr>
                <w:rFonts w:ascii="Times New Roman" w:hAnsi="Times New Roman" w:cs="Times New Roman"/>
                <w:bCs/>
              </w:rPr>
              <w:t>35</w:t>
            </w:r>
          </w:p>
        </w:tc>
      </w:tr>
    </w:tbl>
    <w:p w14:paraId="5173B7A6" w14:textId="77777777" w:rsidR="00487650" w:rsidRPr="00BE23FA" w:rsidRDefault="00487650" w:rsidP="00BE23FA">
      <w:pPr>
        <w:spacing w:line="360" w:lineRule="auto"/>
        <w:jc w:val="both"/>
        <w:rPr>
          <w:rFonts w:ascii="Times New Roman" w:hAnsi="Times New Roman" w:cs="Times New Roman"/>
          <w:bCs/>
        </w:rPr>
      </w:pPr>
    </w:p>
    <w:p w14:paraId="08B67C61" w14:textId="3516AB5B" w:rsidR="007E11CF" w:rsidRPr="00BE23FA" w:rsidRDefault="00526DFA" w:rsidP="00BE23FA">
      <w:pPr>
        <w:keepNext/>
        <w:spacing w:after="0" w:line="360" w:lineRule="auto"/>
        <w:jc w:val="center"/>
        <w:rPr>
          <w:rFonts w:ascii="Times New Roman" w:hAnsi="Times New Roman" w:cs="Times New Roman"/>
        </w:rPr>
      </w:pPr>
      <w:r w:rsidRPr="00BE23FA">
        <w:rPr>
          <w:rFonts w:ascii="Times New Roman" w:hAnsi="Times New Roman" w:cs="Times New Roman"/>
          <w:noProof/>
          <w:lang w:val="en-IN" w:eastAsia="en-IN"/>
        </w:rPr>
        <w:drawing>
          <wp:inline distT="0" distB="0" distL="0" distR="0" wp14:anchorId="41B88C17" wp14:editId="17F39C9E">
            <wp:extent cx="5400040" cy="2900045"/>
            <wp:effectExtent l="0" t="0" r="0" b="0"/>
            <wp:docPr id="1749742647" name="Imagen 7" descr="Gráfico, Gráfico de cajas y bigot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742647" name="Imagen 7" descr="Gráfico, Gráfico de cajas y bigotes&#10;&#10;El contenido generado por IA puede ser incorrecto."/>
                    <pic:cNvPicPr/>
                  </pic:nvPicPr>
                  <pic:blipFill>
                    <a:blip r:embed="rId7">
                      <a:extLst>
                        <a:ext uri="{28A0092B-C50C-407E-A947-70E740481C1C}">
                          <a14:useLocalDpi xmlns:a14="http://schemas.microsoft.com/office/drawing/2010/main" val="0"/>
                        </a:ext>
                      </a:extLst>
                    </a:blip>
                    <a:stretch>
                      <a:fillRect/>
                    </a:stretch>
                  </pic:blipFill>
                  <pic:spPr>
                    <a:xfrm>
                      <a:off x="0" y="0"/>
                      <a:ext cx="5400040" cy="2900045"/>
                    </a:xfrm>
                    <a:prstGeom prst="rect">
                      <a:avLst/>
                    </a:prstGeom>
                  </pic:spPr>
                </pic:pic>
              </a:graphicData>
            </a:graphic>
          </wp:inline>
        </w:drawing>
      </w:r>
    </w:p>
    <w:p w14:paraId="68921147" w14:textId="35909386" w:rsidR="004D7D2E" w:rsidRPr="00BE23FA" w:rsidRDefault="007E11CF" w:rsidP="00BE23FA">
      <w:pPr>
        <w:pStyle w:val="Caption"/>
        <w:spacing w:line="360" w:lineRule="auto"/>
        <w:jc w:val="center"/>
        <w:rPr>
          <w:rFonts w:ascii="Times New Roman" w:hAnsi="Times New Roman" w:cs="Times New Roman"/>
          <w:bCs/>
          <w:i w:val="0"/>
          <w:color w:val="auto"/>
          <w:sz w:val="22"/>
          <w:szCs w:val="22"/>
          <w:lang w:val="en-US"/>
        </w:rPr>
      </w:pPr>
      <w:r w:rsidRPr="00BE23FA">
        <w:rPr>
          <w:rFonts w:ascii="Times New Roman" w:hAnsi="Times New Roman" w:cs="Times New Roman"/>
          <w:b/>
          <w:i w:val="0"/>
          <w:color w:val="auto"/>
          <w:sz w:val="22"/>
          <w:szCs w:val="22"/>
          <w:lang w:val="en-US"/>
        </w:rPr>
        <w:t xml:space="preserve">Figure </w:t>
      </w:r>
      <w:r w:rsidR="0011120E" w:rsidRPr="00BE23FA">
        <w:rPr>
          <w:rFonts w:ascii="Times New Roman" w:hAnsi="Times New Roman" w:cs="Times New Roman"/>
          <w:b/>
          <w:i w:val="0"/>
          <w:color w:val="auto"/>
          <w:sz w:val="22"/>
          <w:szCs w:val="22"/>
          <w:lang w:val="en-US"/>
        </w:rPr>
        <w:t>S</w:t>
      </w:r>
      <w:r w:rsidRPr="00BE23FA">
        <w:rPr>
          <w:rFonts w:ascii="Times New Roman" w:hAnsi="Times New Roman" w:cs="Times New Roman"/>
          <w:b/>
          <w:i w:val="0"/>
          <w:color w:val="auto"/>
          <w:sz w:val="22"/>
          <w:szCs w:val="22"/>
        </w:rPr>
        <w:fldChar w:fldCharType="begin"/>
      </w:r>
      <w:r w:rsidRPr="00BE23FA">
        <w:rPr>
          <w:rFonts w:ascii="Times New Roman" w:hAnsi="Times New Roman" w:cs="Times New Roman"/>
          <w:b/>
          <w:i w:val="0"/>
          <w:color w:val="auto"/>
          <w:sz w:val="22"/>
          <w:szCs w:val="22"/>
          <w:lang w:val="en-US"/>
        </w:rPr>
        <w:instrText xml:space="preserve"> SEQ Figure \* ARABIC </w:instrText>
      </w:r>
      <w:r w:rsidRPr="00BE23FA">
        <w:rPr>
          <w:rFonts w:ascii="Times New Roman" w:hAnsi="Times New Roman" w:cs="Times New Roman"/>
          <w:b/>
          <w:i w:val="0"/>
          <w:color w:val="auto"/>
          <w:sz w:val="22"/>
          <w:szCs w:val="22"/>
        </w:rPr>
        <w:fldChar w:fldCharType="separate"/>
      </w:r>
      <w:r w:rsidRPr="00BE23FA">
        <w:rPr>
          <w:rFonts w:ascii="Times New Roman" w:hAnsi="Times New Roman" w:cs="Times New Roman"/>
          <w:b/>
          <w:i w:val="0"/>
          <w:noProof/>
          <w:color w:val="auto"/>
          <w:sz w:val="22"/>
          <w:szCs w:val="22"/>
          <w:lang w:val="en-US"/>
        </w:rPr>
        <w:t>2</w:t>
      </w:r>
      <w:r w:rsidRPr="00BE23FA">
        <w:rPr>
          <w:rFonts w:ascii="Times New Roman" w:hAnsi="Times New Roman" w:cs="Times New Roman"/>
          <w:b/>
          <w:i w:val="0"/>
          <w:color w:val="auto"/>
          <w:sz w:val="22"/>
          <w:szCs w:val="22"/>
        </w:rPr>
        <w:fldChar w:fldCharType="end"/>
      </w:r>
      <w:r w:rsidRPr="00BE23FA">
        <w:rPr>
          <w:rFonts w:ascii="Times New Roman" w:hAnsi="Times New Roman" w:cs="Times New Roman"/>
          <w:i w:val="0"/>
          <w:color w:val="auto"/>
          <w:sz w:val="22"/>
          <w:szCs w:val="22"/>
          <w:lang w:val="en-US"/>
        </w:rPr>
        <w:t>. Comparison of biomass reduction across models and locations</w:t>
      </w:r>
    </w:p>
    <w:p w14:paraId="395CF9E8" w14:textId="3CAB6FA5" w:rsidR="004D7D2E" w:rsidRPr="00BE23FA" w:rsidRDefault="004D7D2E" w:rsidP="00BE23FA">
      <w:pPr>
        <w:spacing w:line="360" w:lineRule="auto"/>
        <w:jc w:val="both"/>
        <w:rPr>
          <w:rFonts w:ascii="Times New Roman" w:hAnsi="Times New Roman" w:cs="Times New Roman"/>
          <w:bCs/>
          <w:lang w:val="en-US"/>
        </w:rPr>
      </w:pPr>
    </w:p>
    <w:p w14:paraId="2DBD0E0C" w14:textId="5951BA05" w:rsidR="004106FC" w:rsidRPr="00BE23FA" w:rsidRDefault="00FA63FC" w:rsidP="00BE23FA">
      <w:pPr>
        <w:spacing w:line="360" w:lineRule="auto"/>
        <w:rPr>
          <w:rFonts w:ascii="Times New Roman" w:hAnsi="Times New Roman" w:cs="Times New Roman"/>
          <w:b/>
          <w:lang w:val="en-US"/>
        </w:rPr>
      </w:pPr>
      <w:r w:rsidRPr="00BE23FA">
        <w:rPr>
          <w:rFonts w:ascii="Times New Roman" w:hAnsi="Times New Roman" w:cs="Times New Roman"/>
          <w:b/>
          <w:lang w:val="en-US"/>
        </w:rPr>
        <w:t>References</w:t>
      </w:r>
    </w:p>
    <w:p w14:paraId="1E063EB0" w14:textId="77777777" w:rsidR="00581038"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Arsuaga JL, Baquedano E, Pérez-González A (2011) Neandernthal and carnivore occupations in Pinilla </w:t>
      </w:r>
      <w:proofErr w:type="gramStart"/>
      <w:r w:rsidRPr="00BE23FA">
        <w:rPr>
          <w:rFonts w:ascii="Times New Roman" w:hAnsi="Times New Roman" w:cs="Times New Roman"/>
          <w:lang w:val="en-US"/>
        </w:rPr>
        <w:t>del</w:t>
      </w:r>
      <w:proofErr w:type="gramEnd"/>
      <w:r w:rsidRPr="00BE23FA">
        <w:rPr>
          <w:rFonts w:ascii="Times New Roman" w:hAnsi="Times New Roman" w:cs="Times New Roman"/>
          <w:lang w:val="en-US"/>
        </w:rPr>
        <w:t xml:space="preserve"> Valle sites (Community of Madrid, Spain). Archaeopress 111–119</w:t>
      </w:r>
    </w:p>
    <w:p w14:paraId="4ABC3122" w14:textId="54AE3467" w:rsidR="00581038" w:rsidRPr="00BE23FA" w:rsidRDefault="00581038"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Arsuaga JL, Baquedano E, Pérez-González A, Sala N, Quam RM, Rodríguez L, García R, García N, Álvarez-Lao DJ, Laplana C, Huguet R, Sevilla P, Maldonado E, Blain HA, Ruiz-Zapata MB, Sala P, Gil-García MJ, Uzquiano P, Pantoja A, Márquez B (2012) Understanding the ancient habitats of the last-interglacial (late MIS 5) Neanderthals of central Iberia: Paleoenvironmental and taphonomic evidence from the Cueva del Camino (Spain) site. Quat Int 275: 55–75. https://doi.org/10.1016/j.quaint.2012.04.019</w:t>
      </w:r>
    </w:p>
    <w:p w14:paraId="10B9FC99"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Arsuaga JL, Gómez-Olivencia A, Sala N, Martínez-Pillado V, Pablos A, Bonmatí A, Pantoja-Pérez A, Lira-Garrido J, Alcázar De Velasco A, Ortega AI, Cuenca-Bescós G, García N, Aranburu A, Ruiz-Zapata B, José Gil-García M, Rodríguez-Álvarez XP, Ollé A, Mosquera M (2017) Evidence of paleoecological changes and Mousterian occupations at the Galería de las Estatuas site, Sierra de Atapuerca, northern Iberian plateau, Spain. Quat res 88:345–367. https://doi.org/10.1017/qua.2017.46</w:t>
      </w:r>
    </w:p>
    <w:p w14:paraId="4A1C445C"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Arsuaga JL, Villaverde V, Quam R, Martínez I, Carretero JM, Lorenzo C, Gracia A (2007) New Neandertal remains from Cova Negra (Valencia, Spain). Journal of Human Evolution 52:31–58. https://doi.org/10.1016/j.jhevol.2006.07.011</w:t>
      </w:r>
    </w:p>
    <w:p w14:paraId="397761E7" w14:textId="65B6077A" w:rsidR="0097507D" w:rsidRPr="00BE23FA" w:rsidRDefault="0097507D" w:rsidP="00BE23FA">
      <w:pPr>
        <w:pStyle w:val="Bibliography"/>
        <w:spacing w:line="360" w:lineRule="auto"/>
        <w:rPr>
          <w:rFonts w:ascii="Times New Roman" w:hAnsi="Times New Roman" w:cs="Times New Roman"/>
        </w:rPr>
      </w:pPr>
      <w:r w:rsidRPr="00BE23FA">
        <w:rPr>
          <w:rFonts w:ascii="Times New Roman" w:hAnsi="Times New Roman" w:cs="Times New Roman"/>
          <w:lang w:val="en-US"/>
        </w:rPr>
        <w:t xml:space="preserve">Bahain J-J, Tombret O, Garbé L, Falguères C, Koehler H, Wegmüller F (2024) ESR/U-series dating of palaeontological remains from the Neanderthal site of Mutzig-Rain (Alsace, France). </w:t>
      </w:r>
      <w:r w:rsidRPr="00BE23FA">
        <w:rPr>
          <w:rFonts w:ascii="Times New Roman" w:hAnsi="Times New Roman" w:cs="Times New Roman"/>
        </w:rPr>
        <w:t>Quat Geochronol 81:101517. https://doi.org/10.1016/j.quageo.2024.101517</w:t>
      </w:r>
    </w:p>
    <w:p w14:paraId="33F3A4A6"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rPr>
        <w:t xml:space="preserve">Baquedano E, Márquez Mora B, Laplana Conesa C, Arsuaga Ferreras JL, Pérez González A (2014) The archaeological sites at Pinilla del Valle: (Madrid, Spain). </w:t>
      </w:r>
      <w:r w:rsidRPr="00BE23FA">
        <w:rPr>
          <w:rFonts w:ascii="Times New Roman" w:hAnsi="Times New Roman" w:cs="Times New Roman"/>
          <w:lang w:val="en-US"/>
        </w:rPr>
        <w:t>In: Pleistocene and Holocene hunter-gatherers in Iberia and the Gibraltar strait: the current archaeological record. Fundación Atapuerca, pp 577–584</w:t>
      </w:r>
    </w:p>
    <w:p w14:paraId="250043F5"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Barzilai O, Abulafia T, Shemer M, May H, Orbach M, Frumkin A, Yeshurun R, Sarig R, </w:t>
      </w:r>
      <w:proofErr w:type="gramStart"/>
      <w:r w:rsidRPr="00BE23FA">
        <w:rPr>
          <w:rFonts w:ascii="Times New Roman" w:hAnsi="Times New Roman" w:cs="Times New Roman"/>
          <w:lang w:val="en-US"/>
        </w:rPr>
        <w:t>Porat</w:t>
      </w:r>
      <w:proofErr w:type="gramEnd"/>
      <w:r w:rsidRPr="00BE23FA">
        <w:rPr>
          <w:rFonts w:ascii="Times New Roman" w:hAnsi="Times New Roman" w:cs="Times New Roman"/>
          <w:lang w:val="en-US"/>
        </w:rPr>
        <w:t xml:space="preserve"> N, Hershkovitz I (2022) Rediscovering Geula Cave: A Middle Paleolithic cave site in northern Mt. Carmel, Israel. Quaternary International 624:181–197. https://doi.org/10.1016/j.quaint.2021.03.007</w:t>
      </w:r>
    </w:p>
    <w:p w14:paraId="25CCC297" w14:textId="57CB0E68" w:rsidR="00F23A41"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Bates M, Pope M, Shaw A, </w:t>
      </w:r>
      <w:proofErr w:type="gramStart"/>
      <w:r w:rsidRPr="00BE23FA">
        <w:rPr>
          <w:rFonts w:ascii="Times New Roman" w:hAnsi="Times New Roman" w:cs="Times New Roman"/>
          <w:lang w:val="en-US"/>
        </w:rPr>
        <w:t>Scott</w:t>
      </w:r>
      <w:proofErr w:type="gramEnd"/>
      <w:r w:rsidRPr="00BE23FA">
        <w:rPr>
          <w:rFonts w:ascii="Times New Roman" w:hAnsi="Times New Roman" w:cs="Times New Roman"/>
          <w:lang w:val="en-US"/>
        </w:rPr>
        <w:t xml:space="preserve"> B, Schwenninger J-L (2013) Late Neanderthal occupation in North-West Europe: rediscovery, investigation and dating of a last glacial sediment sequence at the site of La Cotte de Saint Brelade, Jersey. Journal of Quaternary Science 28:647–652. </w:t>
      </w:r>
      <w:hyperlink r:id="rId8" w:history="1">
        <w:r w:rsidR="00F23A41" w:rsidRPr="00BE23FA">
          <w:rPr>
            <w:rStyle w:val="Hyperlink"/>
            <w:rFonts w:ascii="Times New Roman" w:hAnsi="Times New Roman" w:cs="Times New Roman"/>
            <w:lang w:val="en-US"/>
          </w:rPr>
          <w:t>https://doi.org/10.1002/jqs.2669</w:t>
        </w:r>
      </w:hyperlink>
    </w:p>
    <w:p w14:paraId="163BC4B4" w14:textId="4F1CFAC2" w:rsidR="0097507D" w:rsidRPr="00BE23FA" w:rsidRDefault="00F23A41"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Bicho N, Cardoso JL (2010) Paleolithic occupations and lithic assemblages from Furninha Cave, Peniche (Portugal). Zephyrus 66: 17–38.</w:t>
      </w:r>
    </w:p>
    <w:p w14:paraId="46CFBF37" w14:textId="77777777" w:rsidR="00DB0D85" w:rsidRPr="00BE23FA" w:rsidRDefault="0097507D" w:rsidP="00BE23FA">
      <w:pPr>
        <w:pStyle w:val="Bibliography"/>
        <w:spacing w:line="360" w:lineRule="auto"/>
        <w:rPr>
          <w:rFonts w:ascii="Times New Roman" w:hAnsi="Times New Roman" w:cs="Times New Roman"/>
        </w:rPr>
      </w:pPr>
      <w:r w:rsidRPr="00BE23FA">
        <w:rPr>
          <w:rFonts w:ascii="Times New Roman" w:hAnsi="Times New Roman" w:cs="Times New Roman"/>
          <w:lang w:val="en-US"/>
        </w:rPr>
        <w:t>Blackwell B, Chu S, Chaity I, Huang YEW, Mihailović D, Roksandic M, Dimitrijević V, Blickstein J, Huang A, Skinner AR (2014) ESR dating ungulate tooth enamel from the Mousterian layers at Pešturina, Serbia. In: Mihailović D (</w:t>
      </w:r>
      <w:proofErr w:type="gramStart"/>
      <w:r w:rsidRPr="00BE23FA">
        <w:rPr>
          <w:rFonts w:ascii="Times New Roman" w:hAnsi="Times New Roman" w:cs="Times New Roman"/>
          <w:lang w:val="en-US"/>
        </w:rPr>
        <w:t>ed</w:t>
      </w:r>
      <w:proofErr w:type="gramEnd"/>
      <w:r w:rsidRPr="00BE23FA">
        <w:rPr>
          <w:rFonts w:ascii="Times New Roman" w:hAnsi="Times New Roman" w:cs="Times New Roman"/>
          <w:lang w:val="en-US"/>
        </w:rPr>
        <w:t xml:space="preserve">) Palaeolithic and Mesolithic research in the Central Balkans. </w:t>
      </w:r>
      <w:r w:rsidRPr="00BE23FA">
        <w:rPr>
          <w:rFonts w:ascii="Times New Roman" w:hAnsi="Times New Roman" w:cs="Times New Roman"/>
        </w:rPr>
        <w:t>Belgrade: Serbian Archaeological Society, pp 21–38</w:t>
      </w:r>
    </w:p>
    <w:p w14:paraId="4CF872D4" w14:textId="3C4CD80E" w:rsidR="00DB0D85" w:rsidRPr="00BE23FA" w:rsidRDefault="00DB0D85" w:rsidP="00BE23FA">
      <w:pPr>
        <w:pStyle w:val="Bibliography"/>
        <w:spacing w:line="360" w:lineRule="auto"/>
        <w:rPr>
          <w:rFonts w:ascii="Times New Roman" w:hAnsi="Times New Roman" w:cs="Times New Roman"/>
        </w:rPr>
      </w:pPr>
      <w:r w:rsidRPr="00BE23FA">
        <w:rPr>
          <w:rFonts w:ascii="Times New Roman" w:hAnsi="Times New Roman" w:cs="Times New Roman"/>
        </w:rPr>
        <w:t>Bonet Avalos A, Piqué Huerta R (1995) Dinámica paleoambiental y paleoclimática de la cuenca del Mediona-Riudevitlles (Alt Penedès, Barcelona): análisis antracológico y malacológico de los yacimientos de Can Costella y Mediona I. In: Aleixandre Campos T, Pérez-González A (eds) Reconstrucción Paleoambiental y Cambios Climáticos durante el Cuaternario, pp. 363–374.</w:t>
      </w:r>
    </w:p>
    <w:p w14:paraId="30300EBF" w14:textId="3F43FE4B"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Borel A, Dobosi V, Moncel M-H (2017) Neanderthal’s microlithic tool production and use, the case of Tata (Hungary). Quat Int 435:5–20. https://doi.org/10.1016/j.quaint.2015.09.102</w:t>
      </w:r>
    </w:p>
    <w:p w14:paraId="3EB293B9" w14:textId="6770C564"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Carrión JS, Fernández S, Jiménez-Arenas JM, Munuera M, Ochando J, Amorós G, Ponce de León M, Zollikofer C, Martín-Lerma I, Toro-Moyano I, Hajdas I, Walker MJ (2019) The sequence at Carihuela Cave and its potential for research into Neanderthal ecology and the Mousterian in southern Spain. Quat Sci Rev 217:194–216. https://doi.org/10.1016/j.quascirev.2019.04.012</w:t>
      </w:r>
    </w:p>
    <w:p w14:paraId="122C22E1" w14:textId="429B5D52" w:rsidR="00CF0088"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Carrión JS, Ochando J, Fernández S, Blasco R, Rosell J, Munuera M, Amorós G, Martín-Lerma I, Finlayson S, Giles F, Jennings R, Finlayson G, Giles-Pacheco F, Rodríguez-Vidal J, Finlayson C (2018) Last Neanderthals in the warmest refugium of Europe: Palynological data from Vanguard Cave. Rev Palaeobot</w:t>
      </w:r>
      <w:r w:rsidR="00C638D0" w:rsidRPr="00BE23FA">
        <w:rPr>
          <w:rFonts w:ascii="Times New Roman" w:hAnsi="Times New Roman" w:cs="Times New Roman"/>
          <w:lang w:val="en-US"/>
        </w:rPr>
        <w:t xml:space="preserve"> </w:t>
      </w:r>
      <w:r w:rsidRPr="00BE23FA">
        <w:rPr>
          <w:rFonts w:ascii="Times New Roman" w:hAnsi="Times New Roman" w:cs="Times New Roman"/>
          <w:lang w:val="en-US"/>
        </w:rPr>
        <w:t xml:space="preserve">Palynol 259:63–80. </w:t>
      </w:r>
      <w:hyperlink r:id="rId9" w:history="1">
        <w:r w:rsidR="001C50DF" w:rsidRPr="00BE23FA">
          <w:rPr>
            <w:rStyle w:val="Hyperlink"/>
            <w:rFonts w:ascii="Times New Roman" w:hAnsi="Times New Roman" w:cs="Times New Roman"/>
            <w:lang w:val="en-US"/>
          </w:rPr>
          <w:t>https://doi.org/10.1016/j.revpalbo.2018.09.007</w:t>
        </w:r>
      </w:hyperlink>
    </w:p>
    <w:p w14:paraId="0501DD3F" w14:textId="77777777" w:rsidR="0058462F" w:rsidRPr="00BE23FA" w:rsidRDefault="00CF0088"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Casanova i Martí J, Martínez Moreno J, Mora Torcal R, de la Torre I (2009) Stratégies techniques dans le Paléolithique Moyen du sud-est des Pyrénées. L’Anthropologie 113: 313–340. </w:t>
      </w:r>
      <w:hyperlink r:id="rId10" w:history="1">
        <w:r w:rsidR="0058462F" w:rsidRPr="00BE23FA">
          <w:rPr>
            <w:rStyle w:val="Hyperlink"/>
            <w:rFonts w:ascii="Times New Roman" w:hAnsi="Times New Roman" w:cs="Times New Roman"/>
            <w:lang w:val="en-US"/>
          </w:rPr>
          <w:t>https://doi.org/10.1016/j.anthro.2009.04.004</w:t>
        </w:r>
      </w:hyperlink>
    </w:p>
    <w:p w14:paraId="29C97ED8" w14:textId="2C52F15A" w:rsidR="0058462F" w:rsidRPr="00BE23FA" w:rsidRDefault="0058462F"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Cauche D (2007) Les cultures moustériennes en Ligurie </w:t>
      </w:r>
      <w:proofErr w:type="gramStart"/>
      <w:r w:rsidRPr="00BE23FA">
        <w:rPr>
          <w:rFonts w:ascii="Times New Roman" w:hAnsi="Times New Roman" w:cs="Times New Roman"/>
          <w:lang w:val="en-US"/>
        </w:rPr>
        <w:t>italienne :</w:t>
      </w:r>
      <w:proofErr w:type="gramEnd"/>
      <w:r w:rsidRPr="00BE23FA">
        <w:rPr>
          <w:rFonts w:ascii="Times New Roman" w:hAnsi="Times New Roman" w:cs="Times New Roman"/>
          <w:lang w:val="en-US"/>
        </w:rPr>
        <w:t xml:space="preserve"> analyse du matériel lithique de trois sites en grotte. L’Anthropologie 111: 254–289. https://doi.org/10.1016/j.anthro.2007.05.002</w:t>
      </w:r>
    </w:p>
    <w:p w14:paraId="49F91D03" w14:textId="53C03155" w:rsidR="001C50DF" w:rsidRPr="00BE23FA" w:rsidRDefault="001C50DF"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Couchoud I (2006) Étude pétrographique </w:t>
      </w:r>
      <w:proofErr w:type="gramStart"/>
      <w:r w:rsidRPr="00BE23FA">
        <w:rPr>
          <w:rFonts w:ascii="Times New Roman" w:hAnsi="Times New Roman" w:cs="Times New Roman"/>
          <w:lang w:val="en-US"/>
        </w:rPr>
        <w:t>et</w:t>
      </w:r>
      <w:proofErr w:type="gramEnd"/>
      <w:r w:rsidRPr="00BE23FA">
        <w:rPr>
          <w:rFonts w:ascii="Times New Roman" w:hAnsi="Times New Roman" w:cs="Times New Roman"/>
          <w:lang w:val="en-US"/>
        </w:rPr>
        <w:t xml:space="preserve"> isotopique de spéléothèmes du Sud-Ouest de la France formés en contexte archéologique: contribution à la connaissance des paléoclimats régionaux du stade isotopique 5. PhD thesis, Université Bordeaux 1.</w:t>
      </w:r>
    </w:p>
    <w:p w14:paraId="3A8BA4DA"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Cyrek K, Socha P, Stefaniak K, Madeyska T, Mirosław-Grabowska J, Sudoł M, Czyżewski Ł (2010) Palaeolithic of Biśnik Cave (Southern Poland) within the environmental background. Quaternary International 220:5–30. https://doi.org/10.1016/j.quaint.2009.09.014</w:t>
      </w:r>
    </w:p>
    <w:p w14:paraId="1A4023E7"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Daujeard C, Fernandes P, Guadelli J-L, Moncel M-H, Santagata C, Raynal J-P (2012) Neanderthal subsistence strategies in Southeastern France between the plains of the Rhone Valley and the mid-mountains of the Massif Central (MIS 7 to MIS 3). Quaternary International 252:32–47. https://doi.org/10.1016/j.quaint.2011.01.047</w:t>
      </w:r>
    </w:p>
    <w:p w14:paraId="29AE0D31" w14:textId="1241586E"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Daura J, Sanz M, Julià R, García-Fernández D, Fornós JJ, Vaquero M, Allué E, López-García JM, Blain HA, Ortiz JE, Torres T, Albert RM, Rodríguez-Cintas À, Sánchez-Marco A, Cerdeño E, Skinner AR, Asmeron Y, Polyak VJ, Garcés M, Arnold LJ, Demuro M, Pike AWG, Euba I, Rodríguez RF, Yagüe AS, Villaescusa L, Gómez S, Rubio A, Pedro M, Fullola JM, Zilhão J (2015) Cova del Rinoceront (Castelldefels, Barcelona): a terrestrial record for the Last Interglacial period (MIS 5) in the Mediterranean coast of the Iberian Peninsula. Quat Sci</w:t>
      </w:r>
      <w:r w:rsidR="005C7487" w:rsidRPr="00BE23FA">
        <w:rPr>
          <w:rFonts w:ascii="Times New Roman" w:hAnsi="Times New Roman" w:cs="Times New Roman"/>
          <w:lang w:val="en-US"/>
        </w:rPr>
        <w:t xml:space="preserve"> </w:t>
      </w:r>
      <w:r w:rsidRPr="00BE23FA">
        <w:rPr>
          <w:rFonts w:ascii="Times New Roman" w:hAnsi="Times New Roman" w:cs="Times New Roman"/>
          <w:lang w:val="en-US"/>
        </w:rPr>
        <w:t>Rev</w:t>
      </w:r>
      <w:r w:rsidR="005C7487" w:rsidRPr="00BE23FA">
        <w:rPr>
          <w:rFonts w:ascii="Times New Roman" w:hAnsi="Times New Roman" w:cs="Times New Roman"/>
          <w:lang w:val="en-US"/>
        </w:rPr>
        <w:t xml:space="preserve"> </w:t>
      </w:r>
      <w:r w:rsidRPr="00BE23FA">
        <w:rPr>
          <w:rFonts w:ascii="Times New Roman" w:hAnsi="Times New Roman" w:cs="Times New Roman"/>
          <w:lang w:val="en-US"/>
        </w:rPr>
        <w:t>114:203–227. https://doi.org/10.1016/j.quascirev.2015.02.014</w:t>
      </w:r>
    </w:p>
    <w:p w14:paraId="153CD417"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Del Grosso S, Parton W, Stohlgren T, Zheng D, Bachelet D, Prince S, Hibbard K, Olson R (2008) Global potential net primary production predicted from vegetation class, precipitation, and temperature. Ecology 89:2117–2126. https://doi.org/10.1890/07-0850.1</w:t>
      </w:r>
    </w:p>
    <w:p w14:paraId="74A497ED" w14:textId="77777777" w:rsidR="004A3EC3"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Demuro M, Arnold LJ, Aranburu A, Gómez-Olivencia A, Arsuaga J-L (2019) Single-grain OSL dating of the Middle Palaeolithic site of Galería de las Estatuas, Atapuerca (Burgos, Spain). Quaternary Geochronology 49:254–261. https://doi.org/10.1016/j.quageo.2018.02.006</w:t>
      </w:r>
      <w:r w:rsidR="004A3EC3" w:rsidRPr="00BE23FA">
        <w:rPr>
          <w:rFonts w:ascii="Times New Roman" w:hAnsi="Times New Roman" w:cs="Times New Roman"/>
          <w:lang w:val="en-US"/>
        </w:rPr>
        <w:t xml:space="preserve"> </w:t>
      </w:r>
    </w:p>
    <w:p w14:paraId="59A12E2D" w14:textId="748A31C7" w:rsidR="0097507D" w:rsidRPr="00BE23FA" w:rsidRDefault="004A3EC3"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Doerschner N, Fitzsimmons KE, Blasco R, Finlayson G, Rodríguez-Vidal J, Rosell J, Hublin J-J, Finlayson C (2019) Chronology of the Late Pleistocene archaeological sequence at Vanguard Cave, Gibraltar: Insights from quartz single and multiple grain luminescence dating. Quat Int 501: 289–302. </w:t>
      </w:r>
      <w:hyperlink r:id="rId11" w:tgtFrame="_new" w:history="1">
        <w:r w:rsidRPr="00BE23FA">
          <w:rPr>
            <w:rStyle w:val="Hyperlink"/>
            <w:rFonts w:ascii="Times New Roman" w:hAnsi="Times New Roman" w:cs="Times New Roman"/>
            <w:lang w:val="en-US"/>
          </w:rPr>
          <w:t>https://doi.org/10.1016/j.quaint.2018.02.02</w:t>
        </w:r>
      </w:hyperlink>
    </w:p>
    <w:p w14:paraId="522DDEFD" w14:textId="77777777" w:rsidR="00DB0D85" w:rsidRPr="00BE23FA" w:rsidRDefault="0097507D" w:rsidP="00BE23FA">
      <w:pPr>
        <w:pStyle w:val="Bibliography"/>
        <w:spacing w:line="360" w:lineRule="auto"/>
        <w:rPr>
          <w:rFonts w:ascii="Times New Roman" w:hAnsi="Times New Roman" w:cs="Times New Roman"/>
        </w:rPr>
      </w:pPr>
      <w:r w:rsidRPr="00BE23FA">
        <w:rPr>
          <w:rFonts w:ascii="Times New Roman" w:hAnsi="Times New Roman" w:cs="Times New Roman"/>
          <w:lang w:val="en-US"/>
        </w:rPr>
        <w:t xml:space="preserve">Dublyansky Y, Shirokov V, Moseley GE, Kosintsev PA, Edwards RL, Spötl C (2021) </w:t>
      </w:r>
      <w:r w:rsidRPr="00BE23FA">
        <w:rPr>
          <w:rFonts w:ascii="Times New Roman" w:hAnsi="Times New Roman" w:cs="Times New Roman"/>
          <w:vertAlign w:val="superscript"/>
          <w:lang w:val="en-US"/>
        </w:rPr>
        <w:t>230</w:t>
      </w:r>
      <w:r w:rsidRPr="00BE23FA">
        <w:rPr>
          <w:rFonts w:ascii="Times New Roman" w:hAnsi="Times New Roman" w:cs="Times New Roman"/>
          <w:lang w:val="en-US"/>
        </w:rPr>
        <w:t xml:space="preserve"> Th dating of flowstone from Ignatievskaya Cave, Russia: Age constraints of rock art and paleoclimate inferences. </w:t>
      </w:r>
      <w:r w:rsidRPr="00BE23FA">
        <w:rPr>
          <w:rFonts w:ascii="Times New Roman" w:hAnsi="Times New Roman" w:cs="Times New Roman"/>
        </w:rPr>
        <w:t xml:space="preserve">Geoarchaeology 36:532–545. </w:t>
      </w:r>
      <w:hyperlink r:id="rId12" w:history="1">
        <w:r w:rsidR="00DB0D85" w:rsidRPr="00BE23FA">
          <w:rPr>
            <w:rStyle w:val="Hyperlink"/>
            <w:rFonts w:ascii="Times New Roman" w:hAnsi="Times New Roman" w:cs="Times New Roman"/>
          </w:rPr>
          <w:t>https://doi.org/10.1002/gea.21851</w:t>
        </w:r>
      </w:hyperlink>
    </w:p>
    <w:p w14:paraId="5E200D59" w14:textId="422173B0" w:rsidR="00DB0D85" w:rsidRPr="00BE23FA" w:rsidRDefault="00DB0D85" w:rsidP="00BE23FA">
      <w:pPr>
        <w:pStyle w:val="Bibliography"/>
        <w:spacing w:line="360" w:lineRule="auto"/>
        <w:rPr>
          <w:rFonts w:ascii="Times New Roman" w:hAnsi="Times New Roman" w:cs="Times New Roman"/>
          <w:lang w:val="en-US"/>
        </w:rPr>
      </w:pPr>
      <w:r w:rsidRPr="00BE23FA">
        <w:rPr>
          <w:rFonts w:ascii="Times New Roman" w:hAnsi="Times New Roman" w:cs="Times New Roman"/>
        </w:rPr>
        <w:t xml:space="preserve">Estévez J, Piqué R, Vila A, Taulé M, Weninger G, Bonet A, Clemente I (1993) El poblamiento prehistórico en la cuenca del Mediona (Alt Penedès, Barcelona). </w:t>
      </w:r>
      <w:r w:rsidRPr="00BE23FA">
        <w:rPr>
          <w:rFonts w:ascii="Times New Roman" w:hAnsi="Times New Roman" w:cs="Times New Roman"/>
          <w:lang w:val="en-US"/>
        </w:rPr>
        <w:t>Trabalhos de Antropologia e Etnologia 33, 119–136</w:t>
      </w:r>
    </w:p>
    <w:p w14:paraId="0C1FA3C6"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European Environment Agency (2023) Medium Resolution Net Primary Production (NPP, raster 196m) version 1, Nov. 2023</w:t>
      </w:r>
    </w:p>
    <w:p w14:paraId="71A41FD3" w14:textId="77777777" w:rsidR="00120714" w:rsidRPr="00BE23FA" w:rsidRDefault="0097507D" w:rsidP="00BE23FA">
      <w:pPr>
        <w:pStyle w:val="Bibliography"/>
        <w:spacing w:line="360" w:lineRule="auto"/>
        <w:rPr>
          <w:rFonts w:ascii="Times New Roman" w:hAnsi="Times New Roman" w:cs="Times New Roman"/>
          <w:lang w:val="it-IT"/>
        </w:rPr>
      </w:pPr>
      <w:r w:rsidRPr="00BE23FA">
        <w:rPr>
          <w:rFonts w:ascii="Times New Roman" w:hAnsi="Times New Roman" w:cs="Times New Roman"/>
          <w:lang w:val="en-US"/>
        </w:rPr>
        <w:t xml:space="preserve">Fick SE, Hijmans RJ (2017) WorldClim 2: new 1-km spatial resolution climate surfaces for global land areas. </w:t>
      </w:r>
      <w:r w:rsidRPr="00BE23FA">
        <w:rPr>
          <w:rFonts w:ascii="Times New Roman" w:hAnsi="Times New Roman" w:cs="Times New Roman"/>
          <w:lang w:val="it-IT"/>
        </w:rPr>
        <w:t xml:space="preserve">International Journal of Climatology 37:4302–4315. </w:t>
      </w:r>
      <w:r w:rsidR="00120714" w:rsidRPr="00BE23FA">
        <w:rPr>
          <w:rFonts w:ascii="Times New Roman" w:hAnsi="Times New Roman" w:cs="Times New Roman"/>
        </w:rPr>
        <w:fldChar w:fldCharType="begin"/>
      </w:r>
      <w:r w:rsidR="00120714" w:rsidRPr="00BE23FA">
        <w:rPr>
          <w:rFonts w:ascii="Times New Roman" w:hAnsi="Times New Roman" w:cs="Times New Roman"/>
          <w:lang w:val="it-IT"/>
        </w:rPr>
        <w:instrText>HYPERLINK "https://doi.org/10.1002/joc.5086"</w:instrText>
      </w:r>
      <w:r w:rsidR="00120714" w:rsidRPr="00BE23FA">
        <w:rPr>
          <w:rFonts w:ascii="Times New Roman" w:hAnsi="Times New Roman" w:cs="Times New Roman"/>
        </w:rPr>
        <w:fldChar w:fldCharType="separate"/>
      </w:r>
      <w:r w:rsidR="00120714" w:rsidRPr="00BE23FA">
        <w:rPr>
          <w:rStyle w:val="Hyperlink"/>
          <w:rFonts w:ascii="Times New Roman" w:hAnsi="Times New Roman" w:cs="Times New Roman"/>
          <w:lang w:val="it-IT"/>
        </w:rPr>
        <w:t>https://doi.org/10.1002/joc.5086</w:t>
      </w:r>
      <w:r w:rsidR="00120714" w:rsidRPr="00BE23FA">
        <w:rPr>
          <w:rFonts w:ascii="Times New Roman" w:hAnsi="Times New Roman" w:cs="Times New Roman"/>
        </w:rPr>
        <w:fldChar w:fldCharType="end"/>
      </w:r>
    </w:p>
    <w:p w14:paraId="5335C602" w14:textId="77777777" w:rsidR="00175B52" w:rsidRPr="00BE23FA" w:rsidRDefault="00120714" w:rsidP="00BE23FA">
      <w:pPr>
        <w:pStyle w:val="Bibliography"/>
        <w:spacing w:line="360" w:lineRule="auto"/>
        <w:rPr>
          <w:rFonts w:ascii="Times New Roman" w:hAnsi="Times New Roman" w:cs="Times New Roman"/>
          <w:lang w:val="it-IT"/>
        </w:rPr>
      </w:pPr>
      <w:r w:rsidRPr="00BE23FA">
        <w:rPr>
          <w:rFonts w:ascii="Times New Roman" w:hAnsi="Times New Roman" w:cs="Times New Roman"/>
          <w:lang w:val="it-IT"/>
        </w:rPr>
        <w:t>Fiore I, Raynal JP, Tagliacozzo A (2005) Archeozoologia e aspetti tafonomici del sito musteriano di Baume Vallée (Massiccio centrale francese). In: Fiore I, Malerba G, Chilardi S (eds) Atti del 3° Convegno Nazionale di Archeozoologia, Siracusa, 3–5 novembre 2000. Studi di Paletnologia 2, Istituto Poligrafico e Zecca dello Stato, Roma, pp 81–92.</w:t>
      </w:r>
    </w:p>
    <w:p w14:paraId="25F254F3" w14:textId="77777777" w:rsidR="005C7487" w:rsidRPr="00BE23FA" w:rsidRDefault="00175B52" w:rsidP="00BE23FA">
      <w:pPr>
        <w:pStyle w:val="Bibliography"/>
        <w:spacing w:line="360" w:lineRule="auto"/>
        <w:rPr>
          <w:rFonts w:ascii="Times New Roman" w:hAnsi="Times New Roman" w:cs="Times New Roman"/>
          <w:lang w:val="en-GB"/>
        </w:rPr>
      </w:pPr>
      <w:r w:rsidRPr="00BE23FA">
        <w:rPr>
          <w:rFonts w:ascii="Times New Roman" w:hAnsi="Times New Roman" w:cs="Times New Roman"/>
          <w:lang w:val="en-GB"/>
        </w:rPr>
        <w:t xml:space="preserve">Foury Y, Desclaux E, Daujeard C, Defleur A, Moncel MH, Raynal JP (2016) Evolution of rodent populations in the middle Rhone Valley (Right Bank, Ardèche, France) during the late middle pleistocene and the early upper pleistocene from mis 6 to mis 4. Quaternaire 27: 55–79. </w:t>
      </w:r>
      <w:hyperlink r:id="rId13" w:history="1">
        <w:r w:rsidR="00E236FF" w:rsidRPr="00BE23FA">
          <w:rPr>
            <w:rStyle w:val="Hyperlink"/>
            <w:rFonts w:ascii="Times New Roman" w:hAnsi="Times New Roman" w:cs="Times New Roman"/>
            <w:lang w:val="en-GB"/>
          </w:rPr>
          <w:t>https://doi.org/10.4000/quaternaire.7527</w:t>
        </w:r>
      </w:hyperlink>
    </w:p>
    <w:p w14:paraId="0774909F" w14:textId="3F9A8523" w:rsidR="005C7487" w:rsidRPr="00BE23FA" w:rsidRDefault="005C7487" w:rsidP="00BE23FA">
      <w:pPr>
        <w:pStyle w:val="Bibliography"/>
        <w:spacing w:line="360" w:lineRule="auto"/>
        <w:rPr>
          <w:rFonts w:ascii="Times New Roman" w:hAnsi="Times New Roman" w:cs="Times New Roman"/>
          <w:lang w:val="en-GB"/>
        </w:rPr>
      </w:pPr>
      <w:r w:rsidRPr="00BE23FA">
        <w:rPr>
          <w:rFonts w:ascii="Times New Roman" w:hAnsi="Times New Roman" w:cs="Times New Roman"/>
          <w:lang w:val="en-GB"/>
        </w:rPr>
        <w:t>Frouin M, Douka K, Dave AK, Schwenninger J-L, Mercier N, Murray AS, Santaniello F, Boschian G, Grimaldi S, Higham T (2022) A refined chronology for the Middle and early Upper Paleolithic sequence of Riparo Mochi (Liguria, Italy). J Hum Evol 169: 103211. https://doi.org/10.1016/j.jhevol.2022.103211</w:t>
      </w:r>
    </w:p>
    <w:p w14:paraId="42AA25A8" w14:textId="04699F61" w:rsidR="00E236FF" w:rsidRPr="00BE23FA" w:rsidRDefault="00E236FF" w:rsidP="00BE23FA">
      <w:pPr>
        <w:pStyle w:val="Bibliography"/>
        <w:spacing w:line="360" w:lineRule="auto"/>
        <w:rPr>
          <w:rFonts w:ascii="Times New Roman" w:hAnsi="Times New Roman" w:cs="Times New Roman"/>
          <w:lang w:val="en-GB"/>
        </w:rPr>
      </w:pPr>
      <w:r w:rsidRPr="00BE23FA">
        <w:rPr>
          <w:rFonts w:ascii="Times New Roman" w:hAnsi="Times New Roman" w:cs="Times New Roman"/>
          <w:lang w:val="en-US"/>
        </w:rPr>
        <w:t xml:space="preserve">Garcia J (2015) Long-term hominin occupation during the Middle and early Late Pleistocene: Chronostratigraphy of the Ter River basin (Girona, North-eastern Spain). Journal of Archaeological Science: Reports 3: 493–512. </w:t>
      </w:r>
      <w:hyperlink r:id="rId14" w:tgtFrame="_new" w:history="1">
        <w:r w:rsidRPr="00BE23FA">
          <w:rPr>
            <w:rStyle w:val="Hyperlink"/>
            <w:rFonts w:ascii="Times New Roman" w:hAnsi="Times New Roman" w:cs="Times New Roman"/>
            <w:lang w:val="en-US"/>
          </w:rPr>
          <w:t>https://doi.org/10.1016/j.jasrep.2015.07.005</w:t>
        </w:r>
      </w:hyperlink>
    </w:p>
    <w:p w14:paraId="1D3943C6" w14:textId="0AA72A0D"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Goldberg P, Dibble H, Berna F, Sandgathe D, McPherron SJP, Turq A (2012) New evidence on Neandertal use of fire: Examples from Roc de Marsal and Pech de l’Azé IV. Quat Inter 247:325–340. https://doi.org/10.1016/j.quaint.2010.11.015</w:t>
      </w:r>
    </w:p>
    <w:p w14:paraId="38BD91D3" w14:textId="0FCA2B2C" w:rsidR="0045561F"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Grün R, Stringer C (2000) Tabun revisited: revised ESR chronology and new ESR and U-series analyses of dental material from Tabun C1. J Hum Evol 39:601–612. </w:t>
      </w:r>
      <w:hyperlink r:id="rId15" w:history="1">
        <w:r w:rsidR="0045561F" w:rsidRPr="00BE23FA">
          <w:rPr>
            <w:rStyle w:val="Hyperlink"/>
            <w:rFonts w:ascii="Times New Roman" w:hAnsi="Times New Roman" w:cs="Times New Roman"/>
            <w:lang w:val="en-US"/>
          </w:rPr>
          <w:t>https://doi.org/10.1006/jhev.2000.0443</w:t>
        </w:r>
      </w:hyperlink>
    </w:p>
    <w:p w14:paraId="6446A3B4" w14:textId="77777777" w:rsidR="004F0DE2" w:rsidRPr="00BE23FA" w:rsidRDefault="0045561F"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Grün R, Stringer C (2023) Direct dating of human fossils and the ever-changing story of human evolution. Quat Sci Rev 322:108379. </w:t>
      </w:r>
      <w:hyperlink r:id="rId16" w:history="1">
        <w:r w:rsidR="004F0DE2" w:rsidRPr="00BE23FA">
          <w:rPr>
            <w:rStyle w:val="Hyperlink"/>
            <w:rFonts w:ascii="Times New Roman" w:hAnsi="Times New Roman" w:cs="Times New Roman"/>
            <w:lang w:val="en-US"/>
          </w:rPr>
          <w:t>https://doi.org/10.1016/j.quascirev.2023.108379</w:t>
        </w:r>
      </w:hyperlink>
    </w:p>
    <w:p w14:paraId="04FE2531" w14:textId="49FC0488" w:rsidR="004F0DE2" w:rsidRPr="00BE23FA" w:rsidRDefault="004F0DE2"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Guérin G, Frouin M, Talamo S, Aldeias V, Bruxelles L, Chiotti L, Dibble HL, Goldberg P, Hublin J-J, Jain M, Lahaye C, Madelaine S, Maureille B, McPherron SJP, Mercier N, Murray AS, Sandgathe D, Steele TE, Thomsen KJ, Turq A (2015) A multi-method luminescence dating of the Palaeolithic sequence of La Ferrassie based on new excavations adjacent to the La Ferrassie 1 and 2 skeletons. J Archaeol Sci 58: 147–166. https://doi.org/10.1016/j.jas.2015.01.019</w:t>
      </w:r>
    </w:p>
    <w:p w14:paraId="1927BCEC" w14:textId="1A166D7E" w:rsidR="004F0DE2"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Guérin G, Frouin M, Tuquoi J, Thomsen KJ, Goldberg P, Aldeias V, Lahaye C, Mercier N, Guibert P, Jain M, Sandgathe D, McPherron SJP, Turq A, Dibble HL (2017) The complementarity of luminescence dating methods illustrated on the Mousterian sequence of the Roc de Marsal: A series of reindeer-dominated, Quina Mousterian layers dated to MIS 3. Quat Int 433:102–115. https://doi.org/10.1016/j.quaint.2016.02.063</w:t>
      </w:r>
    </w:p>
    <w:p w14:paraId="075DAD11" w14:textId="77777777" w:rsidR="00CB47E5"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Hatton IA, McCann KS, Fryxell JM, Davies TJ, Smerlak M, Sinclair ARE, Loreau M (2015) The predator-prey power law: Biomass scaling across terrestrial and aquatic biomes. Science 349:aac6284. </w:t>
      </w:r>
      <w:hyperlink r:id="rId17" w:history="1">
        <w:r w:rsidR="001176BB" w:rsidRPr="00BE23FA">
          <w:rPr>
            <w:rStyle w:val="Hyperlink"/>
            <w:rFonts w:ascii="Times New Roman" w:hAnsi="Times New Roman" w:cs="Times New Roman"/>
            <w:lang w:val="en-US"/>
          </w:rPr>
          <w:t>https://doi.org/10.1126/science.aac6284</w:t>
        </w:r>
      </w:hyperlink>
      <w:r w:rsidR="00CB47E5" w:rsidRPr="00BE23FA">
        <w:rPr>
          <w:rFonts w:ascii="Times New Roman" w:hAnsi="Times New Roman" w:cs="Times New Roman"/>
          <w:lang w:val="en-US"/>
        </w:rPr>
        <w:t xml:space="preserve"> </w:t>
      </w:r>
    </w:p>
    <w:p w14:paraId="3F0E8578" w14:textId="2EB5968F" w:rsidR="009537C6" w:rsidRPr="00BE23FA" w:rsidRDefault="00CB47E5"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Jacobs Z, Jankowski NR, Dibble HL, Goldberg P, McPherron SJP, Sandgathe D, Soressi M (2016) </w:t>
      </w:r>
      <w:proofErr w:type="gramStart"/>
      <w:r w:rsidRPr="00BE23FA">
        <w:rPr>
          <w:rFonts w:ascii="Times New Roman" w:hAnsi="Times New Roman" w:cs="Times New Roman"/>
          <w:lang w:val="en-US"/>
        </w:rPr>
        <w:t>The</w:t>
      </w:r>
      <w:proofErr w:type="gramEnd"/>
      <w:r w:rsidRPr="00BE23FA">
        <w:rPr>
          <w:rFonts w:ascii="Times New Roman" w:hAnsi="Times New Roman" w:cs="Times New Roman"/>
          <w:lang w:val="en-US"/>
        </w:rPr>
        <w:t xml:space="preserve"> age of three Middle Palaeolithic sites: Single-grain optically stimulated luminescence chronologies for Pech de l'Aze I, II and IV in France. J Hum Evol 95: 80–103. https://doi.org/10.1016/j.jhevol.2016.03.010</w:t>
      </w:r>
    </w:p>
    <w:p w14:paraId="1732611C" w14:textId="6B949B16" w:rsidR="009537C6" w:rsidRPr="00BE23FA" w:rsidRDefault="009537C6" w:rsidP="00BE23FA">
      <w:pPr>
        <w:pStyle w:val="Bibliography"/>
        <w:spacing w:line="360" w:lineRule="auto"/>
        <w:rPr>
          <w:rFonts w:ascii="Times New Roman" w:hAnsi="Times New Roman" w:cs="Times New Roman"/>
        </w:rPr>
      </w:pPr>
      <w:r w:rsidRPr="00BE23FA">
        <w:rPr>
          <w:rFonts w:ascii="Times New Roman" w:hAnsi="Times New Roman" w:cs="Times New Roman"/>
          <w:lang w:val="en-US"/>
        </w:rPr>
        <w:t xml:space="preserve">Jacobs Z, Li B, Shunkov MV, Kozlikin MB, Bolikhovskaya NS, Agadjanian AK, Uliyanov VA, Vasiliev SK, O’Gorman K, Derevianko AP, Roberts RG (2019) Timing of archaic hominin occupation of Denisova Cave in southern Siberia. </w:t>
      </w:r>
      <w:r w:rsidRPr="00BE23FA">
        <w:rPr>
          <w:rFonts w:ascii="Times New Roman" w:hAnsi="Times New Roman" w:cs="Times New Roman"/>
        </w:rPr>
        <w:t>Nature 565: 594–599. https://doi.org/10.1038/s41586-018-0843-2</w:t>
      </w:r>
    </w:p>
    <w:p w14:paraId="7CF96C1C" w14:textId="0993BE74" w:rsidR="001176BB" w:rsidRPr="00BE23FA" w:rsidRDefault="001176BB" w:rsidP="00BE23FA">
      <w:pPr>
        <w:pStyle w:val="Bibliography"/>
        <w:spacing w:line="360" w:lineRule="auto"/>
        <w:rPr>
          <w:rFonts w:ascii="Times New Roman" w:hAnsi="Times New Roman" w:cs="Times New Roman"/>
        </w:rPr>
      </w:pPr>
      <w:r w:rsidRPr="00BE23FA">
        <w:rPr>
          <w:rFonts w:ascii="Times New Roman" w:hAnsi="Times New Roman" w:cs="Times New Roman"/>
        </w:rPr>
        <w:t>Jaubert J (2002) Les occupations humaines contempo-raines du dernier interglaciaire et de la fin du stade 5dans le Sud de la France. In: Tuffreau A, Roebroeks W (eds) Le Dernier Interglaciaire et les occupations humaines du Paléolithique moyen. Université de Lille, pp 143-157.</w:t>
      </w:r>
    </w:p>
    <w:p w14:paraId="5493D7DE" w14:textId="77777777" w:rsidR="0058462F"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Kandel AW, Sommer C, Kanaeva Z, Bolus M, Bruch AA, Groth C, Haidle MN, Hertler C, Heß J, Malina M, Märker M, Hochschild V, Mosbrugger V, Schrenk F, Conard NJ (2023) The ROCEEH </w:t>
      </w:r>
      <w:proofErr w:type="gramStart"/>
      <w:r w:rsidRPr="00BE23FA">
        <w:rPr>
          <w:rFonts w:ascii="Times New Roman" w:hAnsi="Times New Roman" w:cs="Times New Roman"/>
          <w:lang w:val="en-US"/>
        </w:rPr>
        <w:t>Out</w:t>
      </w:r>
      <w:proofErr w:type="gramEnd"/>
      <w:r w:rsidRPr="00BE23FA">
        <w:rPr>
          <w:rFonts w:ascii="Times New Roman" w:hAnsi="Times New Roman" w:cs="Times New Roman"/>
          <w:lang w:val="en-US"/>
        </w:rPr>
        <w:t xml:space="preserve"> of Africa Database (ROAD): A large-scale research database serves as an indispensable tool for human evolutionary studies. PLoS ONE 18:e0289513. https://doi.org/10.1371/journal.pone.0289513</w:t>
      </w:r>
      <w:r w:rsidR="0058462F" w:rsidRPr="00BE23FA">
        <w:rPr>
          <w:rFonts w:ascii="Times New Roman" w:hAnsi="Times New Roman" w:cs="Times New Roman"/>
          <w:lang w:val="en-US"/>
        </w:rPr>
        <w:t xml:space="preserve"> </w:t>
      </w:r>
    </w:p>
    <w:p w14:paraId="17CADE89" w14:textId="77777777" w:rsidR="004A3EC3" w:rsidRPr="00BE23FA" w:rsidRDefault="0058462F"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Kaniewski D, Renault-Miskovsky J, de Lumley H (2005) Palaeovegetation from a Homo neanderthalensis occupation in Western Liguria: archaeopalynology of Madonna dell’Arma (San Remo, Italy). J Archaeol Sci 32: 827–840. https://doi.org/10.1016/j.jas.2004.12.005</w:t>
      </w:r>
      <w:r w:rsidR="004A3EC3" w:rsidRPr="00BE23FA">
        <w:rPr>
          <w:rFonts w:ascii="Times New Roman" w:hAnsi="Times New Roman" w:cs="Times New Roman"/>
          <w:lang w:val="en-US"/>
        </w:rPr>
        <w:t xml:space="preserve"> </w:t>
      </w:r>
    </w:p>
    <w:p w14:paraId="5B598D54" w14:textId="07991BC4" w:rsidR="0097507D" w:rsidRPr="00BE23FA" w:rsidRDefault="004A3EC3"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Karavanić I, Hellstrom J, Rabeder G, Vukosavljević N, Banda M, Smith FH (2021) New U-Th dates from Vindija, Velika pećina (Kličevica) and Mujina pećina and their implications for chronology of the Middle Paleolithic in Croatia. Coll Antropol 45(1): 1–10.</w:t>
      </w:r>
    </w:p>
    <w:p w14:paraId="158FAC6E"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Kehl M, Eckmeier E, Franz SO, Lehmkuhl F, Soler J, Soler N, Reicherter K, Weniger G-C (2014) Sediment sequence and site formation processes at the Arbreda Cave, NE Iberian Peninsula, and implications on human occupation and climate change during the Last Glacial. Climate of the Past 10:1673–1692. https://doi.org/10.5194/cp-10-1673-2014</w:t>
      </w:r>
    </w:p>
    <w:p w14:paraId="43D6B46E"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Koehler H, Wegmüller F, Audiard B, Auguste P, Bahain J-J, Bocherens H, Diemer S, Preusser F, Pümpin C, Sévêque N, Stoetzel E, Tombret O, Wuscher P (2021) The Middle Paleolithic Occupations of Mutzig-Rain (Alsace, France). https://doi.org/10.5167/UZH-213104</w:t>
      </w:r>
    </w:p>
    <w:p w14:paraId="1ED4A9D8" w14:textId="77777777" w:rsidR="0097507D" w:rsidRPr="00BE23FA" w:rsidRDefault="0097507D" w:rsidP="00BE23FA">
      <w:pPr>
        <w:pStyle w:val="Bibliography"/>
        <w:spacing w:line="360" w:lineRule="auto"/>
        <w:rPr>
          <w:rFonts w:ascii="Times New Roman" w:hAnsi="Times New Roman" w:cs="Times New Roman"/>
        </w:rPr>
      </w:pPr>
      <w:r w:rsidRPr="00BE23FA">
        <w:rPr>
          <w:rFonts w:ascii="Times New Roman" w:hAnsi="Times New Roman" w:cs="Times New Roman"/>
          <w:lang w:val="en-US"/>
        </w:rPr>
        <w:t xml:space="preserve">Kosintsev PA, Bachura OP (2013) Late Pleistocene and Holocene mammal fauna of the Southern Urals. </w:t>
      </w:r>
      <w:r w:rsidRPr="00BE23FA">
        <w:rPr>
          <w:rFonts w:ascii="Times New Roman" w:hAnsi="Times New Roman" w:cs="Times New Roman"/>
        </w:rPr>
        <w:t>Quaternary International 284:161–170. https://doi.org/10.1016/j.quaint.2012.06.022</w:t>
      </w:r>
    </w:p>
    <w:p w14:paraId="5F847AB0"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rPr>
        <w:t xml:space="preserve">Laplana C, Herráez E, Yravedra Saínz De Los Terreros J, Bárez S, Rubio-Jara S, Panera J, Rus I, Pérez-González A (2015) Biocronología de la Terraza Compleja de Butarque del río Manzanares en el Estanque de Tormentas al sur de Madrid (España). </w:t>
      </w:r>
      <w:r w:rsidRPr="00BE23FA">
        <w:rPr>
          <w:rFonts w:ascii="Times New Roman" w:hAnsi="Times New Roman" w:cs="Times New Roman"/>
          <w:lang w:val="en-US"/>
        </w:rPr>
        <w:t>Estud geol 71:e028. https://doi.org/10.3989/egeol.41808.338</w:t>
      </w:r>
    </w:p>
    <w:p w14:paraId="7863AD1E"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Laurat T, Brühl E (2021) Neumark-Nord 2 – A multiphase Middle Palaeolithic open-air site in the Geisel Valley (Central Germany). L’Anthropologie 125:102936. https://doi.org/10.1016/j.anthro.2021.102936</w:t>
      </w:r>
    </w:p>
    <w:p w14:paraId="01086BBF" w14:textId="77777777" w:rsidR="003750F9"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Lieth H (1975) Modeling the Primary Productivity of the World. In: Lieth H, Whittaker RH (</w:t>
      </w:r>
      <w:proofErr w:type="gramStart"/>
      <w:r w:rsidRPr="00BE23FA">
        <w:rPr>
          <w:rFonts w:ascii="Times New Roman" w:hAnsi="Times New Roman" w:cs="Times New Roman"/>
          <w:lang w:val="en-US"/>
        </w:rPr>
        <w:t>eds</w:t>
      </w:r>
      <w:proofErr w:type="gramEnd"/>
      <w:r w:rsidRPr="00BE23FA">
        <w:rPr>
          <w:rFonts w:ascii="Times New Roman" w:hAnsi="Times New Roman" w:cs="Times New Roman"/>
          <w:lang w:val="en-US"/>
        </w:rPr>
        <w:t>) Primary Productivity of the Biosphere. Springer, Berlin, Heidelberg, pp 237–263</w:t>
      </w:r>
      <w:r w:rsidR="00394B8C" w:rsidRPr="00BE23FA">
        <w:rPr>
          <w:rFonts w:ascii="Times New Roman" w:hAnsi="Times New Roman" w:cs="Times New Roman"/>
          <w:lang w:val="en-US"/>
        </w:rPr>
        <w:t xml:space="preserve"> </w:t>
      </w:r>
    </w:p>
    <w:p w14:paraId="494FD12F" w14:textId="5DF291AA" w:rsidR="003750F9" w:rsidRPr="00BE23FA" w:rsidRDefault="003750F9" w:rsidP="00BE23FA">
      <w:pPr>
        <w:pStyle w:val="Bibliography"/>
        <w:spacing w:line="360" w:lineRule="auto"/>
        <w:rPr>
          <w:rFonts w:ascii="Times New Roman" w:hAnsi="Times New Roman" w:cs="Times New Roman"/>
        </w:rPr>
      </w:pPr>
      <w:r w:rsidRPr="00BE23FA">
        <w:rPr>
          <w:rFonts w:ascii="Times New Roman" w:hAnsi="Times New Roman" w:cs="Times New Roman"/>
          <w:lang w:val="en-US"/>
        </w:rPr>
        <w:t xml:space="preserve">Lopez-García JM, Berto C, Peresani M (2019) Environmental and climatic context of the hominin occurrence in northeastern Italy from the late Middle to Late Pleistocene inferred from small-mammal assemblages. </w:t>
      </w:r>
      <w:r w:rsidRPr="00BE23FA">
        <w:rPr>
          <w:rFonts w:ascii="Times New Roman" w:hAnsi="Times New Roman" w:cs="Times New Roman"/>
        </w:rPr>
        <w:t xml:space="preserve">Quat Sci Rev 216: 18–33. </w:t>
      </w:r>
      <w:hyperlink r:id="rId18" w:tgtFrame="_new" w:history="1">
        <w:r w:rsidRPr="00BE23FA">
          <w:rPr>
            <w:rStyle w:val="Hyperlink"/>
            <w:rFonts w:ascii="Times New Roman" w:hAnsi="Times New Roman" w:cs="Times New Roman"/>
          </w:rPr>
          <w:t>https://doi.org/10.1016/j.quascirev.2019.05.025</w:t>
        </w:r>
      </w:hyperlink>
    </w:p>
    <w:p w14:paraId="60012192" w14:textId="0E526B91" w:rsidR="00394B8C" w:rsidRPr="00BE23FA" w:rsidRDefault="00394B8C" w:rsidP="00BE23FA">
      <w:pPr>
        <w:pStyle w:val="Bibliography"/>
        <w:spacing w:line="360" w:lineRule="auto"/>
        <w:rPr>
          <w:rFonts w:ascii="Times New Roman" w:hAnsi="Times New Roman" w:cs="Times New Roman"/>
          <w:lang w:val="en-US"/>
        </w:rPr>
      </w:pPr>
      <w:r w:rsidRPr="00BE23FA">
        <w:rPr>
          <w:rFonts w:ascii="Times New Roman" w:hAnsi="Times New Roman" w:cs="Times New Roman"/>
        </w:rPr>
        <w:t xml:space="preserve">López-Recio M, Baena J, Silva PG (2018) La secuencia cronocultural de la ocupación paleolítica en el valle inferior del río Manzanares (Madrid, España). </w:t>
      </w:r>
      <w:r w:rsidRPr="00BE23FA">
        <w:rPr>
          <w:rFonts w:ascii="Times New Roman" w:hAnsi="Times New Roman" w:cs="Times New Roman"/>
          <w:lang w:val="en-US"/>
        </w:rPr>
        <w:t>Cuat. Geomorfol. 32(3-4): 57–88. https://doi.org/10.17735/cyg.v32i3-4.64210</w:t>
      </w:r>
    </w:p>
    <w:p w14:paraId="529C2EE4" w14:textId="0EF7266B" w:rsidR="00E82909"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Marín J, Daujeard C, Saladié P, Rodríguez-Hidalgo A, Vettese D, Rivals F, Boulbes N, Crégut-Bonnoure E, Lateur N, Gallotti R, Arbez L, Puaud S, Moncel M-H (2020) Neanderthal faunal exploitation and settlement dynamics at the Abri du Maras, level 5 (south-eastern France). Quat</w:t>
      </w:r>
      <w:r w:rsidR="00E82909" w:rsidRPr="00BE23FA">
        <w:rPr>
          <w:rFonts w:ascii="Times New Roman" w:hAnsi="Times New Roman" w:cs="Times New Roman"/>
          <w:lang w:val="en-US"/>
        </w:rPr>
        <w:t xml:space="preserve"> </w:t>
      </w:r>
      <w:r w:rsidRPr="00BE23FA">
        <w:rPr>
          <w:rFonts w:ascii="Times New Roman" w:hAnsi="Times New Roman" w:cs="Times New Roman"/>
          <w:lang w:val="en-US"/>
        </w:rPr>
        <w:t>Sci</w:t>
      </w:r>
      <w:r w:rsidR="00E82909" w:rsidRPr="00BE23FA">
        <w:rPr>
          <w:rFonts w:ascii="Times New Roman" w:hAnsi="Times New Roman" w:cs="Times New Roman"/>
          <w:lang w:val="en-US"/>
        </w:rPr>
        <w:t xml:space="preserve"> </w:t>
      </w:r>
      <w:r w:rsidRPr="00BE23FA">
        <w:rPr>
          <w:rFonts w:ascii="Times New Roman" w:hAnsi="Times New Roman" w:cs="Times New Roman"/>
          <w:lang w:val="en-US"/>
        </w:rPr>
        <w:t>Rev</w:t>
      </w:r>
      <w:r w:rsidR="00E82909" w:rsidRPr="00BE23FA">
        <w:rPr>
          <w:rFonts w:ascii="Times New Roman" w:hAnsi="Times New Roman" w:cs="Times New Roman"/>
          <w:lang w:val="en-US"/>
        </w:rPr>
        <w:t xml:space="preserve"> </w:t>
      </w:r>
      <w:r w:rsidRPr="00BE23FA">
        <w:rPr>
          <w:rFonts w:ascii="Times New Roman" w:hAnsi="Times New Roman" w:cs="Times New Roman"/>
          <w:lang w:val="en-US"/>
        </w:rPr>
        <w:t xml:space="preserve">243:106472. </w:t>
      </w:r>
      <w:hyperlink r:id="rId19" w:history="1">
        <w:r w:rsidR="00E82909" w:rsidRPr="00BE23FA">
          <w:rPr>
            <w:rStyle w:val="Hyperlink"/>
            <w:rFonts w:ascii="Times New Roman" w:hAnsi="Times New Roman" w:cs="Times New Roman"/>
            <w:lang w:val="en-US"/>
          </w:rPr>
          <w:t>https://doi.org/10.1016/j.quascirev.2020.106472</w:t>
        </w:r>
      </w:hyperlink>
    </w:p>
    <w:p w14:paraId="094938A6" w14:textId="5B973369" w:rsidR="00E82909" w:rsidRPr="00BE23FA" w:rsidRDefault="00E82909"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Martín-Perea DM, Maíllo-Fernández JM, Marín J, Arroyo X, Asiaín R (2023) A step back to move forward: a geological re-evaluation of the El Castillo Cave Middle Palaeolithic lithostratigraphic units (Cantabria, northern Iberia). J. Quat. Sci. 38(2): 221–234. </w:t>
      </w:r>
      <w:hyperlink r:id="rId20" w:tgtFrame="_new" w:history="1">
        <w:r w:rsidRPr="00BE23FA">
          <w:rPr>
            <w:rStyle w:val="Hyperlink"/>
            <w:rFonts w:ascii="Times New Roman" w:hAnsi="Times New Roman" w:cs="Times New Roman"/>
            <w:lang w:val="en-US"/>
          </w:rPr>
          <w:t>https://doi.org/10.1002/jqs.3473</w:t>
        </w:r>
      </w:hyperlink>
    </w:p>
    <w:p w14:paraId="3A01B897" w14:textId="13983C65"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Mercier N, Martin L, Kreutzer S, Moineau V, Cliquet D (2019) Dating the palaeolithic footprints of ‘Le Rozel’ (Normandy, France). Quat Geochronol 49:271–277. https://doi.org/10.1016/j.quageo.2017.12.005</w:t>
      </w:r>
    </w:p>
    <w:p w14:paraId="470B1036" w14:textId="77777777" w:rsidR="00072AFA"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Mihailović D, Milošević S, Blackwell BAB, Mercier N, Mentzer SM, Miller CE, Morley MW, Bogićević K, Đurić D, Marković J, Mihailović B, Dragosavac S, Plavšić S, Skinner AR, Chaity IIC, Huang YEW, Chu S, Nenadić D, Radović P, Lindal J, Roksandic M (2022) Neanderthal settlement of the Central Balkans during MIS 5: Evidence from Pešturina Cave, Serbia. Quaternary International 610:1–19. </w:t>
      </w:r>
      <w:hyperlink r:id="rId21" w:history="1">
        <w:r w:rsidR="00072AFA" w:rsidRPr="00BE23FA">
          <w:rPr>
            <w:rStyle w:val="Hyperlink"/>
            <w:rFonts w:ascii="Times New Roman" w:hAnsi="Times New Roman" w:cs="Times New Roman"/>
            <w:lang w:val="en-US"/>
          </w:rPr>
          <w:t>https://doi.org/10.1016/j.quaint.2021.09.003</w:t>
        </w:r>
      </w:hyperlink>
    </w:p>
    <w:p w14:paraId="126B75E0" w14:textId="5DDB7457" w:rsidR="00072AFA" w:rsidRPr="00BE23FA" w:rsidRDefault="00072AFA"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Moncel M-H, Lhomme G (2007) Les </w:t>
      </w:r>
      <w:proofErr w:type="gramStart"/>
      <w:r w:rsidRPr="00BE23FA">
        <w:rPr>
          <w:rFonts w:ascii="Times New Roman" w:hAnsi="Times New Roman" w:cs="Times New Roman"/>
          <w:lang w:val="en-US"/>
        </w:rPr>
        <w:t>assemblages</w:t>
      </w:r>
      <w:proofErr w:type="gramEnd"/>
      <w:r w:rsidRPr="00BE23FA">
        <w:rPr>
          <w:rFonts w:ascii="Times New Roman" w:hAnsi="Times New Roman" w:cs="Times New Roman"/>
          <w:lang w:val="en-US"/>
        </w:rPr>
        <w:t xml:space="preserve"> lithiques des niveaux du Paléolithique moyen de l’Abri des Pêcheurs (Ardèche, sud-est de la France). Des occupations néandertaliennes récurrentes dans </w:t>
      </w:r>
      <w:proofErr w:type="gramStart"/>
      <w:r w:rsidRPr="00BE23FA">
        <w:rPr>
          <w:rFonts w:ascii="Times New Roman" w:hAnsi="Times New Roman" w:cs="Times New Roman"/>
          <w:lang w:val="en-US"/>
        </w:rPr>
        <w:t>un</w:t>
      </w:r>
      <w:proofErr w:type="gramEnd"/>
      <w:r w:rsidRPr="00BE23FA">
        <w:rPr>
          <w:rFonts w:ascii="Times New Roman" w:hAnsi="Times New Roman" w:cs="Times New Roman"/>
          <w:lang w:val="en-US"/>
        </w:rPr>
        <w:t xml:space="preserve"> fossé. L’Anthropologie 111: 211–253.</w:t>
      </w:r>
    </w:p>
    <w:p w14:paraId="517B1DCE"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Moncel M-H, Michel V (2000) Première datation radiométrique par U-Th d’un niveau moustérien de l’Abri du Maras (Ardèche, France). Bulletin de la Société préhistorique française 97:371–375</w:t>
      </w:r>
    </w:p>
    <w:p w14:paraId="7B333AC7" w14:textId="2B923AB5"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Moreno D, Ortega AI, Falguères C, Shao Q, Tombret O, Gómez-Olivencia A, Aranburu A, Trompier F, Bermúdez De Castro JM, Carbonell E, Arsuaga JL (2022) ESR/U-series chronology of the Neanderthal occupation layers at Galería de las Estatuas (Sierra de Atapuerca, Spain). Quat Geochronol 72:101342. https://doi.org/10.1016/j.quageo.2022.101342</w:t>
      </w:r>
    </w:p>
    <w:p w14:paraId="7762E76A"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Nejman L, Rhodes E, Škrdla P, Tostevin G, Neruda P, Nerudová Z, Valoch K, Oliva M, Kaminská L, Svoboda JA, Grün R (2011) New Chronological Evidence for the Middle to Upper Palaeolithic Transition in the Czech Republic and Slovakia: New Optically Stimulated Luminescence Dating Results. Archaeometry 53:1044–1066. https://doi.org/10.1111/j.1475-4754.2011.00586.x</w:t>
      </w:r>
    </w:p>
    <w:p w14:paraId="2854C8EB"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Niven L, Steele TE, Rendu W, Mallye J-B, McPherron SP, Soressi M, Jaubert J, Hublin J-J (2012) Neandertal mobility and large-game hunting: The exploitation of reindeer during the Quina Mousterian at Chez-Pinaud Jonzac (Charente-Maritime, France). Journal of Human Evolution 63:624–635. https://doi.org/10.1016/j.jhevol.2012.07.002</w:t>
      </w:r>
    </w:p>
    <w:p w14:paraId="57AC9924" w14:textId="79714048"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Patou-Mathis M, Chabaï V (2003) Kabazi II (Crimée, Ukraine): </w:t>
      </w:r>
      <w:proofErr w:type="gramStart"/>
      <w:r w:rsidRPr="00BE23FA">
        <w:rPr>
          <w:rFonts w:ascii="Times New Roman" w:hAnsi="Times New Roman" w:cs="Times New Roman"/>
          <w:lang w:val="en-US"/>
        </w:rPr>
        <w:t>un</w:t>
      </w:r>
      <w:proofErr w:type="gramEnd"/>
      <w:r w:rsidRPr="00BE23FA">
        <w:rPr>
          <w:rFonts w:ascii="Times New Roman" w:hAnsi="Times New Roman" w:cs="Times New Roman"/>
          <w:lang w:val="en-US"/>
        </w:rPr>
        <w:t xml:space="preserve"> site d’abattage et de boucherie du Paléolithique moyen. L’Anthropologie 107:223–253. https://doi.org/10.1016/S0003-</w:t>
      </w:r>
      <w:proofErr w:type="gramStart"/>
      <w:r w:rsidRPr="00BE23FA">
        <w:rPr>
          <w:rFonts w:ascii="Times New Roman" w:hAnsi="Times New Roman" w:cs="Times New Roman"/>
          <w:lang w:val="en-US"/>
        </w:rPr>
        <w:t>5521(</w:t>
      </w:r>
      <w:proofErr w:type="gramEnd"/>
      <w:r w:rsidRPr="00BE23FA">
        <w:rPr>
          <w:rFonts w:ascii="Times New Roman" w:hAnsi="Times New Roman" w:cs="Times New Roman"/>
          <w:lang w:val="en-US"/>
        </w:rPr>
        <w:t>02)00006-7</w:t>
      </w:r>
    </w:p>
    <w:p w14:paraId="59AC6817" w14:textId="77777777" w:rsidR="00120714"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Puzachenko AYu, Titov VV, Kosintsev PA (2021) Evolution of the European regional large mammals assemblages in the end of the Middle Pleistocene – The first half of the Late Pleistocene (MIS 6–MIS 4). Quaternary International 605–606:155–191. </w:t>
      </w:r>
      <w:hyperlink r:id="rId22" w:history="1">
        <w:r w:rsidR="00120714" w:rsidRPr="00BE23FA">
          <w:rPr>
            <w:rStyle w:val="Hyperlink"/>
            <w:rFonts w:ascii="Times New Roman" w:hAnsi="Times New Roman" w:cs="Times New Roman"/>
            <w:lang w:val="en-US"/>
          </w:rPr>
          <w:t>https://doi.org/10.1016/j.quaint.2020.08.038</w:t>
        </w:r>
      </w:hyperlink>
    </w:p>
    <w:p w14:paraId="10F33102" w14:textId="77777777" w:rsidR="00120714" w:rsidRPr="00BE23FA" w:rsidRDefault="00120714"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Raynal JP, Decroix C (1986) L’abri de Baume-Vallée (Haute-Loire, France), site moustérien de moyenne montagne dans son contexte régional. Arqueologia, Porto 15:17–42.</w:t>
      </w:r>
    </w:p>
    <w:p w14:paraId="0AA7BF7C" w14:textId="618D9DFF" w:rsidR="00120714" w:rsidRPr="00BE23FA" w:rsidRDefault="00120714"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Raynal JP, Le Corre-Le Beux M, Santagata C, Fernandes P, Guadelli JL, Fiore I, Tagliacozzo A, Lemorini C, Rhodes EJ, Bertran P, Kieffer G, Vivent D (2005) Paléolithique moyen dans le Sud du Massif central: les données du Velay (Haute-Loire, France). </w:t>
      </w:r>
      <w:r w:rsidRPr="00BE23FA">
        <w:rPr>
          <w:rFonts w:ascii="Times New Roman" w:hAnsi="Times New Roman" w:cs="Times New Roman"/>
          <w:lang w:val="en-GB"/>
        </w:rPr>
        <w:t>In: Molines N, Moncel MH, Monnier JL (eds) Les premiers peuplements en Europe. British Archaeological Reports International Series S1364, Oxford, pp 173–202.</w:t>
      </w:r>
    </w:p>
    <w:p w14:paraId="10BFCD12" w14:textId="752D0FEC"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Richard M, Pons-Branchu E, Genuite K, Jaillet S, Joannes-Boyau R, Wang N, Genty D, Cheng H, Price GJ, Pierre M, Dapoigny A, Falguères C, Tombret O, Voinchet P, Bahain J-J, Moncel M-H (2021) Timing of Neanderthal occupations in the southeastern margins of the Massif Central (France): A multi-method approach. Quat Sci Rev 273:107241. https://doi.org/10.1016/j.quascirev.2021.107241</w:t>
      </w:r>
    </w:p>
    <w:p w14:paraId="292AF2DF"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Richter D, Hublin J-J, Jaubert J, McPherron SP, Soressi M, Texier J-P (2013) Thermoluminescence dates for the Middle Palaeolithic site of Chez-Pinaud Jonzac (France). Journal of Archaeological Science 40:1176–1185. https://doi.org/10.1016/j.jas.2012.09.003</w:t>
      </w:r>
    </w:p>
    <w:p w14:paraId="6FB42BDA"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Richter D, Mercier N, Valladas H, Jaubert J, Texier P-J, Brugal J-P, Kervazo B, Reyss J-L, Joron J-L, Wagner GA (2007) Thermoluminescence dating of heated flint from the Mousterian site of Bérigoule, Murs, Vaucluse, France. Journal of Archaeological Science 34:532–539. https://doi.org/10.1016/j.jas.2006.06.006</w:t>
      </w:r>
    </w:p>
    <w:p w14:paraId="6E03380A"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Rink WJ, Grün R, Yalcinkaya E, Otte M, Taşkiran H, Valladas H, Mercier N, Bar-Yosef O, Kozlowski JK, Schwarcz HP (1994) ESR Dating of the Last Interglacial Mousterian at Karaïn Cave, Southern Turkey. Journal of Archaeological Science 21:839–849. https://doi.org/10.1006/jasc.1994.1081</w:t>
      </w:r>
    </w:p>
    <w:p w14:paraId="0C89BC91"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Rink WJ, Kandel AW, Conard NJ (2002) The ESR geochronology and geology of the open-air Palaeolithic deposits in Bollschweil, Germany. Archaeometry 44:635–650. https://doi.org/10.1111/1475-4754.t01-1-00090</w:t>
      </w:r>
    </w:p>
    <w:p w14:paraId="1B13AD91"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Rink WJ, Schwarcz HP, Smith FH, Radovĉiĉ J (1995) ESR ages for Krapina hominids. Nature 378:24–24. https://doi.org/10.1038/378024a0</w:t>
      </w:r>
    </w:p>
    <w:p w14:paraId="5CF65191"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Roditi E, Starkovich BM (2022) Investigating Middle Palaeolithic subsistence: zooarchaeological perspectives on the potential character of hominin climate refugia in Greece. Journal of Quaternary Science 37:181–193. https://doi.org/10.1002/jqs.3371</w:t>
      </w:r>
    </w:p>
    <w:p w14:paraId="5E3875A6" w14:textId="77777777" w:rsidR="00CB5CBA"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Rodríguez J, Blain HA, Mateos A, Martín-González JA, Cuenca-Bescós G, Rodríguez-Gómez G (2014) Ungulate carrying capacity in Pleistocene Mediterranean ecosystems: Evidence from the Atapuerca sites. Palaeogeography, Palaeoclimatology, Palaeoecology 393:122–134. </w:t>
      </w:r>
      <w:hyperlink r:id="rId23" w:history="1">
        <w:r w:rsidR="00CB5CBA" w:rsidRPr="00BE23FA">
          <w:rPr>
            <w:rStyle w:val="Hyperlink"/>
            <w:rFonts w:ascii="Times New Roman" w:hAnsi="Times New Roman" w:cs="Times New Roman"/>
            <w:lang w:val="en-US"/>
          </w:rPr>
          <w:t>https://doi.org/10.1016/j.palaeo.2013.11.011</w:t>
        </w:r>
      </w:hyperlink>
    </w:p>
    <w:p w14:paraId="2D45B137" w14:textId="6860A21F" w:rsidR="00CB5CBA" w:rsidRPr="00BE23FA" w:rsidRDefault="00CB5CBA"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Rodríguez-Álvarez XP, de Lombera Hermida A, Fábregas-Valcarce R, Lazuén Fernández T (2011) The Upper Pleistocene site of Cova Eirós (Triacastela, Lugo, Spain). In: de Lombera Hermida A, Fábregas-Valcarce R (</w:t>
      </w:r>
      <w:proofErr w:type="gramStart"/>
      <w:r w:rsidRPr="00BE23FA">
        <w:rPr>
          <w:rFonts w:ascii="Times New Roman" w:hAnsi="Times New Roman" w:cs="Times New Roman"/>
          <w:lang w:val="en-US"/>
        </w:rPr>
        <w:t>eds</w:t>
      </w:r>
      <w:proofErr w:type="gramEnd"/>
      <w:r w:rsidRPr="00BE23FA">
        <w:rPr>
          <w:rFonts w:ascii="Times New Roman" w:hAnsi="Times New Roman" w:cs="Times New Roman"/>
          <w:lang w:val="en-US"/>
        </w:rPr>
        <w:t>) To the West of Spanish Cantabria: The Palaeolithic Settlement of Galicia. BAR International Series 2283, Oxford, 123–133.</w:t>
      </w:r>
    </w:p>
    <w:p w14:paraId="5F0EB44C"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Rouzaud F, Soulier M, Brugal J-P, Jaubert J (1990) L’Igue des Rameaux (Saint-Antonin-Noble-Val, Tarn-et-Garonne). </w:t>
      </w:r>
      <w:proofErr w:type="gramStart"/>
      <w:r w:rsidRPr="00BE23FA">
        <w:rPr>
          <w:rFonts w:ascii="Times New Roman" w:hAnsi="Times New Roman" w:cs="Times New Roman"/>
          <w:lang w:val="en-US"/>
        </w:rPr>
        <w:t>Un</w:t>
      </w:r>
      <w:proofErr w:type="gramEnd"/>
      <w:r w:rsidRPr="00BE23FA">
        <w:rPr>
          <w:rFonts w:ascii="Times New Roman" w:hAnsi="Times New Roman" w:cs="Times New Roman"/>
          <w:lang w:val="en-US"/>
        </w:rPr>
        <w:t xml:space="preserve"> nouveau gisement du Pléistocène moyen : premiers résultats. PALEO : Revue d’Archéologie Préhistorique 2:89</w:t>
      </w:r>
    </w:p>
    <w:p w14:paraId="33726502" w14:textId="77777777" w:rsidR="00AB7C0E"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Rufà A, Blasco R, Roger T, Rué M, Daujeard C (2018) </w:t>
      </w:r>
      <w:proofErr w:type="gramStart"/>
      <w:r w:rsidRPr="00BE23FA">
        <w:rPr>
          <w:rFonts w:ascii="Times New Roman" w:hAnsi="Times New Roman" w:cs="Times New Roman"/>
          <w:lang w:val="en-US"/>
        </w:rPr>
        <w:t>A</w:t>
      </w:r>
      <w:proofErr w:type="gramEnd"/>
      <w:r w:rsidRPr="00BE23FA">
        <w:rPr>
          <w:rFonts w:ascii="Times New Roman" w:hAnsi="Times New Roman" w:cs="Times New Roman"/>
          <w:lang w:val="en-US"/>
        </w:rPr>
        <w:t xml:space="preserve"> rallying point for different predators: the avian record from a Late Pleistocene sequence of Grotte des Barasses II (Balazuc, Ardèche, France). Archaeol Anthropol Sci 10:1459–1476. </w:t>
      </w:r>
      <w:hyperlink r:id="rId24" w:history="1">
        <w:r w:rsidR="00AB7C0E" w:rsidRPr="00BE23FA">
          <w:rPr>
            <w:rStyle w:val="Hyperlink"/>
            <w:rFonts w:ascii="Times New Roman" w:hAnsi="Times New Roman" w:cs="Times New Roman"/>
            <w:lang w:val="en-US"/>
          </w:rPr>
          <w:t>https://doi.org/10.1007/s12520-017-0469-6</w:t>
        </w:r>
      </w:hyperlink>
    </w:p>
    <w:p w14:paraId="55071180" w14:textId="37A44185" w:rsidR="00AB7C0E" w:rsidRPr="00BE23FA" w:rsidRDefault="00AB7C0E"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Rusch L, Grégoire S, Pois V, Moigne A-M (2019) Neanderthal and carnivore occupations in unit II from the Upper Pleistocene site of Ramandils Cave (Port-la-Nouvelle, Aude, France). J Archaeol Sci Rep 28: 102038. https://doi.org/10.1016/j.jasrep.2019.102038</w:t>
      </w:r>
    </w:p>
    <w:p w14:paraId="5D27B74E" w14:textId="77777777" w:rsidR="005D0BFE" w:rsidRPr="00BE23FA" w:rsidRDefault="0097507D" w:rsidP="00BE23FA">
      <w:pPr>
        <w:pStyle w:val="Bibliography"/>
        <w:spacing w:line="360" w:lineRule="auto"/>
        <w:rPr>
          <w:rFonts w:ascii="Times New Roman" w:hAnsi="Times New Roman" w:cs="Times New Roman"/>
        </w:rPr>
      </w:pPr>
      <w:r w:rsidRPr="00BE23FA">
        <w:rPr>
          <w:rFonts w:ascii="Times New Roman" w:hAnsi="Times New Roman" w:cs="Times New Roman"/>
          <w:lang w:val="en-US"/>
        </w:rPr>
        <w:t xml:space="preserve">Sabol M, Slyšková D, Bodoriková S, Čejka T, Čerňanský A, Ivanov M, Joniak P, Kováčová M, Tóth C (2017) Revised floral and faunal assemblages from Late Pleistocene deposits of the Gánovce-Hrádok Neanderthal site – biostratigraphic and palaeoecological implications. </w:t>
      </w:r>
      <w:r w:rsidRPr="00BE23FA">
        <w:rPr>
          <w:rFonts w:ascii="Times New Roman" w:hAnsi="Times New Roman" w:cs="Times New Roman"/>
        </w:rPr>
        <w:t xml:space="preserve">FI 73:182–196. </w:t>
      </w:r>
      <w:hyperlink r:id="rId25" w:history="1">
        <w:r w:rsidR="005D0BFE" w:rsidRPr="00BE23FA">
          <w:rPr>
            <w:rStyle w:val="Hyperlink"/>
            <w:rFonts w:ascii="Times New Roman" w:hAnsi="Times New Roman" w:cs="Times New Roman"/>
          </w:rPr>
          <w:t>https://doi.org/10.2478/if-2017-0010</w:t>
        </w:r>
      </w:hyperlink>
    </w:p>
    <w:p w14:paraId="752B8672" w14:textId="1FC17EBC" w:rsidR="005D0BFE" w:rsidRPr="00BE23FA" w:rsidRDefault="005D0BFE" w:rsidP="00BE23FA">
      <w:pPr>
        <w:pStyle w:val="Bibliography"/>
        <w:spacing w:line="360" w:lineRule="auto"/>
        <w:rPr>
          <w:rFonts w:ascii="Times New Roman" w:hAnsi="Times New Roman" w:cs="Times New Roman"/>
        </w:rPr>
      </w:pPr>
      <w:r w:rsidRPr="00BE23FA">
        <w:rPr>
          <w:rFonts w:ascii="Times New Roman" w:hAnsi="Times New Roman" w:cs="Times New Roman"/>
        </w:rPr>
        <w:t>Sánchez Yustos P, Díez Martín F, Díaz Muñoz IM, Gómez de la Rúa D, Gómez González JA (2011) Estrategias de talla en Cueva Corazón (Mave, Palencia). Un yacimiento del Musteriense Antiguo en las estribaciones meridionales de la Cordillera Cantábrica. Trabajos de Prehistoria 68(1): 51–63. https://doi.org/10.3989/tp.2011.11058</w:t>
      </w:r>
    </w:p>
    <w:p w14:paraId="5CA4CC1B"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rPr>
        <w:t xml:space="preserve">Sesé C, López-Martínez N (2013) Nuevos datos paleontológicos del Pleistoceno en el Valle del Manzanares (Madrid, España): Los micromamíferos del yacimiento del Arenero de Arriaga. </w:t>
      </w:r>
      <w:r w:rsidRPr="00BE23FA">
        <w:rPr>
          <w:rFonts w:ascii="Times New Roman" w:hAnsi="Times New Roman" w:cs="Times New Roman"/>
          <w:lang w:val="en-US"/>
        </w:rPr>
        <w:t>New paleontological data from the Pleistocene Manzanares Valley (Madrid, Spain): The micromammals from the Arenero de Arriaga site. https://doi.org/10.3989/egeol.41318.270</w:t>
      </w:r>
    </w:p>
    <w:p w14:paraId="39370086" w14:textId="77777777" w:rsidR="0097507D" w:rsidRPr="00BE23FA" w:rsidRDefault="0097507D" w:rsidP="00BE23FA">
      <w:pPr>
        <w:pStyle w:val="Bibliography"/>
        <w:spacing w:line="360" w:lineRule="auto"/>
        <w:rPr>
          <w:rFonts w:ascii="Times New Roman" w:hAnsi="Times New Roman" w:cs="Times New Roman"/>
        </w:rPr>
      </w:pPr>
      <w:r w:rsidRPr="00BE23FA">
        <w:rPr>
          <w:rFonts w:ascii="Times New Roman" w:hAnsi="Times New Roman" w:cs="Times New Roman"/>
        </w:rPr>
        <w:t>Sesé C, Soto E (2005) Mamíferos del yacimiento del Pleistoceno Medio de Ambrona (Soria, España): Análisis faunístico e interpretación paleoambiental. Madrid (Comunidad Autónoma)</w:t>
      </w:r>
    </w:p>
    <w:p w14:paraId="0E1BF0EB"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rPr>
        <w:t xml:space="preserve">Silva PG, López-Recio M, Tapias F, Roquero E, Morín J, Rus I, Carrasco-García P, Giner-Robles JL, Rodríguez-Pascua MA, Pérez-López R (2013) Stratigraphy of the Arriaga Palaeolithic sites. </w:t>
      </w:r>
      <w:r w:rsidRPr="00BE23FA">
        <w:rPr>
          <w:rFonts w:ascii="Times New Roman" w:hAnsi="Times New Roman" w:cs="Times New Roman"/>
          <w:lang w:val="en-US"/>
        </w:rPr>
        <w:t>Implications for the geomorphological evolution recorded by thickened fluvial sequences within the Manzanares River valley (Madrid Neogene Basin, Central Spain). Geomorphology 196:138–161. https://doi.org/10.1016/j.geomorph.2012.10.019</w:t>
      </w:r>
    </w:p>
    <w:p w14:paraId="60F631D9"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Stiner MC (1993) Small Animal Exploitation and its Relation to Hunting, Scavenging, and Gathering in the Italian Mousterian. Archaeological Papers of the American 4:107–125. https://doi.org/10.1525/ap3a.1993.4.1.107</w:t>
      </w:r>
    </w:p>
    <w:p w14:paraId="5FE340CD" w14:textId="23A6902D"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Stoetzel E, Koehler H, Cliquet D, Sévêque N, Auguste P (2016) New data on Late Pleistocene small vertebrates from northern France. C R Palevol 15:681–695. </w:t>
      </w:r>
      <w:hyperlink r:id="rId26" w:history="1">
        <w:r w:rsidR="00414B2B" w:rsidRPr="00BE23FA">
          <w:rPr>
            <w:rStyle w:val="Hyperlink"/>
            <w:rFonts w:ascii="Times New Roman" w:hAnsi="Times New Roman" w:cs="Times New Roman"/>
            <w:lang w:val="en-US"/>
          </w:rPr>
          <w:t>https://doi.org/10.1016/j.crpv.2015.12.003</w:t>
        </w:r>
      </w:hyperlink>
    </w:p>
    <w:p w14:paraId="2DB81EE1" w14:textId="77777777" w:rsidR="00BA73D9" w:rsidRPr="00BE23FA" w:rsidRDefault="00414B2B" w:rsidP="00BE23FA">
      <w:pPr>
        <w:pStyle w:val="Bibliography"/>
        <w:spacing w:line="360" w:lineRule="auto"/>
        <w:rPr>
          <w:rFonts w:ascii="Times New Roman" w:hAnsi="Times New Roman" w:cs="Times New Roman"/>
        </w:rPr>
      </w:pPr>
      <w:r w:rsidRPr="00BE23FA">
        <w:rPr>
          <w:rFonts w:ascii="Times New Roman" w:hAnsi="Times New Roman" w:cs="Times New Roman"/>
          <w:lang w:val="en-US"/>
        </w:rPr>
        <w:t xml:space="preserve">Suárez-Bilbao A, Garcia-Ibaibarriaga N, Castaños J, Castaños P, Iriarte-Chiapusso MJ, Arrizabalaga A, Torres T, Ortiz JE, Murelaga X (2016) A new Late Pleistocene non-anthropogenic vertebrate assemblage from the northern Iberian Peninsula: Artazu VII (Arrasate, Basque Country). </w:t>
      </w:r>
      <w:r w:rsidRPr="00BE23FA">
        <w:rPr>
          <w:rFonts w:ascii="Times New Roman" w:hAnsi="Times New Roman" w:cs="Times New Roman"/>
        </w:rPr>
        <w:t xml:space="preserve">C R Palevol 15:950–957. </w:t>
      </w:r>
      <w:hyperlink r:id="rId27" w:history="1">
        <w:r w:rsidR="00BA73D9" w:rsidRPr="00BE23FA">
          <w:rPr>
            <w:rStyle w:val="Hyperlink"/>
            <w:rFonts w:ascii="Times New Roman" w:hAnsi="Times New Roman" w:cs="Times New Roman"/>
          </w:rPr>
          <w:t>https://doi.org/10.1016/j.crpv.2016.05.002</w:t>
        </w:r>
      </w:hyperlink>
    </w:p>
    <w:p w14:paraId="692155FA" w14:textId="03DC0BAA" w:rsidR="00BA73D9" w:rsidRPr="00BE23FA" w:rsidRDefault="00BA73D9" w:rsidP="00BE23FA">
      <w:pPr>
        <w:pStyle w:val="Bibliography"/>
        <w:spacing w:line="360" w:lineRule="auto"/>
        <w:rPr>
          <w:rFonts w:ascii="Times New Roman" w:hAnsi="Times New Roman" w:cs="Times New Roman"/>
          <w:lang w:val="en-US"/>
        </w:rPr>
      </w:pPr>
      <w:r w:rsidRPr="00BE23FA">
        <w:rPr>
          <w:rFonts w:ascii="Times New Roman" w:hAnsi="Times New Roman" w:cs="Times New Roman"/>
        </w:rPr>
        <w:t xml:space="preserve">Torres, T., Ortiz, J.E., Fernández, E., Arroyo-Pardo, E., Grün, R., Pérez-González, A., 2014. </w:t>
      </w:r>
      <w:r w:rsidRPr="00BE23FA">
        <w:rPr>
          <w:rFonts w:ascii="Times New Roman" w:hAnsi="Times New Roman" w:cs="Times New Roman"/>
          <w:lang w:val="en-US"/>
        </w:rPr>
        <w:t>Aspartic acid racemization as a dating tool for dentine: A reality. Quaternary Geochronology 22, 43–56. https://doi.org/10.1016/j.quageo.2014.02.004</w:t>
      </w:r>
    </w:p>
    <w:p w14:paraId="2E1F5FD6" w14:textId="3D5A20C0" w:rsidR="00DA0674" w:rsidRPr="00BE23FA" w:rsidRDefault="00DA0674"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Vaissié E, Delvigne V, Faivre JP, Fernandes P, Turq A, Raynal JP (2017) Techno-économie et signification culturelle de l’occupation moustérienne supérieure de Baume-Vallée (Haute-Loire). Comptes Rendus Palevol 16:804–819. </w:t>
      </w:r>
      <w:hyperlink r:id="rId28" w:tgtFrame="_new" w:history="1">
        <w:r w:rsidRPr="00BE23FA">
          <w:rPr>
            <w:rStyle w:val="Hyperlink"/>
            <w:rFonts w:ascii="Times New Roman" w:hAnsi="Times New Roman" w:cs="Times New Roman"/>
            <w:lang w:val="en-US"/>
          </w:rPr>
          <w:t>https://doi.org/10.1016/j.crpv.2017.06.005</w:t>
        </w:r>
      </w:hyperlink>
      <w:r w:rsidRPr="00BE23FA">
        <w:rPr>
          <w:rFonts w:ascii="Times New Roman" w:hAnsi="Times New Roman" w:cs="Times New Roman"/>
          <w:lang w:val="en-US"/>
        </w:rPr>
        <w:t xml:space="preserve"> </w:t>
      </w:r>
    </w:p>
    <w:p w14:paraId="2D027F25" w14:textId="77777777" w:rsidR="00850BE2"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Valensi P, Psathi E (2004) Faunal Exploitation during the Middle Palaeolithic in south-eastern France and north-western Italy. International Journal of Osteoarchaeology 14:256–272. </w:t>
      </w:r>
      <w:hyperlink r:id="rId29" w:history="1">
        <w:r w:rsidR="00850BE2" w:rsidRPr="00BE23FA">
          <w:rPr>
            <w:rStyle w:val="Hyperlink"/>
            <w:rFonts w:ascii="Times New Roman" w:hAnsi="Times New Roman" w:cs="Times New Roman"/>
            <w:lang w:val="en-US"/>
          </w:rPr>
          <w:t>https://doi.org/10.1002/oa.760</w:t>
        </w:r>
      </w:hyperlink>
      <w:r w:rsidR="00850BE2" w:rsidRPr="00BE23FA">
        <w:rPr>
          <w:rFonts w:ascii="Times New Roman" w:hAnsi="Times New Roman" w:cs="Times New Roman"/>
          <w:lang w:val="en-US"/>
        </w:rPr>
        <w:t xml:space="preserve"> </w:t>
      </w:r>
    </w:p>
    <w:p w14:paraId="2C39D2B0" w14:textId="7C4CE538" w:rsidR="0097507D" w:rsidRPr="00BE23FA" w:rsidRDefault="00850BE2"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Valladas H, Mercier N, Falguères C, Bahain JJ (1999) Contribution des méthodes nucléaires à la chronologie des cultures paléolithiques entre 300 000 et 35 000 ans BP. Gallia Préhistoire 41: 153–166. https://doi.org/10.3406/galip.1999.2163</w:t>
      </w:r>
    </w:p>
    <w:p w14:paraId="41547817"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Vermeersch PM (2025) Radiocarbon Palaeolithic Europe Database, Version 31</w:t>
      </w:r>
    </w:p>
    <w:p w14:paraId="608FCF23"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Vidal-Cordasco M, Ocio D, Hickler T, </w:t>
      </w:r>
      <w:proofErr w:type="gramStart"/>
      <w:r w:rsidRPr="00BE23FA">
        <w:rPr>
          <w:rFonts w:ascii="Times New Roman" w:hAnsi="Times New Roman" w:cs="Times New Roman"/>
          <w:lang w:val="en-US"/>
        </w:rPr>
        <w:t>Marín</w:t>
      </w:r>
      <w:proofErr w:type="gramEnd"/>
      <w:r w:rsidRPr="00BE23FA">
        <w:rPr>
          <w:rFonts w:ascii="Times New Roman" w:hAnsi="Times New Roman" w:cs="Times New Roman"/>
          <w:lang w:val="en-US"/>
        </w:rPr>
        <w:t>-Arroyo AB (2022) Ecosystem productivity affected the spatiotemporal disappearance of Neanderthals in Iberia. Nat Ecol Evol 6:1644–1657. https://doi.org/10.1038/s41559-022-01861-5</w:t>
      </w:r>
    </w:p>
    <w:p w14:paraId="69510F3B" w14:textId="77777777" w:rsidR="00C638D0"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Villa P, Soriano S, Pollarolo L, Smriglio C, Gaeta M, D’Orazio M, Conforti J, Tozzi C (2020) Neandertals on the beach: Use of marine resources at Grotta dei Moscerini (Latium, Italy). PLoS ONE 15:e0226690. </w:t>
      </w:r>
      <w:hyperlink r:id="rId30" w:history="1">
        <w:r w:rsidR="00A67CED" w:rsidRPr="00BE23FA">
          <w:rPr>
            <w:rStyle w:val="Hyperlink"/>
            <w:rFonts w:ascii="Times New Roman" w:hAnsi="Times New Roman" w:cs="Times New Roman"/>
            <w:lang w:val="en-US"/>
          </w:rPr>
          <w:t>https://doi.org/10.1371/journal.pone.0226690</w:t>
        </w:r>
      </w:hyperlink>
    </w:p>
    <w:p w14:paraId="1AE62CD9" w14:textId="65C22877" w:rsidR="00C638D0" w:rsidRPr="00BE23FA" w:rsidRDefault="00C638D0"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Vonhof HB, Verheyden S, Bonjean D, Pirson S, Weber M, Scholz D, Hellstrom J, Cheng H, Jia X, Di Modica K, Abrams G, van Nunen MAP, Ruiter J, van der Does M, Böhl D, van der Lubbe JHJL (2024) Improving the age constraints on the archeological record in Scladina Cave (Belgium): new speleothem U–Th ages. Clim Past 20: 2741–2758. https://doi.org/10.5194/cp-20-2741-2024</w:t>
      </w:r>
    </w:p>
    <w:p w14:paraId="54B2700C" w14:textId="77777777" w:rsidR="00561257" w:rsidRPr="00BE23FA" w:rsidRDefault="00A67CE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Willmes M, Grün R, Douka K, Michel V, Armstrong RA, Benson A, Crégut-Bonnoure E, Desclaux E, Fang F, Kinsley L (2016) A comprehensive chronology of the Neanderthal site Moula-Guercy, Ardèche, France. J Archaeol Sci Report 9:309–319. </w:t>
      </w:r>
      <w:hyperlink r:id="rId31" w:history="1">
        <w:r w:rsidR="00561257" w:rsidRPr="00BE23FA">
          <w:rPr>
            <w:rStyle w:val="Hyperlink"/>
            <w:rFonts w:ascii="Times New Roman" w:hAnsi="Times New Roman" w:cs="Times New Roman"/>
            <w:lang w:val="en-US"/>
          </w:rPr>
          <w:t>http://dx.doi.org/10.1016/j.jasrep.2016.08.003</w:t>
        </w:r>
      </w:hyperlink>
      <w:r w:rsidR="00561257" w:rsidRPr="00BE23FA">
        <w:rPr>
          <w:rFonts w:ascii="Times New Roman" w:hAnsi="Times New Roman" w:cs="Times New Roman"/>
          <w:lang w:val="en-US"/>
        </w:rPr>
        <w:t xml:space="preserve"> </w:t>
      </w:r>
    </w:p>
    <w:p w14:paraId="080A682E" w14:textId="77A9817F" w:rsidR="0097507D" w:rsidRPr="00BE23FA" w:rsidRDefault="00561257"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 xml:space="preserve">Wiśniewski A, Bobak D, Połtowicz-Bobak M, Moska P (2024) Late Middle Palaeolithic and Early Upper Palaeolithic in Poland in the light of new numerical dating. Geogr. Pol. 97(3): 295–325. </w:t>
      </w:r>
      <w:r w:rsidR="00C20A11" w:rsidRPr="00BE23FA">
        <w:rPr>
          <w:rFonts w:ascii="Times New Roman" w:hAnsi="Times New Roman" w:cs="Times New Roman"/>
          <w:lang w:val="en-US"/>
        </w:rPr>
        <w:t>h</w:t>
      </w:r>
      <w:r w:rsidRPr="00BE23FA">
        <w:rPr>
          <w:rFonts w:ascii="Times New Roman" w:hAnsi="Times New Roman" w:cs="Times New Roman"/>
          <w:lang w:val="en-US"/>
        </w:rPr>
        <w:t>ttps://doi.org/10.7163/GPol.0281</w:t>
      </w:r>
    </w:p>
    <w:p w14:paraId="2002300F" w14:textId="77777777" w:rsidR="00C20A11" w:rsidRPr="00BE23FA" w:rsidRDefault="00C20A11"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Wojtal P, Patou-Mathis M (2003) Subsistence behaviours in a Middle Palaeolithic site in Poland: the Raj Cave. Br Archaeol Rep Int Ser 1105:83–89</w:t>
      </w:r>
    </w:p>
    <w:p w14:paraId="46178A6E" w14:textId="77777777" w:rsidR="0022748F"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Yokoyama Y, Nguyen H-V, Quaegebeur J-P, Hasif GL (1987) Datation par la spectrométrie gamma non destructive et la resonance de spin électronique (ESR) du remplissage de la grotte de 1’Arbreda. 137–143</w:t>
      </w:r>
    </w:p>
    <w:p w14:paraId="536A78B2" w14:textId="70B0B4DE" w:rsidR="0022748F" w:rsidRPr="00BE23FA" w:rsidRDefault="0022748F"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Zilhão J, Angelucci DE, Arnold LJ, Demuro M, Hoffmann DL, Pike AWG (2021) A revised, Last Interglacial chronology for the Middle Palaeolithic sequence of Gruta da Oliveira (Almonda karst system, Torres Novas, Portugal). Quat Sci Rev 258: 106885. https://doi.org/10.1016/j.quascirev.2021.106885</w:t>
      </w:r>
    </w:p>
    <w:p w14:paraId="635152D4" w14:textId="77777777" w:rsidR="0097507D" w:rsidRPr="00BE23FA" w:rsidRDefault="0097507D" w:rsidP="00BE23FA">
      <w:pPr>
        <w:pStyle w:val="Bibliography"/>
        <w:spacing w:line="360" w:lineRule="auto"/>
        <w:rPr>
          <w:rFonts w:ascii="Times New Roman" w:hAnsi="Times New Roman" w:cs="Times New Roman"/>
          <w:lang w:val="en-US"/>
        </w:rPr>
      </w:pPr>
      <w:r w:rsidRPr="00BE23FA">
        <w:rPr>
          <w:rFonts w:ascii="Times New Roman" w:hAnsi="Times New Roman" w:cs="Times New Roman"/>
          <w:lang w:val="en-US"/>
        </w:rPr>
        <w:t>Zilhão J, Angelucci DE, Igreja MA, Arnold LJ, Badal E, Callapez P, Cardoso JL, d’Errico F, Daura J, Demuro M, Deschamps M, Dupont C, Gabriel S, Hoffmann DL, Legoinha P, Matias H, Monge Soares AM, Nabais M, Portela P, Queffelec A, Rodrigues F, Souto P (2020) Last Interglacial Iberian Neandertals as fisher-hunter-gatherers. Science 367:eaaz7943. https://doi.org/10.1126/science.aaz7943</w:t>
      </w:r>
    </w:p>
    <w:p w14:paraId="41E37EBC" w14:textId="77777777" w:rsidR="0097507D" w:rsidRPr="00BE23FA" w:rsidRDefault="0097507D" w:rsidP="00BE23FA">
      <w:pPr>
        <w:pStyle w:val="Bibliography"/>
        <w:spacing w:line="360" w:lineRule="auto"/>
        <w:rPr>
          <w:rFonts w:ascii="Times New Roman" w:hAnsi="Times New Roman" w:cs="Times New Roman"/>
        </w:rPr>
      </w:pPr>
      <w:r w:rsidRPr="00BE23FA">
        <w:rPr>
          <w:rFonts w:ascii="Times New Roman" w:hAnsi="Times New Roman" w:cs="Times New Roman"/>
          <w:lang w:val="en-US"/>
        </w:rPr>
        <w:t xml:space="preserve">Zilhão J, Cardoso J, Pike </w:t>
      </w:r>
      <w:proofErr w:type="gramStart"/>
      <w:r w:rsidRPr="00BE23FA">
        <w:rPr>
          <w:rFonts w:ascii="Times New Roman" w:hAnsi="Times New Roman" w:cs="Times New Roman"/>
          <w:lang w:val="en-US"/>
        </w:rPr>
        <w:t>A</w:t>
      </w:r>
      <w:proofErr w:type="gramEnd"/>
      <w:r w:rsidRPr="00BE23FA">
        <w:rPr>
          <w:rFonts w:ascii="Times New Roman" w:hAnsi="Times New Roman" w:cs="Times New Roman"/>
          <w:lang w:val="en-US"/>
        </w:rPr>
        <w:t xml:space="preserve">, Weninger B (2011) Gruta Nova da Columbeira (Bombarral, Portugal): Site stratigraphy, age of the Mousterian sequence, and implications for the timing of Neanderthal extinction in Iberia. </w:t>
      </w:r>
      <w:r w:rsidRPr="00BE23FA">
        <w:rPr>
          <w:rFonts w:ascii="Times New Roman" w:hAnsi="Times New Roman" w:cs="Times New Roman"/>
        </w:rPr>
        <w:t>Quartär 58:93–112</w:t>
      </w:r>
    </w:p>
    <w:p w14:paraId="165225C7" w14:textId="4A70639B" w:rsidR="004106FC" w:rsidRPr="00BE23FA" w:rsidRDefault="004106FC" w:rsidP="00BE23FA">
      <w:pPr>
        <w:spacing w:line="360" w:lineRule="auto"/>
        <w:rPr>
          <w:rFonts w:ascii="Times New Roman" w:hAnsi="Times New Roman" w:cs="Times New Roman"/>
        </w:rPr>
      </w:pPr>
    </w:p>
    <w:sectPr w:rsidR="004106FC" w:rsidRPr="00BE23FA" w:rsidSect="00BE23F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65927"/>
    <w:multiLevelType w:val="multilevel"/>
    <w:tmpl w:val="E78096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4D4219"/>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DA7CBD"/>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ED34998"/>
    <w:multiLevelType w:val="multilevel"/>
    <w:tmpl w:val="491C2480"/>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5DC2310"/>
    <w:multiLevelType w:val="multilevel"/>
    <w:tmpl w:val="E78096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dirty"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A1B"/>
    <w:rsid w:val="0000538C"/>
    <w:rsid w:val="000262B8"/>
    <w:rsid w:val="000367E8"/>
    <w:rsid w:val="00037CA1"/>
    <w:rsid w:val="00041702"/>
    <w:rsid w:val="00050A55"/>
    <w:rsid w:val="000569C9"/>
    <w:rsid w:val="00072AFA"/>
    <w:rsid w:val="000F027E"/>
    <w:rsid w:val="000F5335"/>
    <w:rsid w:val="00102937"/>
    <w:rsid w:val="001032FF"/>
    <w:rsid w:val="0011120E"/>
    <w:rsid w:val="001176BB"/>
    <w:rsid w:val="00120714"/>
    <w:rsid w:val="0013577D"/>
    <w:rsid w:val="001423E0"/>
    <w:rsid w:val="00175B52"/>
    <w:rsid w:val="00175CFD"/>
    <w:rsid w:val="001C06B3"/>
    <w:rsid w:val="001C50DF"/>
    <w:rsid w:val="001F0DB6"/>
    <w:rsid w:val="001F3952"/>
    <w:rsid w:val="001F68E0"/>
    <w:rsid w:val="001F6F92"/>
    <w:rsid w:val="00207BA5"/>
    <w:rsid w:val="00212788"/>
    <w:rsid w:val="00215B95"/>
    <w:rsid w:val="00216251"/>
    <w:rsid w:val="0022748F"/>
    <w:rsid w:val="0023493A"/>
    <w:rsid w:val="002377FD"/>
    <w:rsid w:val="002473C9"/>
    <w:rsid w:val="00252600"/>
    <w:rsid w:val="0026255E"/>
    <w:rsid w:val="00265BA5"/>
    <w:rsid w:val="00270FE8"/>
    <w:rsid w:val="002A4FE3"/>
    <w:rsid w:val="002B2A24"/>
    <w:rsid w:val="002C6382"/>
    <w:rsid w:val="002C7B5E"/>
    <w:rsid w:val="002D4EFA"/>
    <w:rsid w:val="002D587E"/>
    <w:rsid w:val="00323F9A"/>
    <w:rsid w:val="003274E2"/>
    <w:rsid w:val="003360F6"/>
    <w:rsid w:val="00336ABF"/>
    <w:rsid w:val="00336BFF"/>
    <w:rsid w:val="00341B1F"/>
    <w:rsid w:val="00342C0D"/>
    <w:rsid w:val="0035081E"/>
    <w:rsid w:val="00365172"/>
    <w:rsid w:val="00366D1B"/>
    <w:rsid w:val="003750F9"/>
    <w:rsid w:val="00382E9C"/>
    <w:rsid w:val="00394B8C"/>
    <w:rsid w:val="003A719A"/>
    <w:rsid w:val="003E551D"/>
    <w:rsid w:val="003F38D1"/>
    <w:rsid w:val="00403FB2"/>
    <w:rsid w:val="004106FC"/>
    <w:rsid w:val="00414B2B"/>
    <w:rsid w:val="00417A20"/>
    <w:rsid w:val="0042658A"/>
    <w:rsid w:val="004326E1"/>
    <w:rsid w:val="004438FB"/>
    <w:rsid w:val="00450031"/>
    <w:rsid w:val="0045561F"/>
    <w:rsid w:val="00456F85"/>
    <w:rsid w:val="0047677A"/>
    <w:rsid w:val="00487650"/>
    <w:rsid w:val="00492D56"/>
    <w:rsid w:val="004A3EC3"/>
    <w:rsid w:val="004A5D40"/>
    <w:rsid w:val="004C7B64"/>
    <w:rsid w:val="004D7D2E"/>
    <w:rsid w:val="004F0DE2"/>
    <w:rsid w:val="0050756E"/>
    <w:rsid w:val="00526DFA"/>
    <w:rsid w:val="00534CAD"/>
    <w:rsid w:val="005474A7"/>
    <w:rsid w:val="005603F0"/>
    <w:rsid w:val="00561257"/>
    <w:rsid w:val="005713D4"/>
    <w:rsid w:val="00581038"/>
    <w:rsid w:val="0058462F"/>
    <w:rsid w:val="00593172"/>
    <w:rsid w:val="005C132D"/>
    <w:rsid w:val="005C5A74"/>
    <w:rsid w:val="005C7487"/>
    <w:rsid w:val="005D0BFE"/>
    <w:rsid w:val="005D0DDF"/>
    <w:rsid w:val="005D71A2"/>
    <w:rsid w:val="005E0AD5"/>
    <w:rsid w:val="00606CB3"/>
    <w:rsid w:val="00617BA9"/>
    <w:rsid w:val="0064731C"/>
    <w:rsid w:val="006524B6"/>
    <w:rsid w:val="00685D30"/>
    <w:rsid w:val="0069436C"/>
    <w:rsid w:val="0069505D"/>
    <w:rsid w:val="006974DF"/>
    <w:rsid w:val="00697E69"/>
    <w:rsid w:val="00697ED6"/>
    <w:rsid w:val="006A1A9A"/>
    <w:rsid w:val="006D0F70"/>
    <w:rsid w:val="006F786A"/>
    <w:rsid w:val="00704BAD"/>
    <w:rsid w:val="00705EC8"/>
    <w:rsid w:val="007218C0"/>
    <w:rsid w:val="007218FD"/>
    <w:rsid w:val="007747AC"/>
    <w:rsid w:val="00796E90"/>
    <w:rsid w:val="007A1EE1"/>
    <w:rsid w:val="007A4ABF"/>
    <w:rsid w:val="007D1754"/>
    <w:rsid w:val="007D6974"/>
    <w:rsid w:val="007E11CF"/>
    <w:rsid w:val="007F5FB5"/>
    <w:rsid w:val="008008A4"/>
    <w:rsid w:val="008067B4"/>
    <w:rsid w:val="008245A6"/>
    <w:rsid w:val="00832A80"/>
    <w:rsid w:val="00850BE2"/>
    <w:rsid w:val="00851E06"/>
    <w:rsid w:val="00863E01"/>
    <w:rsid w:val="008643B7"/>
    <w:rsid w:val="0086496C"/>
    <w:rsid w:val="00896BE7"/>
    <w:rsid w:val="00897582"/>
    <w:rsid w:val="008A7B18"/>
    <w:rsid w:val="008C1837"/>
    <w:rsid w:val="008C4C13"/>
    <w:rsid w:val="008D1231"/>
    <w:rsid w:val="008E18F3"/>
    <w:rsid w:val="008E2067"/>
    <w:rsid w:val="008E476B"/>
    <w:rsid w:val="008F5723"/>
    <w:rsid w:val="009144FB"/>
    <w:rsid w:val="009163AE"/>
    <w:rsid w:val="00921A1B"/>
    <w:rsid w:val="009240B7"/>
    <w:rsid w:val="00932FC3"/>
    <w:rsid w:val="009431CE"/>
    <w:rsid w:val="009537C6"/>
    <w:rsid w:val="00967B6D"/>
    <w:rsid w:val="0097507D"/>
    <w:rsid w:val="00995862"/>
    <w:rsid w:val="009979F3"/>
    <w:rsid w:val="009A2801"/>
    <w:rsid w:val="009B7D2B"/>
    <w:rsid w:val="009C0F03"/>
    <w:rsid w:val="009C4C24"/>
    <w:rsid w:val="009C556C"/>
    <w:rsid w:val="009D056B"/>
    <w:rsid w:val="009E097E"/>
    <w:rsid w:val="009F084C"/>
    <w:rsid w:val="009F270A"/>
    <w:rsid w:val="00A01B69"/>
    <w:rsid w:val="00A01E76"/>
    <w:rsid w:val="00A112EE"/>
    <w:rsid w:val="00A14672"/>
    <w:rsid w:val="00A3529D"/>
    <w:rsid w:val="00A35F0C"/>
    <w:rsid w:val="00A67CED"/>
    <w:rsid w:val="00A701E7"/>
    <w:rsid w:val="00A76BBE"/>
    <w:rsid w:val="00A922CB"/>
    <w:rsid w:val="00A9273B"/>
    <w:rsid w:val="00A9713A"/>
    <w:rsid w:val="00A9727A"/>
    <w:rsid w:val="00AA2DD8"/>
    <w:rsid w:val="00AB40A0"/>
    <w:rsid w:val="00AB7C0E"/>
    <w:rsid w:val="00AC13FF"/>
    <w:rsid w:val="00AC1454"/>
    <w:rsid w:val="00AD3D75"/>
    <w:rsid w:val="00AF7497"/>
    <w:rsid w:val="00AF7E29"/>
    <w:rsid w:val="00B41F4D"/>
    <w:rsid w:val="00B6586C"/>
    <w:rsid w:val="00B817F2"/>
    <w:rsid w:val="00B958B4"/>
    <w:rsid w:val="00BA73D9"/>
    <w:rsid w:val="00BB3C1F"/>
    <w:rsid w:val="00BB7D6B"/>
    <w:rsid w:val="00BC0206"/>
    <w:rsid w:val="00BD244A"/>
    <w:rsid w:val="00BD634C"/>
    <w:rsid w:val="00BE23FA"/>
    <w:rsid w:val="00BE3F9C"/>
    <w:rsid w:val="00BE7389"/>
    <w:rsid w:val="00BF3199"/>
    <w:rsid w:val="00BF7753"/>
    <w:rsid w:val="00BF7F5C"/>
    <w:rsid w:val="00C04C60"/>
    <w:rsid w:val="00C0591D"/>
    <w:rsid w:val="00C073BA"/>
    <w:rsid w:val="00C101DB"/>
    <w:rsid w:val="00C1730F"/>
    <w:rsid w:val="00C20A11"/>
    <w:rsid w:val="00C36C0D"/>
    <w:rsid w:val="00C4100F"/>
    <w:rsid w:val="00C55FE4"/>
    <w:rsid w:val="00C638D0"/>
    <w:rsid w:val="00C7174F"/>
    <w:rsid w:val="00C723CF"/>
    <w:rsid w:val="00C72695"/>
    <w:rsid w:val="00C9221C"/>
    <w:rsid w:val="00CB47E5"/>
    <w:rsid w:val="00CB5CBA"/>
    <w:rsid w:val="00CD208E"/>
    <w:rsid w:val="00CD36E1"/>
    <w:rsid w:val="00CF0088"/>
    <w:rsid w:val="00D048BE"/>
    <w:rsid w:val="00D32EC9"/>
    <w:rsid w:val="00D41E0D"/>
    <w:rsid w:val="00D54F1D"/>
    <w:rsid w:val="00D650DC"/>
    <w:rsid w:val="00D67242"/>
    <w:rsid w:val="00D75D48"/>
    <w:rsid w:val="00D825A4"/>
    <w:rsid w:val="00DA0674"/>
    <w:rsid w:val="00DA1998"/>
    <w:rsid w:val="00DA7603"/>
    <w:rsid w:val="00DB0D85"/>
    <w:rsid w:val="00DB5E63"/>
    <w:rsid w:val="00DC171B"/>
    <w:rsid w:val="00DC300E"/>
    <w:rsid w:val="00DE189D"/>
    <w:rsid w:val="00DF2874"/>
    <w:rsid w:val="00DF3FB5"/>
    <w:rsid w:val="00E115FC"/>
    <w:rsid w:val="00E13D92"/>
    <w:rsid w:val="00E17D7E"/>
    <w:rsid w:val="00E236FF"/>
    <w:rsid w:val="00E276E8"/>
    <w:rsid w:val="00E44315"/>
    <w:rsid w:val="00E62076"/>
    <w:rsid w:val="00E620FC"/>
    <w:rsid w:val="00E82909"/>
    <w:rsid w:val="00E8729F"/>
    <w:rsid w:val="00E90FCF"/>
    <w:rsid w:val="00EA0D68"/>
    <w:rsid w:val="00EA4BB3"/>
    <w:rsid w:val="00ED2D4A"/>
    <w:rsid w:val="00ED6172"/>
    <w:rsid w:val="00F064A6"/>
    <w:rsid w:val="00F118EE"/>
    <w:rsid w:val="00F15E1D"/>
    <w:rsid w:val="00F23A41"/>
    <w:rsid w:val="00F30A34"/>
    <w:rsid w:val="00F54E88"/>
    <w:rsid w:val="00F56CA7"/>
    <w:rsid w:val="00F56FBB"/>
    <w:rsid w:val="00F77F8B"/>
    <w:rsid w:val="00F818B4"/>
    <w:rsid w:val="00FA4DA1"/>
    <w:rsid w:val="00FA63FC"/>
    <w:rsid w:val="00FA7374"/>
    <w:rsid w:val="00FB6FBE"/>
    <w:rsid w:val="00FB7E9E"/>
    <w:rsid w:val="00FF716E"/>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CAF9B4"/>
  <w15:docId w15:val="{E3A3F39D-13E5-4B5A-BEC4-B95DCD7DC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A1B"/>
    <w:pPr>
      <w:ind w:left="720"/>
      <w:contextualSpacing/>
    </w:pPr>
  </w:style>
  <w:style w:type="character" w:styleId="CommentReference">
    <w:name w:val="annotation reference"/>
    <w:basedOn w:val="DefaultParagraphFont"/>
    <w:uiPriority w:val="99"/>
    <w:semiHidden/>
    <w:unhideWhenUsed/>
    <w:rsid w:val="00921A1B"/>
    <w:rPr>
      <w:sz w:val="16"/>
      <w:szCs w:val="16"/>
    </w:rPr>
  </w:style>
  <w:style w:type="paragraph" w:styleId="CommentText">
    <w:name w:val="annotation text"/>
    <w:basedOn w:val="Normal"/>
    <w:link w:val="CommentTextChar"/>
    <w:uiPriority w:val="99"/>
    <w:unhideWhenUsed/>
    <w:rsid w:val="00921A1B"/>
    <w:pPr>
      <w:spacing w:after="160"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921A1B"/>
    <w:rPr>
      <w:kern w:val="2"/>
      <w:sz w:val="20"/>
      <w:szCs w:val="20"/>
      <w14:ligatures w14:val="standardContextual"/>
    </w:rPr>
  </w:style>
  <w:style w:type="paragraph" w:styleId="BalloonText">
    <w:name w:val="Balloon Text"/>
    <w:basedOn w:val="Normal"/>
    <w:link w:val="BalloonTextChar"/>
    <w:uiPriority w:val="99"/>
    <w:semiHidden/>
    <w:unhideWhenUsed/>
    <w:rsid w:val="00921A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A1B"/>
    <w:rPr>
      <w:rFonts w:ascii="Tahoma" w:hAnsi="Tahoma" w:cs="Tahoma"/>
      <w:sz w:val="16"/>
      <w:szCs w:val="16"/>
    </w:rPr>
  </w:style>
  <w:style w:type="table" w:styleId="TableGrid">
    <w:name w:val="Table Grid"/>
    <w:basedOn w:val="TableNormal"/>
    <w:uiPriority w:val="39"/>
    <w:rsid w:val="00921A1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21A1B"/>
    <w:pPr>
      <w:spacing w:line="240" w:lineRule="auto"/>
    </w:pPr>
    <w:rPr>
      <w:i/>
      <w:iCs/>
      <w:color w:val="1F497D" w:themeColor="text2"/>
      <w:kern w:val="2"/>
      <w:sz w:val="18"/>
      <w:szCs w:val="18"/>
      <w14:ligatures w14:val="standardContextual"/>
    </w:rPr>
  </w:style>
  <w:style w:type="paragraph" w:styleId="Bibliography">
    <w:name w:val="Bibliography"/>
    <w:basedOn w:val="Normal"/>
    <w:next w:val="Normal"/>
    <w:uiPriority w:val="37"/>
    <w:unhideWhenUsed/>
    <w:rsid w:val="00C7174F"/>
    <w:pPr>
      <w:spacing w:after="240" w:line="240" w:lineRule="auto"/>
      <w:ind w:left="720" w:hanging="720"/>
    </w:pPr>
  </w:style>
  <w:style w:type="paragraph" w:styleId="CommentSubject">
    <w:name w:val="annotation subject"/>
    <w:basedOn w:val="CommentText"/>
    <w:next w:val="CommentText"/>
    <w:link w:val="CommentSubjectChar"/>
    <w:uiPriority w:val="99"/>
    <w:semiHidden/>
    <w:unhideWhenUsed/>
    <w:rsid w:val="00796E90"/>
    <w:pPr>
      <w:spacing w:after="200"/>
    </w:pPr>
    <w:rPr>
      <w:b/>
      <w:bCs/>
      <w:kern w:val="0"/>
      <w14:ligatures w14:val="none"/>
    </w:rPr>
  </w:style>
  <w:style w:type="character" w:customStyle="1" w:styleId="CommentSubjectChar">
    <w:name w:val="Comment Subject Char"/>
    <w:basedOn w:val="CommentTextChar"/>
    <w:link w:val="CommentSubject"/>
    <w:uiPriority w:val="99"/>
    <w:semiHidden/>
    <w:rsid w:val="00796E90"/>
    <w:rPr>
      <w:b/>
      <w:bCs/>
      <w:kern w:val="2"/>
      <w:sz w:val="20"/>
      <w:szCs w:val="20"/>
      <w14:ligatures w14:val="standardContextual"/>
    </w:rPr>
  </w:style>
  <w:style w:type="paragraph" w:styleId="Revision">
    <w:name w:val="Revision"/>
    <w:hidden/>
    <w:uiPriority w:val="99"/>
    <w:semiHidden/>
    <w:rsid w:val="00C04C60"/>
    <w:pPr>
      <w:spacing w:after="0" w:line="240" w:lineRule="auto"/>
    </w:pPr>
  </w:style>
  <w:style w:type="character" w:styleId="Hyperlink">
    <w:name w:val="Hyperlink"/>
    <w:basedOn w:val="DefaultParagraphFont"/>
    <w:uiPriority w:val="99"/>
    <w:unhideWhenUsed/>
    <w:rsid w:val="00120714"/>
    <w:rPr>
      <w:color w:val="0000FF" w:themeColor="hyperlink"/>
      <w:u w:val="single"/>
    </w:rPr>
  </w:style>
  <w:style w:type="character" w:customStyle="1" w:styleId="UnresolvedMention">
    <w:name w:val="Unresolved Mention"/>
    <w:basedOn w:val="DefaultParagraphFont"/>
    <w:uiPriority w:val="99"/>
    <w:semiHidden/>
    <w:unhideWhenUsed/>
    <w:rsid w:val="00120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218237">
      <w:bodyDiv w:val="1"/>
      <w:marLeft w:val="0"/>
      <w:marRight w:val="0"/>
      <w:marTop w:val="0"/>
      <w:marBottom w:val="0"/>
      <w:divBdr>
        <w:top w:val="none" w:sz="0" w:space="0" w:color="auto"/>
        <w:left w:val="none" w:sz="0" w:space="0" w:color="auto"/>
        <w:bottom w:val="none" w:sz="0" w:space="0" w:color="auto"/>
        <w:right w:val="none" w:sz="0" w:space="0" w:color="auto"/>
      </w:divBdr>
    </w:div>
    <w:div w:id="351103844">
      <w:bodyDiv w:val="1"/>
      <w:marLeft w:val="0"/>
      <w:marRight w:val="0"/>
      <w:marTop w:val="0"/>
      <w:marBottom w:val="0"/>
      <w:divBdr>
        <w:top w:val="none" w:sz="0" w:space="0" w:color="auto"/>
        <w:left w:val="none" w:sz="0" w:space="0" w:color="auto"/>
        <w:bottom w:val="none" w:sz="0" w:space="0" w:color="auto"/>
        <w:right w:val="none" w:sz="0" w:space="0" w:color="auto"/>
      </w:divBdr>
    </w:div>
    <w:div w:id="541527278">
      <w:bodyDiv w:val="1"/>
      <w:marLeft w:val="0"/>
      <w:marRight w:val="0"/>
      <w:marTop w:val="0"/>
      <w:marBottom w:val="0"/>
      <w:divBdr>
        <w:top w:val="none" w:sz="0" w:space="0" w:color="auto"/>
        <w:left w:val="none" w:sz="0" w:space="0" w:color="auto"/>
        <w:bottom w:val="none" w:sz="0" w:space="0" w:color="auto"/>
        <w:right w:val="none" w:sz="0" w:space="0" w:color="auto"/>
      </w:divBdr>
    </w:div>
    <w:div w:id="569314801">
      <w:bodyDiv w:val="1"/>
      <w:marLeft w:val="0"/>
      <w:marRight w:val="0"/>
      <w:marTop w:val="0"/>
      <w:marBottom w:val="0"/>
      <w:divBdr>
        <w:top w:val="none" w:sz="0" w:space="0" w:color="auto"/>
        <w:left w:val="none" w:sz="0" w:space="0" w:color="auto"/>
        <w:bottom w:val="none" w:sz="0" w:space="0" w:color="auto"/>
        <w:right w:val="none" w:sz="0" w:space="0" w:color="auto"/>
      </w:divBdr>
    </w:div>
    <w:div w:id="660503193">
      <w:bodyDiv w:val="1"/>
      <w:marLeft w:val="0"/>
      <w:marRight w:val="0"/>
      <w:marTop w:val="0"/>
      <w:marBottom w:val="0"/>
      <w:divBdr>
        <w:top w:val="none" w:sz="0" w:space="0" w:color="auto"/>
        <w:left w:val="none" w:sz="0" w:space="0" w:color="auto"/>
        <w:bottom w:val="none" w:sz="0" w:space="0" w:color="auto"/>
        <w:right w:val="none" w:sz="0" w:space="0" w:color="auto"/>
      </w:divBdr>
    </w:div>
    <w:div w:id="835919241">
      <w:bodyDiv w:val="1"/>
      <w:marLeft w:val="0"/>
      <w:marRight w:val="0"/>
      <w:marTop w:val="0"/>
      <w:marBottom w:val="0"/>
      <w:divBdr>
        <w:top w:val="none" w:sz="0" w:space="0" w:color="auto"/>
        <w:left w:val="none" w:sz="0" w:space="0" w:color="auto"/>
        <w:bottom w:val="none" w:sz="0" w:space="0" w:color="auto"/>
        <w:right w:val="none" w:sz="0" w:space="0" w:color="auto"/>
      </w:divBdr>
    </w:div>
    <w:div w:id="1275746349">
      <w:bodyDiv w:val="1"/>
      <w:marLeft w:val="0"/>
      <w:marRight w:val="0"/>
      <w:marTop w:val="0"/>
      <w:marBottom w:val="0"/>
      <w:divBdr>
        <w:top w:val="none" w:sz="0" w:space="0" w:color="auto"/>
        <w:left w:val="none" w:sz="0" w:space="0" w:color="auto"/>
        <w:bottom w:val="none" w:sz="0" w:space="0" w:color="auto"/>
        <w:right w:val="none" w:sz="0" w:space="0" w:color="auto"/>
      </w:divBdr>
    </w:div>
    <w:div w:id="1353723947">
      <w:bodyDiv w:val="1"/>
      <w:marLeft w:val="0"/>
      <w:marRight w:val="0"/>
      <w:marTop w:val="0"/>
      <w:marBottom w:val="0"/>
      <w:divBdr>
        <w:top w:val="none" w:sz="0" w:space="0" w:color="auto"/>
        <w:left w:val="none" w:sz="0" w:space="0" w:color="auto"/>
        <w:bottom w:val="none" w:sz="0" w:space="0" w:color="auto"/>
        <w:right w:val="none" w:sz="0" w:space="0" w:color="auto"/>
      </w:divBdr>
    </w:div>
    <w:div w:id="1387953094">
      <w:bodyDiv w:val="1"/>
      <w:marLeft w:val="0"/>
      <w:marRight w:val="0"/>
      <w:marTop w:val="0"/>
      <w:marBottom w:val="0"/>
      <w:divBdr>
        <w:top w:val="none" w:sz="0" w:space="0" w:color="auto"/>
        <w:left w:val="none" w:sz="0" w:space="0" w:color="auto"/>
        <w:bottom w:val="none" w:sz="0" w:space="0" w:color="auto"/>
        <w:right w:val="none" w:sz="0" w:space="0" w:color="auto"/>
      </w:divBdr>
    </w:div>
    <w:div w:id="1427075463">
      <w:bodyDiv w:val="1"/>
      <w:marLeft w:val="0"/>
      <w:marRight w:val="0"/>
      <w:marTop w:val="0"/>
      <w:marBottom w:val="0"/>
      <w:divBdr>
        <w:top w:val="none" w:sz="0" w:space="0" w:color="auto"/>
        <w:left w:val="none" w:sz="0" w:space="0" w:color="auto"/>
        <w:bottom w:val="none" w:sz="0" w:space="0" w:color="auto"/>
        <w:right w:val="none" w:sz="0" w:space="0" w:color="auto"/>
      </w:divBdr>
    </w:div>
    <w:div w:id="1613855366">
      <w:bodyDiv w:val="1"/>
      <w:marLeft w:val="0"/>
      <w:marRight w:val="0"/>
      <w:marTop w:val="0"/>
      <w:marBottom w:val="0"/>
      <w:divBdr>
        <w:top w:val="none" w:sz="0" w:space="0" w:color="auto"/>
        <w:left w:val="none" w:sz="0" w:space="0" w:color="auto"/>
        <w:bottom w:val="none" w:sz="0" w:space="0" w:color="auto"/>
        <w:right w:val="none" w:sz="0" w:space="0" w:color="auto"/>
      </w:divBdr>
    </w:div>
    <w:div w:id="1673951292">
      <w:bodyDiv w:val="1"/>
      <w:marLeft w:val="0"/>
      <w:marRight w:val="0"/>
      <w:marTop w:val="0"/>
      <w:marBottom w:val="0"/>
      <w:divBdr>
        <w:top w:val="none" w:sz="0" w:space="0" w:color="auto"/>
        <w:left w:val="none" w:sz="0" w:space="0" w:color="auto"/>
        <w:bottom w:val="none" w:sz="0" w:space="0" w:color="auto"/>
        <w:right w:val="none" w:sz="0" w:space="0" w:color="auto"/>
      </w:divBdr>
    </w:div>
    <w:div w:id="1716853585">
      <w:bodyDiv w:val="1"/>
      <w:marLeft w:val="0"/>
      <w:marRight w:val="0"/>
      <w:marTop w:val="0"/>
      <w:marBottom w:val="0"/>
      <w:divBdr>
        <w:top w:val="none" w:sz="0" w:space="0" w:color="auto"/>
        <w:left w:val="none" w:sz="0" w:space="0" w:color="auto"/>
        <w:bottom w:val="none" w:sz="0" w:space="0" w:color="auto"/>
        <w:right w:val="none" w:sz="0" w:space="0" w:color="auto"/>
      </w:divBdr>
    </w:div>
    <w:div w:id="1780679324">
      <w:bodyDiv w:val="1"/>
      <w:marLeft w:val="0"/>
      <w:marRight w:val="0"/>
      <w:marTop w:val="0"/>
      <w:marBottom w:val="0"/>
      <w:divBdr>
        <w:top w:val="none" w:sz="0" w:space="0" w:color="auto"/>
        <w:left w:val="none" w:sz="0" w:space="0" w:color="auto"/>
        <w:bottom w:val="none" w:sz="0" w:space="0" w:color="auto"/>
        <w:right w:val="none" w:sz="0" w:space="0" w:color="auto"/>
      </w:divBdr>
    </w:div>
    <w:div w:id="1800949785">
      <w:bodyDiv w:val="1"/>
      <w:marLeft w:val="0"/>
      <w:marRight w:val="0"/>
      <w:marTop w:val="0"/>
      <w:marBottom w:val="0"/>
      <w:divBdr>
        <w:top w:val="none" w:sz="0" w:space="0" w:color="auto"/>
        <w:left w:val="none" w:sz="0" w:space="0" w:color="auto"/>
        <w:bottom w:val="none" w:sz="0" w:space="0" w:color="auto"/>
        <w:right w:val="none" w:sz="0" w:space="0" w:color="auto"/>
      </w:divBdr>
    </w:div>
    <w:div w:id="1848135570">
      <w:bodyDiv w:val="1"/>
      <w:marLeft w:val="0"/>
      <w:marRight w:val="0"/>
      <w:marTop w:val="0"/>
      <w:marBottom w:val="0"/>
      <w:divBdr>
        <w:top w:val="none" w:sz="0" w:space="0" w:color="auto"/>
        <w:left w:val="none" w:sz="0" w:space="0" w:color="auto"/>
        <w:bottom w:val="none" w:sz="0" w:space="0" w:color="auto"/>
        <w:right w:val="none" w:sz="0" w:space="0" w:color="auto"/>
      </w:divBdr>
    </w:div>
    <w:div w:id="1903909792">
      <w:bodyDiv w:val="1"/>
      <w:marLeft w:val="0"/>
      <w:marRight w:val="0"/>
      <w:marTop w:val="0"/>
      <w:marBottom w:val="0"/>
      <w:divBdr>
        <w:top w:val="none" w:sz="0" w:space="0" w:color="auto"/>
        <w:left w:val="none" w:sz="0" w:space="0" w:color="auto"/>
        <w:bottom w:val="none" w:sz="0" w:space="0" w:color="auto"/>
        <w:right w:val="none" w:sz="0" w:space="0" w:color="auto"/>
      </w:divBdr>
    </w:div>
    <w:div w:id="204959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4000/quaternaire.7527" TargetMode="External"/><Relationship Id="rId18" Type="http://schemas.openxmlformats.org/officeDocument/2006/relationships/hyperlink" Target="https://doi.org/10.1016/j.quascirev.2019.05.025" TargetMode="External"/><Relationship Id="rId26" Type="http://schemas.openxmlformats.org/officeDocument/2006/relationships/hyperlink" Target="https://doi.org/10.1016/j.crpv.2015.12.003" TargetMode="External"/><Relationship Id="rId3" Type="http://schemas.openxmlformats.org/officeDocument/2006/relationships/styles" Target="styles.xml"/><Relationship Id="rId21" Type="http://schemas.openxmlformats.org/officeDocument/2006/relationships/hyperlink" Target="https://doi.org/10.1016/j.quaint.2021.09.003" TargetMode="External"/><Relationship Id="rId7" Type="http://schemas.openxmlformats.org/officeDocument/2006/relationships/image" Target="media/image2.png"/><Relationship Id="rId12" Type="http://schemas.openxmlformats.org/officeDocument/2006/relationships/hyperlink" Target="https://doi.org/10.1002/gea.21851" TargetMode="External"/><Relationship Id="rId17" Type="http://schemas.openxmlformats.org/officeDocument/2006/relationships/hyperlink" Target="https://doi.org/10.1126/science.aac6284" TargetMode="External"/><Relationship Id="rId25" Type="http://schemas.openxmlformats.org/officeDocument/2006/relationships/hyperlink" Target="https://doi.org/10.2478/if-2017-0010"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16/j.quascirev.2023.108379" TargetMode="External"/><Relationship Id="rId20" Type="http://schemas.openxmlformats.org/officeDocument/2006/relationships/hyperlink" Target="https://doi.org/10.1002/jqs.3473" TargetMode="External"/><Relationship Id="rId29" Type="http://schemas.openxmlformats.org/officeDocument/2006/relationships/hyperlink" Target="https://doi.org/10.1002/oa.760"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oi.org/10.1016/j.quaint.2018.02.020" TargetMode="External"/><Relationship Id="rId24" Type="http://schemas.openxmlformats.org/officeDocument/2006/relationships/hyperlink" Target="https://doi.org/10.1007/s12520-017-0469-6"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06/jhev.2000.0443" TargetMode="External"/><Relationship Id="rId23" Type="http://schemas.openxmlformats.org/officeDocument/2006/relationships/hyperlink" Target="https://doi.org/10.1016/j.palaeo.2013.11.011" TargetMode="External"/><Relationship Id="rId28" Type="http://schemas.openxmlformats.org/officeDocument/2006/relationships/hyperlink" Target="https://doi.org/10.1016/j.crpv.2017.06.005" TargetMode="External"/><Relationship Id="rId10" Type="http://schemas.openxmlformats.org/officeDocument/2006/relationships/hyperlink" Target="https://doi.org/10.1016/j.anthro.2009.04.004" TargetMode="External"/><Relationship Id="rId19" Type="http://schemas.openxmlformats.org/officeDocument/2006/relationships/hyperlink" Target="https://doi.org/10.1016/j.quascirev.2020.106472" TargetMode="External"/><Relationship Id="rId31" Type="http://schemas.openxmlformats.org/officeDocument/2006/relationships/hyperlink" Target="http://dx.doi.org/10.1016/j.jasrep.2016.08.003" TargetMode="External"/><Relationship Id="rId4" Type="http://schemas.openxmlformats.org/officeDocument/2006/relationships/settings" Target="settings.xml"/><Relationship Id="rId9" Type="http://schemas.openxmlformats.org/officeDocument/2006/relationships/hyperlink" Target="https://doi.org/10.1016/j.revpalbo.2018.09.007" TargetMode="External"/><Relationship Id="rId14" Type="http://schemas.openxmlformats.org/officeDocument/2006/relationships/hyperlink" Target="https://doi.org/10.1016/j.jasrep.2015.07.005" TargetMode="External"/><Relationship Id="rId22" Type="http://schemas.openxmlformats.org/officeDocument/2006/relationships/hyperlink" Target="https://doi.org/10.1016/j.quaint.2020.08.038" TargetMode="External"/><Relationship Id="rId27" Type="http://schemas.openxmlformats.org/officeDocument/2006/relationships/hyperlink" Target="https://doi.org/10.1016/j.crpv.2016.05.002" TargetMode="External"/><Relationship Id="rId30" Type="http://schemas.openxmlformats.org/officeDocument/2006/relationships/hyperlink" Target="https://doi.org/10.1371/journal.pone.0226690" TargetMode="External"/><Relationship Id="rId8" Type="http://schemas.openxmlformats.org/officeDocument/2006/relationships/hyperlink" Target="https://doi.org/10.1002/jqs.266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DD2C7-7827-44EB-9BE8-7C690EFFD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21</Pages>
  <Words>5841</Words>
  <Characters>36179</Characters>
  <Application>Microsoft Office Word</Application>
  <DocSecurity>0</DocSecurity>
  <Lines>301</Lines>
  <Paragraphs>83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41937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Ramya R</cp:lastModifiedBy>
  <cp:revision>8</cp:revision>
  <dcterms:created xsi:type="dcterms:W3CDTF">2026-03-31T12:22:00Z</dcterms:created>
  <dcterms:modified xsi:type="dcterms:W3CDTF">2026-04-06T05:29:00Z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zotero-version="7.0.27"&gt;&lt;session id="beqLdL43"/&gt;&lt;style id="http://www.zotero.org/styles/springer-basic-author-date-no-et-al" hasBibliography="1" bibliographyStyleHasBeenSet="1"/&gt;&lt;prefs&gt;&lt;pref name="fieldType" value="Field"/&gt;&lt;/prefs&gt;&lt;</vt:lpwstr>
  </property>
  <property fmtid="{D5CDD505-2E9C-101B-9397-08002B2CF9AE}" pid="3" name="ZOTERO_PREF_2">
    <vt:lpwstr>/data&gt;</vt:lpwstr>
  </property>
  <property fmtid="{D5CDD505-2E9C-101B-9397-08002B2CF9AE}" pid="4" name="GrammarlyDocumentId">
    <vt:lpwstr>35229a12db183a42d2260aa0a7f4d1a597642bbb50651293c4facd3153bba803</vt:lpwstr>
  </property>
</Properties>
</file>