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67FD2" w14:textId="30F11E84" w:rsidR="00277392" w:rsidRPr="008A5B49" w:rsidRDefault="00277392" w:rsidP="00277392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Supplementary t</w:t>
      </w:r>
      <w:r w:rsidRPr="008A5B49">
        <w:rPr>
          <w:rFonts w:ascii="Times New Roman" w:eastAsia="Times New Roman" w:hAnsi="Times New Roman" w:cs="Times New Roman"/>
          <w:b/>
        </w:rPr>
        <w:t xml:space="preserve">able 1: </w:t>
      </w:r>
      <w:r w:rsidRPr="00FB5A64">
        <w:rPr>
          <w:rFonts w:ascii="Times New Roman" w:eastAsia="Times New Roman" w:hAnsi="Times New Roman" w:cs="Times New Roman"/>
          <w:bCs/>
        </w:rPr>
        <w:t xml:space="preserve">Peptide </w:t>
      </w:r>
      <w:r>
        <w:rPr>
          <w:rFonts w:ascii="Times New Roman" w:eastAsia="Times New Roman" w:hAnsi="Times New Roman" w:cs="Times New Roman"/>
          <w:bCs/>
        </w:rPr>
        <w:t>seq</w:t>
      </w:r>
      <w:r w:rsidRPr="00FB5A64">
        <w:rPr>
          <w:rFonts w:ascii="Times New Roman" w:eastAsia="Times New Roman" w:hAnsi="Times New Roman" w:cs="Times New Roman"/>
          <w:bCs/>
        </w:rPr>
        <w:t xml:space="preserve">uences </w:t>
      </w:r>
      <w:r>
        <w:rPr>
          <w:rFonts w:ascii="Times New Roman" w:eastAsia="Times New Roman" w:hAnsi="Times New Roman" w:cs="Times New Roman"/>
          <w:bCs/>
        </w:rPr>
        <w:t>s</w:t>
      </w:r>
      <w:r w:rsidRPr="00FB5A64">
        <w:rPr>
          <w:rFonts w:ascii="Times New Roman" w:eastAsia="Times New Roman" w:hAnsi="Times New Roman" w:cs="Times New Roman"/>
          <w:bCs/>
        </w:rPr>
        <w:t>olubilization</w:t>
      </w:r>
      <w:r>
        <w:rPr>
          <w:rFonts w:ascii="Times New Roman" w:eastAsia="Times New Roman" w:hAnsi="Times New Roman" w:cs="Times New Roman"/>
          <w:bCs/>
        </w:rPr>
        <w:t>.</w:t>
      </w:r>
    </w:p>
    <w:tbl>
      <w:tblPr>
        <w:tblStyle w:val="TabelaSimples4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4085"/>
      </w:tblGrid>
      <w:tr w:rsidR="00277392" w14:paraId="175F7370" w14:textId="77777777" w:rsidTr="00056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54626B16" w14:textId="77777777" w:rsidR="00277392" w:rsidRDefault="00277392" w:rsidP="00CB71D6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</w:rPr>
              <w:t>Peptide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B315FD" w14:textId="77777777" w:rsidR="00277392" w:rsidRDefault="00277392" w:rsidP="00CB71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</w:rPr>
              <w:t>Solvent</w:t>
            </w:r>
          </w:p>
        </w:tc>
      </w:tr>
      <w:tr w:rsidR="00277392" w14:paraId="626D9B17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</w:tcPr>
          <w:p w14:paraId="43DC5213" w14:textId="77777777" w:rsidR="00277392" w:rsidRPr="00FB5A64" w:rsidRDefault="00277392" w:rsidP="00CB71D6">
            <w:pPr>
              <w:jc w:val="center"/>
              <w:rPr>
                <w:rFonts w:ascii="Times New Roman" w:eastAsia="Times New Roman" w:hAnsi="Times New Roman" w:cs="Times New Roman"/>
                <w:bCs w:val="0"/>
              </w:rPr>
            </w:pPr>
            <w:r w:rsidRPr="00FB5A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6457A31" w14:textId="77777777" w:rsidR="00277392" w:rsidRPr="00FB5A64" w:rsidRDefault="00277392" w:rsidP="00CB71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</w:rPr>
            </w:pPr>
            <w:r w:rsidRPr="00FB5A64">
              <w:rPr>
                <w:rFonts w:ascii="Times New Roman" w:eastAsia="Times New Roman" w:hAnsi="Times New Roman" w:cs="Times New Roman"/>
                <w:bCs/>
              </w:rPr>
              <w:t>Ultrapure Water</w:t>
            </w:r>
          </w:p>
        </w:tc>
      </w:tr>
      <w:tr w:rsidR="00277392" w14:paraId="09A2FD46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1E3B3C6" w14:textId="77777777" w:rsidR="00277392" w:rsidRPr="00FB5A64" w:rsidRDefault="00277392" w:rsidP="00CB71D6">
            <w:pPr>
              <w:jc w:val="center"/>
              <w:rPr>
                <w:rFonts w:ascii="Times New Roman" w:eastAsia="Times New Roman" w:hAnsi="Times New Roman" w:cs="Times New Roman"/>
                <w:bCs w:val="0"/>
              </w:rPr>
            </w:pPr>
            <w:r w:rsidRPr="00FB5A6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774746B" w14:textId="77777777" w:rsidR="00277392" w:rsidRPr="00FB5A64" w:rsidRDefault="00277392" w:rsidP="00CB71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</w:rPr>
            </w:pPr>
            <w:r w:rsidRPr="00FB5A64">
              <w:rPr>
                <w:rFonts w:ascii="Times New Roman" w:eastAsia="Times New Roman" w:hAnsi="Times New Roman" w:cs="Times New Roman"/>
                <w:bCs/>
              </w:rPr>
              <w:t>Acetonitrile and Water 50:50% (v/v)</w:t>
            </w:r>
          </w:p>
        </w:tc>
      </w:tr>
      <w:tr w:rsidR="00277392" w14:paraId="540D139B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DB1615" w14:textId="77777777" w:rsidR="00277392" w:rsidRPr="00FB5A64" w:rsidRDefault="00277392" w:rsidP="00CB71D6">
            <w:pPr>
              <w:jc w:val="center"/>
              <w:rPr>
                <w:rFonts w:ascii="Times New Roman" w:eastAsia="Times New Roman" w:hAnsi="Times New Roman" w:cs="Times New Roman"/>
                <w:bCs w:val="0"/>
              </w:rPr>
            </w:pPr>
            <w:r w:rsidRPr="00FB5A6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BEB118D" w14:textId="77777777" w:rsidR="00277392" w:rsidRPr="00FB5A64" w:rsidRDefault="00277392" w:rsidP="00CB71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</w:rPr>
            </w:pPr>
            <w:r w:rsidRPr="00FB5A64">
              <w:rPr>
                <w:rFonts w:ascii="Times New Roman" w:eastAsia="Times New Roman" w:hAnsi="Times New Roman" w:cs="Times New Roman"/>
                <w:bCs/>
              </w:rPr>
              <w:t>Acetonitrile and Water 83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  <w:r w:rsidRPr="00FB5A64">
              <w:rPr>
                <w:rFonts w:ascii="Times New Roman" w:eastAsia="Times New Roman" w:hAnsi="Times New Roman" w:cs="Times New Roman"/>
                <w:bCs/>
              </w:rPr>
              <w:t>3:16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  <w:r w:rsidRPr="00FB5A64">
              <w:rPr>
                <w:rFonts w:ascii="Times New Roman" w:eastAsia="Times New Roman" w:hAnsi="Times New Roman" w:cs="Times New Roman"/>
                <w:bCs/>
              </w:rPr>
              <w:t>7% (v/v)</w:t>
            </w:r>
          </w:p>
        </w:tc>
      </w:tr>
      <w:tr w:rsidR="00277392" w14:paraId="0289FC90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B602CB" w14:textId="77777777" w:rsidR="00277392" w:rsidRPr="00FB5A64" w:rsidRDefault="00277392" w:rsidP="00CB71D6">
            <w:pPr>
              <w:jc w:val="center"/>
              <w:rPr>
                <w:rFonts w:ascii="Times New Roman" w:eastAsia="Times New Roman" w:hAnsi="Times New Roman" w:cs="Times New Roman"/>
                <w:bCs w:val="0"/>
              </w:rPr>
            </w:pPr>
            <w:r w:rsidRPr="00FB5A6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2595E54A" w14:textId="77777777" w:rsidR="00277392" w:rsidRPr="00FB5A64" w:rsidRDefault="00277392" w:rsidP="00CB71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</w:rPr>
            </w:pPr>
            <w:r w:rsidRPr="00FB5A64">
              <w:rPr>
                <w:rFonts w:ascii="Times New Roman" w:eastAsia="Times New Roman" w:hAnsi="Times New Roman" w:cs="Times New Roman"/>
                <w:bCs/>
              </w:rPr>
              <w:t>Acetonitrile and Water 90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  <w:r w:rsidRPr="00FB5A64">
              <w:rPr>
                <w:rFonts w:ascii="Times New Roman" w:eastAsia="Times New Roman" w:hAnsi="Times New Roman" w:cs="Times New Roman"/>
                <w:bCs/>
              </w:rPr>
              <w:t>9:9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  <w:r w:rsidRPr="00FB5A64">
              <w:rPr>
                <w:rFonts w:ascii="Times New Roman" w:eastAsia="Times New Roman" w:hAnsi="Times New Roman" w:cs="Times New Roman"/>
                <w:bCs/>
              </w:rPr>
              <w:t>09% (v/v)</w:t>
            </w:r>
          </w:p>
        </w:tc>
      </w:tr>
    </w:tbl>
    <w:p w14:paraId="3AB800E1" w14:textId="77777777" w:rsidR="00277392" w:rsidRDefault="00277392" w:rsidP="00E77297">
      <w:pPr>
        <w:jc w:val="both"/>
        <w:rPr>
          <w:rFonts w:ascii="Times New Roman" w:hAnsi="Times New Roman" w:cs="Times New Roman"/>
          <w:b/>
          <w:bCs/>
        </w:rPr>
      </w:pPr>
    </w:p>
    <w:p w14:paraId="7B7C6C31" w14:textId="37A07732" w:rsidR="008A6321" w:rsidRDefault="00E77297" w:rsidP="00E77297">
      <w:pPr>
        <w:jc w:val="both"/>
        <w:rPr>
          <w:rFonts w:ascii="Times New Roman" w:hAnsi="Times New Roman" w:cs="Times New Roman"/>
        </w:rPr>
      </w:pPr>
      <w:r w:rsidRPr="00E77297">
        <w:rPr>
          <w:rFonts w:ascii="Times New Roman" w:hAnsi="Times New Roman" w:cs="Times New Roman"/>
          <w:b/>
          <w:bCs/>
        </w:rPr>
        <w:t xml:space="preserve">Supplementary table </w:t>
      </w:r>
      <w:r w:rsidR="00775FB7">
        <w:rPr>
          <w:rFonts w:ascii="Times New Roman" w:hAnsi="Times New Roman" w:cs="Times New Roman"/>
          <w:b/>
          <w:bCs/>
        </w:rPr>
        <w:t>2</w:t>
      </w:r>
      <w:r w:rsidRPr="00E77297">
        <w:rPr>
          <w:rFonts w:ascii="Times New Roman" w:hAnsi="Times New Roman" w:cs="Times New Roman"/>
          <w:b/>
          <w:bCs/>
        </w:rPr>
        <w:t>:</w:t>
      </w:r>
      <w:r w:rsidRPr="00E77297">
        <w:rPr>
          <w:rFonts w:ascii="Times New Roman" w:hAnsi="Times New Roman" w:cs="Times New Roman"/>
        </w:rPr>
        <w:t xml:space="preserve"> Proteins </w:t>
      </w:r>
      <w:r>
        <w:rPr>
          <w:rFonts w:ascii="Times New Roman" w:hAnsi="Times New Roman" w:cs="Times New Roman"/>
        </w:rPr>
        <w:t>o</w:t>
      </w:r>
      <w:r w:rsidRPr="00E77297">
        <w:rPr>
          <w:rFonts w:ascii="Times New Roman" w:hAnsi="Times New Roman" w:cs="Times New Roman"/>
        </w:rPr>
        <w:t xml:space="preserve">verexpressed in the MCF-7 </w:t>
      </w:r>
      <w:r>
        <w:rPr>
          <w:rFonts w:ascii="Times New Roman" w:hAnsi="Times New Roman" w:cs="Times New Roman"/>
        </w:rPr>
        <w:t>c</w:t>
      </w:r>
      <w:r w:rsidRPr="00E77297">
        <w:rPr>
          <w:rFonts w:ascii="Times New Roman" w:hAnsi="Times New Roman" w:cs="Times New Roman"/>
        </w:rPr>
        <w:t xml:space="preserve">ell </w:t>
      </w:r>
      <w:r>
        <w:rPr>
          <w:rFonts w:ascii="Times New Roman" w:hAnsi="Times New Roman" w:cs="Times New Roman"/>
        </w:rPr>
        <w:t>l</w:t>
      </w:r>
      <w:r w:rsidRPr="00E77297">
        <w:rPr>
          <w:rFonts w:ascii="Times New Roman" w:hAnsi="Times New Roman" w:cs="Times New Roman"/>
        </w:rPr>
        <w:t xml:space="preserve">ine </w:t>
      </w:r>
      <w:r>
        <w:rPr>
          <w:rFonts w:ascii="Times New Roman" w:hAnsi="Times New Roman" w:cs="Times New Roman"/>
        </w:rPr>
        <w:t>a</w:t>
      </w:r>
      <w:r w:rsidRPr="00E77297">
        <w:rPr>
          <w:rFonts w:ascii="Times New Roman" w:hAnsi="Times New Roman" w:cs="Times New Roman"/>
        </w:rPr>
        <w:t xml:space="preserve">long with </w:t>
      </w:r>
      <w:r>
        <w:rPr>
          <w:rFonts w:ascii="Times New Roman" w:hAnsi="Times New Roman" w:cs="Times New Roman"/>
        </w:rPr>
        <w:t>t</w:t>
      </w:r>
      <w:r w:rsidRPr="00E77297">
        <w:rPr>
          <w:rFonts w:ascii="Times New Roman" w:hAnsi="Times New Roman" w:cs="Times New Roman"/>
        </w:rPr>
        <w:t xml:space="preserve">heir </w:t>
      </w:r>
      <w:r>
        <w:rPr>
          <w:rFonts w:ascii="Times New Roman" w:hAnsi="Times New Roman" w:cs="Times New Roman"/>
        </w:rPr>
        <w:t>a</w:t>
      </w:r>
      <w:r w:rsidRPr="00E77297">
        <w:rPr>
          <w:rFonts w:ascii="Times New Roman" w:hAnsi="Times New Roman" w:cs="Times New Roman"/>
        </w:rPr>
        <w:t xml:space="preserve">ssociated </w:t>
      </w:r>
      <w:r>
        <w:rPr>
          <w:rFonts w:ascii="Times New Roman" w:hAnsi="Times New Roman" w:cs="Times New Roman"/>
        </w:rPr>
        <w:t>b</w:t>
      </w:r>
      <w:r w:rsidRPr="00E77297">
        <w:rPr>
          <w:rFonts w:ascii="Times New Roman" w:hAnsi="Times New Roman" w:cs="Times New Roman"/>
        </w:rPr>
        <w:t xml:space="preserve">iological </w:t>
      </w:r>
      <w:r>
        <w:rPr>
          <w:rFonts w:ascii="Times New Roman" w:hAnsi="Times New Roman" w:cs="Times New Roman"/>
        </w:rPr>
        <w:t>f</w:t>
      </w:r>
      <w:r w:rsidRPr="00E77297">
        <w:rPr>
          <w:rFonts w:ascii="Times New Roman" w:hAnsi="Times New Roman" w:cs="Times New Roman"/>
        </w:rPr>
        <w:t>unctions</w:t>
      </w:r>
      <w:r>
        <w:rPr>
          <w:rFonts w:ascii="Times New Roman" w:hAnsi="Times New Roman" w:cs="Times New Roman"/>
        </w:rPr>
        <w:t>.</w:t>
      </w:r>
    </w:p>
    <w:tbl>
      <w:tblPr>
        <w:tblStyle w:val="TabelaSimples4"/>
        <w:tblW w:w="1375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197"/>
        <w:gridCol w:w="5014"/>
      </w:tblGrid>
      <w:tr w:rsidR="00934B36" w14:paraId="1F98C7C8" w14:textId="77777777" w:rsidTr="00056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bottom w:val="single" w:sz="4" w:space="0" w:color="auto"/>
            </w:tcBorders>
            <w:vAlign w:val="center"/>
          </w:tcPr>
          <w:p w14:paraId="31E58914" w14:textId="64C4EBCD" w:rsidR="008951BB" w:rsidRPr="00934B36" w:rsidRDefault="00934B36" w:rsidP="0077327B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bookmarkStart w:id="0" w:name="_Hlk198643277"/>
            <w:r>
              <w:rPr>
                <w:rFonts w:ascii="Times New Roman" w:hAnsi="Times New Roman" w:cs="Times New Roman"/>
              </w:rPr>
              <w:t>References</w:t>
            </w:r>
          </w:p>
        </w:tc>
        <w:tc>
          <w:tcPr>
            <w:tcW w:w="5197" w:type="dxa"/>
            <w:tcBorders>
              <w:bottom w:val="single" w:sz="4" w:space="0" w:color="auto"/>
            </w:tcBorders>
            <w:vAlign w:val="center"/>
          </w:tcPr>
          <w:p w14:paraId="4DC8A479" w14:textId="2EA610FB" w:rsidR="008951BB" w:rsidRPr="00934B36" w:rsidRDefault="00934B36" w:rsidP="007732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 xml:space="preserve">Selected </w:t>
            </w:r>
            <w:r w:rsidR="00827747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embrane </w:t>
            </w:r>
            <w:r w:rsidR="00827747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rotein</w:t>
            </w:r>
          </w:p>
        </w:tc>
        <w:tc>
          <w:tcPr>
            <w:tcW w:w="5014" w:type="dxa"/>
            <w:tcBorders>
              <w:bottom w:val="single" w:sz="4" w:space="0" w:color="auto"/>
            </w:tcBorders>
            <w:vAlign w:val="center"/>
          </w:tcPr>
          <w:p w14:paraId="255A987D" w14:textId="68DB73FD" w:rsidR="008951BB" w:rsidRPr="00934B36" w:rsidRDefault="00934B36" w:rsidP="007732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 xml:space="preserve">Biological </w:t>
            </w:r>
            <w:r w:rsidR="00827747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 xml:space="preserve">rocess </w:t>
            </w:r>
            <w:r w:rsidR="00827747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>elated</w:t>
            </w:r>
          </w:p>
        </w:tc>
      </w:tr>
      <w:bookmarkEnd w:id="0"/>
      <w:tr w:rsidR="00934B36" w14:paraId="4ACB3603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</w:tcBorders>
            <w:vAlign w:val="center"/>
          </w:tcPr>
          <w:p w14:paraId="43350B5D" w14:textId="7B83C916" w:rsidR="008951BB" w:rsidRDefault="00981CF9" w:rsidP="0077327B">
            <w:pPr>
              <w:jc w:val="center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PLAZA-MENACHO et al., 2010</w:t>
            </w:r>
          </w:p>
        </w:tc>
        <w:tc>
          <w:tcPr>
            <w:tcW w:w="5197" w:type="dxa"/>
            <w:tcBorders>
              <w:top w:val="single" w:sz="4" w:space="0" w:color="auto"/>
            </w:tcBorders>
            <w:vAlign w:val="center"/>
          </w:tcPr>
          <w:p w14:paraId="6501C21A" w14:textId="5940CED9" w:rsidR="008951BB" w:rsidRDefault="00981CF9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RET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Proto-oncogene tyrosine-protein kinase receptor Ret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tcBorders>
              <w:top w:val="single" w:sz="4" w:space="0" w:color="auto"/>
            </w:tcBorders>
            <w:vAlign w:val="center"/>
          </w:tcPr>
          <w:p w14:paraId="0F805F0D" w14:textId="35609E1C" w:rsidR="008951BB" w:rsidRDefault="00981CF9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Positive regulation of cell migration</w:t>
            </w:r>
          </w:p>
        </w:tc>
      </w:tr>
      <w:tr w:rsidR="00934B36" w14:paraId="63145282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70E3E515" w14:textId="6F5219F3" w:rsidR="008951BB" w:rsidRDefault="00981CF9" w:rsidP="0077327B">
            <w:pPr>
              <w:jc w:val="center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YANG et al., 2010</w:t>
            </w:r>
          </w:p>
        </w:tc>
        <w:tc>
          <w:tcPr>
            <w:tcW w:w="5197" w:type="dxa"/>
            <w:vAlign w:val="center"/>
          </w:tcPr>
          <w:p w14:paraId="71D84838" w14:textId="66DE3AF7" w:rsidR="008951BB" w:rsidRDefault="00981CF9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ERBB2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Receptor tyrosine-protein kinase erbB-2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11577446" w14:textId="1F13728F" w:rsidR="008951BB" w:rsidRDefault="00981CF9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Regulation of cell motility and angiogenesis</w:t>
            </w:r>
          </w:p>
        </w:tc>
      </w:tr>
      <w:tr w:rsidR="00934B36" w14:paraId="2EFC0C4C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1DAE1E18" w14:textId="7547B860" w:rsidR="008951BB" w:rsidRDefault="00981CF9" w:rsidP="0077327B">
            <w:pPr>
              <w:jc w:val="center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YU et al., 2010</w:t>
            </w:r>
          </w:p>
        </w:tc>
        <w:tc>
          <w:tcPr>
            <w:tcW w:w="5197" w:type="dxa"/>
            <w:vAlign w:val="center"/>
          </w:tcPr>
          <w:p w14:paraId="3BC54288" w14:textId="52EBFB7B" w:rsidR="008951BB" w:rsidRDefault="00981CF9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>CASP8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Caspase-8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19961DA5" w14:textId="199A94AB" w:rsidR="008951BB" w:rsidRDefault="00981CF9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Apoptosis and activation of B cells</w:t>
            </w:r>
          </w:p>
        </w:tc>
      </w:tr>
      <w:tr w:rsidR="00934B36" w14:paraId="768330CC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167092C8" w14:textId="751DD116" w:rsidR="008951BB" w:rsidRDefault="00981CF9" w:rsidP="0077327B">
            <w:pPr>
              <w:jc w:val="center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ENGLERT; SPINK; SPINK, 2011</w:t>
            </w:r>
          </w:p>
        </w:tc>
        <w:tc>
          <w:tcPr>
            <w:tcW w:w="5197" w:type="dxa"/>
            <w:vAlign w:val="center"/>
          </w:tcPr>
          <w:p w14:paraId="77BBCDF5" w14:textId="7B4F0C34" w:rsidR="008951BB" w:rsidRDefault="00981CF9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PDZK1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Na(+)/</w:t>
            </w:r>
            <w:proofErr w:type="gramStart"/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H(</w:t>
            </w:r>
            <w:proofErr w:type="gramEnd"/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+) exchange regulatory cofactor NHE-RF3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7AD91EE5" w14:textId="4AFC4910" w:rsidR="008951BB" w:rsidRDefault="00981CF9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Regulation of transmembrane cation and anion transport</w:t>
            </w:r>
          </w:p>
        </w:tc>
      </w:tr>
      <w:tr w:rsidR="00934B36" w14:paraId="6E26DCC6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21F3FAD2" w14:textId="20896DD0" w:rsidR="008951BB" w:rsidRDefault="00981CF9" w:rsidP="0077327B">
            <w:pPr>
              <w:jc w:val="center"/>
              <w:rPr>
                <w:rFonts w:ascii="Times New Roman" w:hAnsi="Times New Roman" w:cs="Times New Roman"/>
              </w:rPr>
            </w:pPr>
            <w:r w:rsidRPr="00CD4FD0">
              <w:rPr>
                <w:rFonts w:ascii="Times New Roman" w:eastAsia="Times New Roman" w:hAnsi="Times New Roman" w:cs="Times New Roman"/>
                <w:color w:val="212121"/>
              </w:rPr>
              <w:t>CASTORIA et al., 2012</w:t>
            </w:r>
          </w:p>
        </w:tc>
        <w:tc>
          <w:tcPr>
            <w:tcW w:w="5197" w:type="dxa"/>
            <w:vAlign w:val="center"/>
          </w:tcPr>
          <w:p w14:paraId="27EA15BE" w14:textId="105E117A" w:rsidR="008951BB" w:rsidRDefault="00981CF9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>SRC 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Proto-oncogene tyrosine-protein kinase </w:t>
            </w:r>
            <w:proofErr w:type="spellStart"/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Src</w:t>
            </w:r>
            <w:proofErr w:type="spellEnd"/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5A50F07D" w14:textId="0C6BC803" w:rsidR="008951BB" w:rsidRDefault="00981CF9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Cell adhesion and cell differentiation</w:t>
            </w:r>
          </w:p>
        </w:tc>
      </w:tr>
      <w:tr w:rsidR="00981CF9" w14:paraId="721E7469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07A53111" w14:textId="2FA48877" w:rsidR="00981CF9" w:rsidRPr="003E2B35" w:rsidRDefault="00981CF9" w:rsidP="0077327B">
            <w:pPr>
              <w:jc w:val="center"/>
              <w:rPr>
                <w:rFonts w:ascii="Times New Roman" w:eastAsia="Times New Roman" w:hAnsi="Times New Roman" w:cs="Times New Roman"/>
                <w:color w:val="212121"/>
                <w:highlight w:val="white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ROY; MOSES, 2012</w:t>
            </w:r>
          </w:p>
        </w:tc>
        <w:tc>
          <w:tcPr>
            <w:tcW w:w="5197" w:type="dxa"/>
            <w:vAlign w:val="center"/>
          </w:tcPr>
          <w:p w14:paraId="67580216" w14:textId="09F476D3" w:rsidR="00981CF9" w:rsidRPr="003E2B35" w:rsidRDefault="00981CF9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>ADAM- 12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Disintegrin</w:t>
            </w:r>
            <w:proofErr w:type="spellEnd"/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and metalloproteinase domain-containing protein 12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3654E693" w14:textId="236B550A" w:rsidR="00981CF9" w:rsidRPr="003E2B35" w:rsidRDefault="00981CF9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Cell adhesion</w:t>
            </w:r>
          </w:p>
        </w:tc>
      </w:tr>
      <w:tr w:rsidR="00981CF9" w14:paraId="2B634E18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184F88AB" w14:textId="2B0F187B" w:rsidR="00981CF9" w:rsidRPr="003E2B35" w:rsidRDefault="00981CF9" w:rsidP="0077327B">
            <w:pPr>
              <w:jc w:val="center"/>
              <w:rPr>
                <w:rFonts w:ascii="Times New Roman" w:eastAsia="Times New Roman" w:hAnsi="Times New Roman" w:cs="Times New Roman"/>
                <w:color w:val="212121"/>
                <w:highlight w:val="white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SIOUD; MOBERGSLIEN, 2012</w:t>
            </w:r>
          </w:p>
        </w:tc>
        <w:tc>
          <w:tcPr>
            <w:tcW w:w="5197" w:type="dxa"/>
            <w:vAlign w:val="center"/>
          </w:tcPr>
          <w:p w14:paraId="3E3AD227" w14:textId="1077464B" w:rsidR="00981CF9" w:rsidRPr="003E2B35" w:rsidRDefault="00981CF9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ANXA5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Annexin A5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719CE753" w14:textId="3F59DADB" w:rsidR="00981CF9" w:rsidRPr="003E2B35" w:rsidRDefault="00981CF9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Negative regulation of apoptosis</w:t>
            </w:r>
          </w:p>
        </w:tc>
      </w:tr>
      <w:tr w:rsidR="00981CF9" w14:paraId="54AD6BE2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18773929" w14:textId="6384DF19" w:rsidR="00981CF9" w:rsidRPr="003E2B35" w:rsidRDefault="00981CF9" w:rsidP="0077327B">
            <w:pPr>
              <w:jc w:val="center"/>
              <w:rPr>
                <w:rFonts w:ascii="Times New Roman" w:eastAsia="Times New Roman" w:hAnsi="Times New Roman" w:cs="Times New Roman"/>
                <w:color w:val="212121"/>
                <w:highlight w:val="white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ZHOU; LIU; CHEN, 2012</w:t>
            </w:r>
          </w:p>
        </w:tc>
        <w:tc>
          <w:tcPr>
            <w:tcW w:w="5197" w:type="dxa"/>
            <w:vAlign w:val="center"/>
          </w:tcPr>
          <w:p w14:paraId="30D8A87F" w14:textId="47C0E229" w:rsidR="00981CF9" w:rsidRPr="003E2B35" w:rsidRDefault="00981CF9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>WWP1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NEDD4-like E3 ubiquitin-protein ligase WWP1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02C4D85F" w14:textId="5BE38F1F" w:rsidR="00981CF9" w:rsidRPr="003E2B35" w:rsidRDefault="00981CF9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Ion transmembrane transport; negative regulation of transcription</w:t>
            </w:r>
          </w:p>
        </w:tc>
      </w:tr>
      <w:tr w:rsidR="00020C82" w14:paraId="64922470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vAlign w:val="center"/>
          </w:tcPr>
          <w:p w14:paraId="53F9BADE" w14:textId="0AF19045" w:rsidR="00020C82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  <w:color w:val="212121"/>
                <w:highlight w:val="white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ATMACA et al., 2013</w:t>
            </w:r>
          </w:p>
        </w:tc>
        <w:tc>
          <w:tcPr>
            <w:tcW w:w="5197" w:type="dxa"/>
            <w:vAlign w:val="center"/>
          </w:tcPr>
          <w:p w14:paraId="2E82CB9D" w14:textId="1837D670" w:rsidR="00020C82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>Trail-r1/DR4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Tumor necrosis factor receptor superfamily member 10A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6ACA0E44" w14:textId="17D4EF33" w:rsidR="00020C82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Apoptosis</w:t>
            </w:r>
          </w:p>
        </w:tc>
      </w:tr>
      <w:tr w:rsidR="00020C82" w14:paraId="74BB9E1C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vAlign w:val="center"/>
          </w:tcPr>
          <w:p w14:paraId="4190DC92" w14:textId="77777777" w:rsidR="00020C82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  <w:color w:val="212121"/>
                <w:highlight w:val="white"/>
              </w:rPr>
            </w:pPr>
          </w:p>
        </w:tc>
        <w:tc>
          <w:tcPr>
            <w:tcW w:w="5197" w:type="dxa"/>
            <w:vAlign w:val="center"/>
          </w:tcPr>
          <w:p w14:paraId="6D6A9831" w14:textId="334F9E3D" w:rsidR="00020C82" w:rsidRPr="003E2B35" w:rsidRDefault="00020C82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FAS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Tumor necrosis factor receptor superfamily member 6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2D5D70C2" w14:textId="5EE934AB" w:rsidR="00020C82" w:rsidRPr="003E2B35" w:rsidRDefault="00020C82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Apoptosis</w:t>
            </w:r>
          </w:p>
        </w:tc>
      </w:tr>
      <w:tr w:rsidR="00020C82" w14:paraId="12E9A2DB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vAlign w:val="center"/>
          </w:tcPr>
          <w:p w14:paraId="1EB93943" w14:textId="77777777" w:rsidR="00020C82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  <w:color w:val="212121"/>
                <w:highlight w:val="white"/>
              </w:rPr>
            </w:pPr>
          </w:p>
        </w:tc>
        <w:tc>
          <w:tcPr>
            <w:tcW w:w="5197" w:type="dxa"/>
            <w:vAlign w:val="center"/>
          </w:tcPr>
          <w:p w14:paraId="42D67BCF" w14:textId="72134305" w:rsidR="00020C82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TNF-R1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Tumor necrosis factor receptor superfamily member 1A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39587E14" w14:textId="3396665A" w:rsidR="00020C82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Apoptosis</w:t>
            </w:r>
          </w:p>
        </w:tc>
      </w:tr>
      <w:tr w:rsidR="00020C82" w14:paraId="0F5BF62F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vAlign w:val="center"/>
          </w:tcPr>
          <w:p w14:paraId="545D2157" w14:textId="77777777" w:rsidR="00020C82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  <w:color w:val="212121"/>
                <w:highlight w:val="white"/>
              </w:rPr>
            </w:pPr>
          </w:p>
        </w:tc>
        <w:tc>
          <w:tcPr>
            <w:tcW w:w="5197" w:type="dxa"/>
            <w:vAlign w:val="center"/>
          </w:tcPr>
          <w:p w14:paraId="13D4E611" w14:textId="0882F01B" w:rsidR="00020C82" w:rsidRPr="003E2B35" w:rsidRDefault="00020C82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FADD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FAS-associated death domain protein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698ADD62" w14:textId="1573F2DC" w:rsidR="00020C82" w:rsidRPr="003E2B35" w:rsidRDefault="00020C82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Apoptosis</w:t>
            </w:r>
          </w:p>
        </w:tc>
      </w:tr>
      <w:tr w:rsidR="00981CF9" w14:paraId="201E83FF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1447DEF7" w14:textId="4C32D7F7" w:rsidR="00981CF9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  <w:color w:val="212121"/>
                <w:highlight w:val="white"/>
              </w:rPr>
            </w:pPr>
            <w:r w:rsidRPr="0024412C">
              <w:rPr>
                <w:rFonts w:ascii="Times New Roman" w:eastAsia="Times New Roman" w:hAnsi="Times New Roman" w:cs="Times New Roman"/>
                <w:color w:val="212121"/>
              </w:rPr>
              <w:t>CASIMIRO et al., 2013</w:t>
            </w:r>
          </w:p>
        </w:tc>
        <w:tc>
          <w:tcPr>
            <w:tcW w:w="5197" w:type="dxa"/>
            <w:vAlign w:val="center"/>
          </w:tcPr>
          <w:p w14:paraId="24416DFE" w14:textId="16C8D388" w:rsidR="00981CF9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>EPHB3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Ephrin type-B receptor 3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7D256EF4" w14:textId="0920FA60" w:rsidR="00981CF9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Angiogenesis</w:t>
            </w:r>
          </w:p>
        </w:tc>
      </w:tr>
      <w:tr w:rsidR="00981CF9" w14:paraId="42CEFA34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2FEDA539" w14:textId="18B5B4F0" w:rsidR="00981CF9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  <w:color w:val="212121"/>
                <w:highlight w:val="white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lastRenderedPageBreak/>
              <w:t>FEI; YU; GEAHLEN, 2013</w:t>
            </w:r>
          </w:p>
        </w:tc>
        <w:tc>
          <w:tcPr>
            <w:tcW w:w="5197" w:type="dxa"/>
            <w:vAlign w:val="center"/>
          </w:tcPr>
          <w:p w14:paraId="4AE853E6" w14:textId="354A7A44" w:rsidR="00981CF9" w:rsidRPr="003E2B35" w:rsidRDefault="00020C82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SYK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Tyrosine-protein kinase SYK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4DE77060" w14:textId="5DAFDB0D" w:rsidR="00981CF9" w:rsidRPr="003E2B35" w:rsidRDefault="00020C82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Angiogenesis; adaptive immune response</w:t>
            </w:r>
          </w:p>
        </w:tc>
      </w:tr>
      <w:tr w:rsidR="00981CF9" w14:paraId="217BA7A7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2FF89F85" w14:textId="41D41280" w:rsidR="00981CF9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  <w:color w:val="212121"/>
                <w:highlight w:val="white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TAO et al., 2013</w:t>
            </w:r>
          </w:p>
        </w:tc>
        <w:tc>
          <w:tcPr>
            <w:tcW w:w="5197" w:type="dxa"/>
            <w:vAlign w:val="center"/>
          </w:tcPr>
          <w:p w14:paraId="700C8994" w14:textId="08E3CC64" w:rsidR="00981CF9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>MDR1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ATP-dependent translocase ABCB1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2C06F1EC" w14:textId="5340EC60" w:rsidR="00981CF9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Transmembrane transport; ceramide translocation</w:t>
            </w:r>
          </w:p>
        </w:tc>
      </w:tr>
      <w:tr w:rsidR="00981CF9" w14:paraId="719DEE25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67D23346" w14:textId="77341863" w:rsidR="00981CF9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  <w:color w:val="212121"/>
                <w:highlight w:val="white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ZHA et al., 2015</w:t>
            </w:r>
          </w:p>
        </w:tc>
        <w:tc>
          <w:tcPr>
            <w:tcW w:w="5197" w:type="dxa"/>
            <w:vAlign w:val="center"/>
          </w:tcPr>
          <w:p w14:paraId="06060336" w14:textId="31B1299B" w:rsidR="00981CF9" w:rsidRPr="003E2B35" w:rsidRDefault="00020C82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LAMP2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Lysosome-associated membrane glycoprotein 2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2FB5EEFB" w14:textId="01824BF7" w:rsidR="00981CF9" w:rsidRPr="003E2B35" w:rsidRDefault="00020C82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Autophagosome maturation</w:t>
            </w:r>
          </w:p>
        </w:tc>
      </w:tr>
      <w:tr w:rsidR="00020C82" w14:paraId="63F06F9E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00D8C4AB" w14:textId="3C8BC6F3" w:rsidR="00020C82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DE CAROLIS et al., 2016</w:t>
            </w:r>
          </w:p>
        </w:tc>
        <w:tc>
          <w:tcPr>
            <w:tcW w:w="5197" w:type="dxa"/>
            <w:vAlign w:val="center"/>
          </w:tcPr>
          <w:p w14:paraId="16FD7504" w14:textId="600CE6FF" w:rsidR="00020C82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CA9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Carbonic anhydrase 9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147EEA55" w14:textId="2B363F90" w:rsidR="00020C82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Lyase activity; metal binding</w:t>
            </w:r>
          </w:p>
        </w:tc>
      </w:tr>
      <w:tr w:rsidR="00B23107" w14:paraId="45112E81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vAlign w:val="center"/>
          </w:tcPr>
          <w:p w14:paraId="4D725E14" w14:textId="3EB6B0F5" w:rsidR="00B23107" w:rsidRPr="003E2B35" w:rsidRDefault="00B23107" w:rsidP="0077327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KOPP et al., 2016</w:t>
            </w:r>
          </w:p>
        </w:tc>
        <w:tc>
          <w:tcPr>
            <w:tcW w:w="5197" w:type="dxa"/>
            <w:vAlign w:val="center"/>
          </w:tcPr>
          <w:p w14:paraId="378FF537" w14:textId="08D47324" w:rsidR="00B23107" w:rsidRPr="003E2B35" w:rsidRDefault="00B23107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>RDX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Radixin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28BF118E" w14:textId="1D6FA90B" w:rsidR="00B23107" w:rsidRPr="003E2B35" w:rsidRDefault="00B23107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Positive regulation of cell migration</w:t>
            </w:r>
          </w:p>
        </w:tc>
      </w:tr>
      <w:tr w:rsidR="00B23107" w14:paraId="13D88868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vAlign w:val="center"/>
          </w:tcPr>
          <w:p w14:paraId="2E7CCDA5" w14:textId="77777777" w:rsidR="00B23107" w:rsidRPr="003E2B35" w:rsidRDefault="00B23107" w:rsidP="0077327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97" w:type="dxa"/>
            <w:vAlign w:val="center"/>
          </w:tcPr>
          <w:p w14:paraId="04EA0597" w14:textId="0233CAF2" w:rsidR="00B23107" w:rsidRPr="003E2B35" w:rsidRDefault="00B23107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>VGFR2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Vascular endothelial growth factor receptor 2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20E532BF" w14:textId="49B8EE45" w:rsidR="00B23107" w:rsidRPr="003E2B35" w:rsidRDefault="00B23107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Cell migration</w:t>
            </w:r>
          </w:p>
        </w:tc>
      </w:tr>
      <w:tr w:rsidR="00B23107" w14:paraId="4AC97C10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vAlign w:val="center"/>
          </w:tcPr>
          <w:p w14:paraId="2D3398D2" w14:textId="77777777" w:rsidR="00B23107" w:rsidRPr="003E2B35" w:rsidRDefault="00B23107" w:rsidP="0077327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97" w:type="dxa"/>
            <w:vAlign w:val="center"/>
          </w:tcPr>
          <w:p w14:paraId="2F7A8316" w14:textId="55111F09" w:rsidR="00B23107" w:rsidRPr="003E2B35" w:rsidRDefault="00B23107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>PRKCA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Protein kinase C alpha type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0A03B1D2" w14:textId="7911062F" w:rsidR="00B23107" w:rsidRPr="003E2B35" w:rsidRDefault="00B23107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Cell migration and apoptosis</w:t>
            </w:r>
          </w:p>
        </w:tc>
      </w:tr>
      <w:tr w:rsidR="00B23107" w14:paraId="26BD97A0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vAlign w:val="center"/>
          </w:tcPr>
          <w:p w14:paraId="29BAE2DE" w14:textId="77777777" w:rsidR="00B23107" w:rsidRPr="003E2B35" w:rsidRDefault="00B23107" w:rsidP="0077327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97" w:type="dxa"/>
            <w:vAlign w:val="center"/>
          </w:tcPr>
          <w:p w14:paraId="019E2C6E" w14:textId="04FDE114" w:rsidR="00B23107" w:rsidRPr="003E2B35" w:rsidRDefault="00B23107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>ESR1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Estrogen receptor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2C1B19E8" w14:textId="298F1EAF" w:rsidR="00B23107" w:rsidRPr="003E2B35" w:rsidRDefault="00B23107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Regulation of apoptosis</w:t>
            </w:r>
          </w:p>
        </w:tc>
      </w:tr>
      <w:tr w:rsidR="00020C82" w14:paraId="4D06F599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2950EAED" w14:textId="12223287" w:rsidR="00020C82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WANG et al., 2016</w:t>
            </w:r>
          </w:p>
        </w:tc>
        <w:tc>
          <w:tcPr>
            <w:tcW w:w="5197" w:type="dxa"/>
            <w:vAlign w:val="center"/>
          </w:tcPr>
          <w:p w14:paraId="20514FFB" w14:textId="4EFB4782" w:rsidR="00020C82" w:rsidRPr="003E2B35" w:rsidRDefault="00020C82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AXL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Tyrosine-protein kinase receptor UFO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6A760767" w14:textId="436AF0DB" w:rsidR="00020C82" w:rsidRPr="003E2B35" w:rsidRDefault="00020C82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Cell migration</w:t>
            </w:r>
          </w:p>
        </w:tc>
      </w:tr>
      <w:tr w:rsidR="00020C82" w14:paraId="743F8B99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212485C9" w14:textId="74B211F9" w:rsidR="00020C82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BASOGLU; GONCU; AKBAS, 2018</w:t>
            </w:r>
          </w:p>
        </w:tc>
        <w:tc>
          <w:tcPr>
            <w:tcW w:w="5197" w:type="dxa"/>
            <w:vAlign w:val="center"/>
          </w:tcPr>
          <w:p w14:paraId="112D3B7A" w14:textId="7AC50196" w:rsidR="00020C82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CD95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Tumor necrosis factor ligand superfamily member 6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0F4F676D" w14:textId="17347C65" w:rsidR="00020C82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Apoptosis</w:t>
            </w:r>
          </w:p>
        </w:tc>
      </w:tr>
      <w:tr w:rsidR="00020C82" w14:paraId="5C58195D" w14:textId="77777777" w:rsidTr="00056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6A1D0FAE" w14:textId="1A94ABA0" w:rsidR="00020C82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JIANG et al., 2018</w:t>
            </w:r>
          </w:p>
        </w:tc>
        <w:tc>
          <w:tcPr>
            <w:tcW w:w="5197" w:type="dxa"/>
            <w:vAlign w:val="center"/>
          </w:tcPr>
          <w:p w14:paraId="77EF6764" w14:textId="590FABE1" w:rsidR="00020C82" w:rsidRPr="003E2B35" w:rsidRDefault="00020C82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SPRED1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spellStart"/>
            <w:r w:rsidRPr="003E2B35"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  <w:t>Sprouty</w:t>
            </w:r>
            <w:proofErr w:type="spellEnd"/>
            <w:r w:rsidRPr="003E2B35"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  <w:t xml:space="preserve"> Related EVH1 Domain Containing 1</w:t>
            </w:r>
            <w:r w:rsidRPr="003E2B3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)</w:t>
            </w:r>
          </w:p>
        </w:tc>
        <w:tc>
          <w:tcPr>
            <w:tcW w:w="5014" w:type="dxa"/>
            <w:vAlign w:val="center"/>
          </w:tcPr>
          <w:p w14:paraId="365E57B9" w14:textId="372DA05B" w:rsidR="00020C82" w:rsidRPr="003E2B35" w:rsidRDefault="00020C82" w:rsidP="007732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Negative regulation of angiogenesis and cell migration</w:t>
            </w:r>
          </w:p>
        </w:tc>
      </w:tr>
      <w:tr w:rsidR="00020C82" w14:paraId="16C1A382" w14:textId="77777777" w:rsidTr="0005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40F088A7" w14:textId="1A5D33A7" w:rsidR="00020C82" w:rsidRPr="003E2B35" w:rsidRDefault="00020C82" w:rsidP="0077327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GRAVETT; DALGLEISH; COPIER, 2019</w:t>
            </w:r>
          </w:p>
        </w:tc>
        <w:tc>
          <w:tcPr>
            <w:tcW w:w="5197" w:type="dxa"/>
            <w:vAlign w:val="center"/>
          </w:tcPr>
          <w:p w14:paraId="66B74402" w14:textId="0A591377" w:rsidR="00020C82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2B3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NKG2D 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3E2B35">
              <w:rPr>
                <w:rFonts w:ascii="Times New Roman" w:eastAsia="Times New Roman" w:hAnsi="Times New Roman" w:cs="Times New Roman"/>
                <w:i/>
                <w:color w:val="000000"/>
              </w:rPr>
              <w:t>NKG2-D type II integral membrane protein</w:t>
            </w:r>
            <w:r w:rsidRPr="003E2B3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014" w:type="dxa"/>
            <w:vAlign w:val="center"/>
          </w:tcPr>
          <w:p w14:paraId="1FB8FCA9" w14:textId="045741C8" w:rsidR="00020C82" w:rsidRPr="003E2B35" w:rsidRDefault="00020C82" w:rsidP="00773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E2B35">
              <w:rPr>
                <w:rFonts w:ascii="Times New Roman" w:eastAsia="Times New Roman" w:hAnsi="Times New Roman" w:cs="Times New Roman"/>
              </w:rPr>
              <w:t>Cell differentiation</w:t>
            </w:r>
          </w:p>
        </w:tc>
      </w:tr>
    </w:tbl>
    <w:p w14:paraId="4F6BAF8F" w14:textId="77777777" w:rsidR="008951BB" w:rsidRDefault="008951BB" w:rsidP="00E77297">
      <w:pPr>
        <w:jc w:val="both"/>
        <w:rPr>
          <w:rFonts w:ascii="Times New Roman" w:hAnsi="Times New Roman" w:cs="Times New Roman"/>
        </w:rPr>
      </w:pPr>
    </w:p>
    <w:p w14:paraId="1E9D5D1A" w14:textId="64FA57CA" w:rsidR="005A54ED" w:rsidRDefault="005A54ED" w:rsidP="005A54ED">
      <w:pPr>
        <w:jc w:val="both"/>
        <w:rPr>
          <w:rFonts w:ascii="Times New Roman" w:hAnsi="Times New Roman" w:cs="Times New Roman"/>
        </w:rPr>
      </w:pPr>
      <w:r w:rsidRPr="00E77297">
        <w:rPr>
          <w:rFonts w:ascii="Times New Roman" w:hAnsi="Times New Roman" w:cs="Times New Roman"/>
          <w:b/>
          <w:bCs/>
        </w:rPr>
        <w:t xml:space="preserve">Supplementary table </w:t>
      </w:r>
      <w:r w:rsidR="00775FB7">
        <w:rPr>
          <w:rFonts w:ascii="Times New Roman" w:hAnsi="Times New Roman" w:cs="Times New Roman"/>
          <w:b/>
          <w:bCs/>
        </w:rPr>
        <w:t>3</w:t>
      </w:r>
      <w:r w:rsidRPr="00E77297">
        <w:rPr>
          <w:rFonts w:ascii="Times New Roman" w:hAnsi="Times New Roman" w:cs="Times New Roman"/>
          <w:b/>
          <w:bCs/>
        </w:rPr>
        <w:t>:</w:t>
      </w:r>
      <w:r w:rsidRPr="00E77297">
        <w:rPr>
          <w:rFonts w:ascii="Times New Roman" w:hAnsi="Times New Roman" w:cs="Times New Roman"/>
        </w:rPr>
        <w:t xml:space="preserve"> Proteins </w:t>
      </w:r>
      <w:r>
        <w:rPr>
          <w:rFonts w:ascii="Times New Roman" w:hAnsi="Times New Roman" w:cs="Times New Roman"/>
        </w:rPr>
        <w:t>o</w:t>
      </w:r>
      <w:r w:rsidRPr="00E77297">
        <w:rPr>
          <w:rFonts w:ascii="Times New Roman" w:hAnsi="Times New Roman" w:cs="Times New Roman"/>
        </w:rPr>
        <w:t xml:space="preserve">verexpressed in the </w:t>
      </w:r>
      <w:r>
        <w:rPr>
          <w:rFonts w:ascii="Times New Roman" w:hAnsi="Times New Roman" w:cs="Times New Roman"/>
        </w:rPr>
        <w:t>MDA-MB-231</w:t>
      </w:r>
      <w:r w:rsidRPr="00E772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</w:t>
      </w:r>
      <w:r w:rsidRPr="00E77297">
        <w:rPr>
          <w:rFonts w:ascii="Times New Roman" w:hAnsi="Times New Roman" w:cs="Times New Roman"/>
        </w:rPr>
        <w:t xml:space="preserve">ell </w:t>
      </w:r>
      <w:r>
        <w:rPr>
          <w:rFonts w:ascii="Times New Roman" w:hAnsi="Times New Roman" w:cs="Times New Roman"/>
        </w:rPr>
        <w:t>l</w:t>
      </w:r>
      <w:r w:rsidRPr="00E77297">
        <w:rPr>
          <w:rFonts w:ascii="Times New Roman" w:hAnsi="Times New Roman" w:cs="Times New Roman"/>
        </w:rPr>
        <w:t xml:space="preserve">ine </w:t>
      </w:r>
      <w:r>
        <w:rPr>
          <w:rFonts w:ascii="Times New Roman" w:hAnsi="Times New Roman" w:cs="Times New Roman"/>
        </w:rPr>
        <w:t>a</w:t>
      </w:r>
      <w:r w:rsidRPr="00E77297">
        <w:rPr>
          <w:rFonts w:ascii="Times New Roman" w:hAnsi="Times New Roman" w:cs="Times New Roman"/>
        </w:rPr>
        <w:t xml:space="preserve">long with </w:t>
      </w:r>
      <w:r>
        <w:rPr>
          <w:rFonts w:ascii="Times New Roman" w:hAnsi="Times New Roman" w:cs="Times New Roman"/>
        </w:rPr>
        <w:t>t</w:t>
      </w:r>
      <w:r w:rsidRPr="00E77297">
        <w:rPr>
          <w:rFonts w:ascii="Times New Roman" w:hAnsi="Times New Roman" w:cs="Times New Roman"/>
        </w:rPr>
        <w:t xml:space="preserve">heir </w:t>
      </w:r>
      <w:r>
        <w:rPr>
          <w:rFonts w:ascii="Times New Roman" w:hAnsi="Times New Roman" w:cs="Times New Roman"/>
        </w:rPr>
        <w:t>a</w:t>
      </w:r>
      <w:r w:rsidRPr="00E77297">
        <w:rPr>
          <w:rFonts w:ascii="Times New Roman" w:hAnsi="Times New Roman" w:cs="Times New Roman"/>
        </w:rPr>
        <w:t xml:space="preserve">ssociated </w:t>
      </w:r>
      <w:r>
        <w:rPr>
          <w:rFonts w:ascii="Times New Roman" w:hAnsi="Times New Roman" w:cs="Times New Roman"/>
        </w:rPr>
        <w:t>b</w:t>
      </w:r>
      <w:r w:rsidRPr="00E77297">
        <w:rPr>
          <w:rFonts w:ascii="Times New Roman" w:hAnsi="Times New Roman" w:cs="Times New Roman"/>
        </w:rPr>
        <w:t xml:space="preserve">iological </w:t>
      </w:r>
      <w:r>
        <w:rPr>
          <w:rFonts w:ascii="Times New Roman" w:hAnsi="Times New Roman" w:cs="Times New Roman"/>
        </w:rPr>
        <w:t>f</w:t>
      </w:r>
      <w:r w:rsidRPr="00E77297">
        <w:rPr>
          <w:rFonts w:ascii="Times New Roman" w:hAnsi="Times New Roman" w:cs="Times New Roman"/>
        </w:rPr>
        <w:t>unctions</w:t>
      </w:r>
      <w:r>
        <w:rPr>
          <w:rFonts w:ascii="Times New Roman" w:hAnsi="Times New Roman" w:cs="Times New Roman"/>
        </w:rPr>
        <w:t>.</w:t>
      </w:r>
    </w:p>
    <w:tbl>
      <w:tblPr>
        <w:tblStyle w:val="TabelaSimples4"/>
        <w:tblW w:w="1389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245"/>
        <w:gridCol w:w="5103"/>
      </w:tblGrid>
      <w:tr w:rsidR="0002592F" w14:paraId="753E4DC7" w14:textId="77777777" w:rsidTr="00D139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4833DBAA" w14:textId="0D037EE1" w:rsidR="0002592F" w:rsidRDefault="0002592F" w:rsidP="00D1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References</w:t>
            </w:r>
          </w:p>
        </w:tc>
        <w:tc>
          <w:tcPr>
            <w:tcW w:w="5245" w:type="dxa"/>
            <w:vAlign w:val="center"/>
          </w:tcPr>
          <w:p w14:paraId="087ED929" w14:textId="5A2731AA" w:rsidR="0002592F" w:rsidRDefault="0002592F" w:rsidP="00D139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Selected Membrane Protein</w:t>
            </w:r>
          </w:p>
        </w:tc>
        <w:tc>
          <w:tcPr>
            <w:tcW w:w="5103" w:type="dxa"/>
            <w:vAlign w:val="center"/>
          </w:tcPr>
          <w:p w14:paraId="055DA98E" w14:textId="2CA91BE1" w:rsidR="0002592F" w:rsidRDefault="0002592F" w:rsidP="00D139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Biological Process Related</w:t>
            </w:r>
          </w:p>
        </w:tc>
      </w:tr>
      <w:tr w:rsidR="001D3095" w14:paraId="06299962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 w:val="restart"/>
            <w:vAlign w:val="center"/>
          </w:tcPr>
          <w:p w14:paraId="723AB70A" w14:textId="21860FA4" w:rsidR="001D3095" w:rsidRDefault="001D3095" w:rsidP="00D139A2">
            <w:pPr>
              <w:jc w:val="center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YOON et al., 2010</w:t>
            </w:r>
          </w:p>
        </w:tc>
        <w:tc>
          <w:tcPr>
            <w:tcW w:w="5245" w:type="dxa"/>
            <w:vAlign w:val="center"/>
          </w:tcPr>
          <w:p w14:paraId="518CDC43" w14:textId="550D9818" w:rsidR="001D3095" w:rsidRDefault="001D3095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TIAM1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(T-lymphoma invasion and metastasis-inducing protein 1)</w:t>
            </w:r>
          </w:p>
        </w:tc>
        <w:tc>
          <w:tcPr>
            <w:tcW w:w="5103" w:type="dxa"/>
            <w:vAlign w:val="center"/>
          </w:tcPr>
          <w:p w14:paraId="23EAEA42" w14:textId="21F8A61C" w:rsidR="001D3095" w:rsidRDefault="001D3095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Activation of GTPase activity; apoptosis</w:t>
            </w:r>
          </w:p>
        </w:tc>
      </w:tr>
      <w:tr w:rsidR="001D3095" w14:paraId="26E76B09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/>
            <w:vAlign w:val="center"/>
          </w:tcPr>
          <w:p w14:paraId="04EDE8F2" w14:textId="77777777" w:rsidR="001D3095" w:rsidRDefault="001D3095" w:rsidP="00D139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vAlign w:val="center"/>
          </w:tcPr>
          <w:p w14:paraId="360E4310" w14:textId="1F0F5E7D" w:rsidR="001D3095" w:rsidRDefault="001D3095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>ALIX (AIP-1)</w:t>
            </w:r>
            <w:r w:rsidRPr="008A5B49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(Programmed cell death 6-interacting protein)</w:t>
            </w:r>
          </w:p>
        </w:tc>
        <w:tc>
          <w:tcPr>
            <w:tcW w:w="5103" w:type="dxa"/>
            <w:vAlign w:val="center"/>
          </w:tcPr>
          <w:p w14:paraId="5C2F8AA9" w14:textId="0917306B" w:rsidR="001D3095" w:rsidRDefault="001D3095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Apoptosis</w:t>
            </w:r>
          </w:p>
        </w:tc>
      </w:tr>
      <w:tr w:rsidR="0002592F" w14:paraId="34A54095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1701F27E" w14:textId="07D50FD4" w:rsidR="0002592F" w:rsidRDefault="001D3095" w:rsidP="00D139A2">
            <w:pPr>
              <w:jc w:val="center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OH et al., 2011</w:t>
            </w:r>
          </w:p>
        </w:tc>
        <w:tc>
          <w:tcPr>
            <w:tcW w:w="5245" w:type="dxa"/>
            <w:vAlign w:val="center"/>
          </w:tcPr>
          <w:p w14:paraId="40C0846B" w14:textId="5DF3160E" w:rsidR="0002592F" w:rsidRDefault="001D3095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EGFR </w:t>
            </w:r>
            <w:r w:rsidRPr="008A5B49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Epidermal growth factor receptor)</w:t>
            </w:r>
          </w:p>
        </w:tc>
        <w:tc>
          <w:tcPr>
            <w:tcW w:w="5103" w:type="dxa"/>
            <w:vAlign w:val="center"/>
          </w:tcPr>
          <w:p w14:paraId="34A4E300" w14:textId="6BD2705D" w:rsidR="0002592F" w:rsidRDefault="001D3095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Cell adhesion and cell differentiation</w:t>
            </w:r>
          </w:p>
        </w:tc>
      </w:tr>
      <w:tr w:rsidR="0002592F" w14:paraId="2EDB4028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42AB55D7" w14:textId="3EF88E16" w:rsidR="0002592F" w:rsidRDefault="001D3095" w:rsidP="00D139A2">
            <w:pPr>
              <w:jc w:val="center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LAURICELLA et al., 2012</w:t>
            </w:r>
          </w:p>
        </w:tc>
        <w:tc>
          <w:tcPr>
            <w:tcW w:w="5245" w:type="dxa"/>
            <w:vAlign w:val="center"/>
          </w:tcPr>
          <w:p w14:paraId="4208FE69" w14:textId="3C0AA635" w:rsidR="0002592F" w:rsidRDefault="001D3095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>DR4</w:t>
            </w:r>
            <w:r w:rsidRPr="008A5B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(Tumor necrosis factor receptor superfamily member 10A)</w:t>
            </w:r>
          </w:p>
        </w:tc>
        <w:tc>
          <w:tcPr>
            <w:tcW w:w="5103" w:type="dxa"/>
            <w:vAlign w:val="center"/>
          </w:tcPr>
          <w:p w14:paraId="6E14CBCC" w14:textId="2157F800" w:rsidR="0002592F" w:rsidRDefault="001D3095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Apoptosis</w:t>
            </w:r>
          </w:p>
        </w:tc>
      </w:tr>
      <w:tr w:rsidR="0002592F" w14:paraId="09D0D9EB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2C38F980" w14:textId="6C56A98A" w:rsidR="0002592F" w:rsidRDefault="001D3095" w:rsidP="00D139A2">
            <w:pPr>
              <w:jc w:val="center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D’ANNEO et al., 2013</w:t>
            </w:r>
          </w:p>
        </w:tc>
        <w:tc>
          <w:tcPr>
            <w:tcW w:w="5245" w:type="dxa"/>
            <w:vAlign w:val="center"/>
          </w:tcPr>
          <w:p w14:paraId="20C87B78" w14:textId="06766708" w:rsidR="0002592F" w:rsidRDefault="001D3095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RIPK-1 (RIP-1) </w:t>
            </w:r>
            <w:r w:rsidRPr="008A5B49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Receptor-interacting serine/threonine-protein kinase 1)</w:t>
            </w:r>
          </w:p>
        </w:tc>
        <w:tc>
          <w:tcPr>
            <w:tcW w:w="5103" w:type="dxa"/>
            <w:vAlign w:val="center"/>
          </w:tcPr>
          <w:p w14:paraId="46356783" w14:textId="75D71A62" w:rsidR="0002592F" w:rsidRDefault="001D3095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Apoptosis; activation of cysteine-type endopeptidase activity</w:t>
            </w:r>
          </w:p>
        </w:tc>
      </w:tr>
      <w:tr w:rsidR="001D3095" w14:paraId="3BCF5D2F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526A2329" w14:textId="2141B699" w:rsidR="001D3095" w:rsidRDefault="001D3095" w:rsidP="00D139A2">
            <w:pPr>
              <w:jc w:val="center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lastRenderedPageBreak/>
              <w:t>SENGUPTA et al., 2013</w:t>
            </w:r>
          </w:p>
        </w:tc>
        <w:tc>
          <w:tcPr>
            <w:tcW w:w="5245" w:type="dxa"/>
            <w:vAlign w:val="center"/>
          </w:tcPr>
          <w:p w14:paraId="4CD3CE9C" w14:textId="18CA0FA2" w:rsidR="001D3095" w:rsidRDefault="001D3095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CDH2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(N-cadherin)</w:t>
            </w:r>
          </w:p>
        </w:tc>
        <w:tc>
          <w:tcPr>
            <w:tcW w:w="5103" w:type="dxa"/>
            <w:vAlign w:val="center"/>
          </w:tcPr>
          <w:p w14:paraId="74AA1408" w14:textId="151B8803" w:rsidR="001D3095" w:rsidRDefault="001D3095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</w:t>
            </w:r>
            <w:r w:rsidRPr="008A5B49">
              <w:rPr>
                <w:rFonts w:ascii="Times New Roman" w:eastAsia="Times New Roman" w:hAnsi="Times New Roman" w:cs="Times New Roman"/>
              </w:rPr>
              <w:t>dherens</w:t>
            </w:r>
            <w:proofErr w:type="spellEnd"/>
            <w:r w:rsidRPr="008A5B49">
              <w:rPr>
                <w:rFonts w:ascii="Times New Roman" w:eastAsia="Times New Roman" w:hAnsi="Times New Roman" w:cs="Times New Roman"/>
              </w:rPr>
              <w:t xml:space="preserve"> junction</w:t>
            </w:r>
            <w:r>
              <w:rPr>
                <w:rFonts w:ascii="Times New Roman" w:eastAsia="Times New Roman" w:hAnsi="Times New Roman" w:cs="Times New Roman"/>
              </w:rPr>
              <w:t xml:space="preserve"> organization</w:t>
            </w:r>
            <w:r w:rsidRPr="008A5B49">
              <w:rPr>
                <w:rFonts w:ascii="Times New Roman" w:eastAsia="Times New Roman" w:hAnsi="Times New Roman" w:cs="Times New Roman"/>
              </w:rPr>
              <w:t>; cell adhesion and cell migration</w:t>
            </w:r>
          </w:p>
        </w:tc>
      </w:tr>
      <w:tr w:rsidR="001D3095" w14:paraId="599B9F76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0D0A0B17" w14:textId="4C913775" w:rsidR="001D3095" w:rsidRDefault="001D3095" w:rsidP="00D139A2">
            <w:pPr>
              <w:jc w:val="center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DÍAZ et al., 2014</w:t>
            </w:r>
          </w:p>
        </w:tc>
        <w:tc>
          <w:tcPr>
            <w:tcW w:w="5245" w:type="dxa"/>
            <w:vAlign w:val="center"/>
          </w:tcPr>
          <w:p w14:paraId="555833AB" w14:textId="1D885118" w:rsidR="001D3095" w:rsidRDefault="001D3095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RAB5A </w:t>
            </w:r>
            <w:r w:rsidRPr="008A5B49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Ras-related protein Rab-5A</w:t>
            </w:r>
            <w:r w:rsidR="0019029A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</w:tc>
        <w:tc>
          <w:tcPr>
            <w:tcW w:w="5103" w:type="dxa"/>
            <w:vAlign w:val="center"/>
          </w:tcPr>
          <w:p w14:paraId="33C2F772" w14:textId="490CC04E" w:rsidR="001D3095" w:rsidRDefault="0019029A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Blood</w:t>
            </w:r>
            <w:r w:rsidRPr="008A5B49">
              <w:rPr>
                <w:rFonts w:ascii="Times New Roman" w:eastAsia="Times New Roman" w:hAnsi="Times New Roman" w:cs="Times New Roman"/>
              </w:rPr>
              <w:t xml:space="preserve"> coagulation; endocytosis; intracellular protein transport</w:t>
            </w:r>
          </w:p>
        </w:tc>
      </w:tr>
      <w:tr w:rsidR="001D3095" w14:paraId="0DEDEED0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30114FA1" w14:textId="758ED0D1" w:rsidR="001D3095" w:rsidRDefault="0019029A" w:rsidP="00D139A2">
            <w:pPr>
              <w:jc w:val="center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LIU et al., 2014</w:t>
            </w:r>
          </w:p>
        </w:tc>
        <w:tc>
          <w:tcPr>
            <w:tcW w:w="5245" w:type="dxa"/>
            <w:vAlign w:val="center"/>
          </w:tcPr>
          <w:p w14:paraId="2328ACA8" w14:textId="34C88409" w:rsidR="001D3095" w:rsidRDefault="0019029A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>AKT1</w:t>
            </w:r>
            <w:r w:rsidRPr="008A5B49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(RAC-alpha serine/threonine-protein kinase)</w:t>
            </w:r>
          </w:p>
        </w:tc>
        <w:tc>
          <w:tcPr>
            <w:tcW w:w="5103" w:type="dxa"/>
            <w:vAlign w:val="center"/>
          </w:tcPr>
          <w:p w14:paraId="6A746259" w14:textId="74E0A3FE" w:rsidR="001D3095" w:rsidRDefault="0019029A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 cell-induced cell</w:t>
            </w:r>
            <w:r w:rsidRPr="008A5B49">
              <w:rPr>
                <w:rFonts w:ascii="Times New Roman" w:eastAsia="Times New Roman" w:hAnsi="Times New Roman" w:cs="Times New Roman"/>
              </w:rPr>
              <w:t xml:space="preserve"> death; cell differentiation and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A5B49">
              <w:rPr>
                <w:rFonts w:ascii="Times New Roman" w:eastAsia="Times New Roman" w:hAnsi="Times New Roman" w:cs="Times New Roman"/>
              </w:rPr>
              <w:t>proliferation</w:t>
            </w:r>
          </w:p>
        </w:tc>
      </w:tr>
      <w:tr w:rsidR="001D3095" w14:paraId="70085526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508F33CD" w14:textId="150E76D4" w:rsidR="001D3095" w:rsidRDefault="0019029A" w:rsidP="00D139A2">
            <w:pPr>
              <w:jc w:val="center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MEZQUITA et al., 2014</w:t>
            </w:r>
          </w:p>
        </w:tc>
        <w:tc>
          <w:tcPr>
            <w:tcW w:w="5245" w:type="dxa"/>
            <w:vAlign w:val="center"/>
          </w:tcPr>
          <w:p w14:paraId="20C310C6" w14:textId="7414CA37" w:rsidR="001D3095" w:rsidRDefault="0019029A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DLL4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(Delta-like protein 4)</w:t>
            </w:r>
          </w:p>
        </w:tc>
        <w:tc>
          <w:tcPr>
            <w:tcW w:w="5103" w:type="dxa"/>
            <w:vAlign w:val="center"/>
          </w:tcPr>
          <w:p w14:paraId="76673279" w14:textId="53502066" w:rsidR="001D3095" w:rsidRDefault="0019029A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Angiogenesis</w:t>
            </w:r>
          </w:p>
        </w:tc>
      </w:tr>
      <w:tr w:rsidR="0019029A" w14:paraId="1AD3F2AF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1AE699CD" w14:textId="35F7B6F4" w:rsidR="0019029A" w:rsidRPr="008A5B49" w:rsidRDefault="0019029A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OKAMOTO et al., 2014</w:t>
            </w:r>
          </w:p>
        </w:tc>
        <w:tc>
          <w:tcPr>
            <w:tcW w:w="5245" w:type="dxa"/>
            <w:vAlign w:val="center"/>
          </w:tcPr>
          <w:p w14:paraId="1BA6FCD4" w14:textId="6C879DD1" w:rsidR="0019029A" w:rsidRPr="008A5B49" w:rsidRDefault="0019029A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>HB-EGF</w:t>
            </w:r>
            <w:r w:rsidRPr="008A5B4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Proheparin</w:t>
            </w:r>
            <w:proofErr w:type="spellEnd"/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-binding EGF-like growth factor</w:t>
            </w:r>
            <w:r w:rsidRPr="008A5B4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103" w:type="dxa"/>
            <w:vAlign w:val="center"/>
          </w:tcPr>
          <w:p w14:paraId="703E230F" w14:textId="07077D11" w:rsidR="0019029A" w:rsidRPr="008A5B49" w:rsidRDefault="0019029A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Chemotaxis</w:t>
            </w:r>
          </w:p>
        </w:tc>
      </w:tr>
      <w:tr w:rsidR="0019029A" w14:paraId="74DBA5A3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4749E7E3" w14:textId="7349D239" w:rsidR="0019029A" w:rsidRPr="008A5B49" w:rsidRDefault="001363CA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GE et al., 2015</w:t>
            </w:r>
          </w:p>
        </w:tc>
        <w:tc>
          <w:tcPr>
            <w:tcW w:w="5245" w:type="dxa"/>
            <w:vAlign w:val="center"/>
          </w:tcPr>
          <w:p w14:paraId="7951C64E" w14:textId="5E1B2D89" w:rsidR="0019029A" w:rsidRPr="008A5B49" w:rsidRDefault="001363CA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SHH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(Sonic hedgehog protein)</w:t>
            </w:r>
          </w:p>
        </w:tc>
        <w:tc>
          <w:tcPr>
            <w:tcW w:w="5103" w:type="dxa"/>
            <w:vAlign w:val="center"/>
          </w:tcPr>
          <w:p w14:paraId="51318C2E" w14:textId="7BE626CD" w:rsidR="0019029A" w:rsidRPr="008A5B49" w:rsidRDefault="001363CA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Apoptosis</w:t>
            </w:r>
          </w:p>
        </w:tc>
      </w:tr>
      <w:tr w:rsidR="00DF6A7E" w14:paraId="0601DC69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 w:val="restart"/>
            <w:vAlign w:val="center"/>
          </w:tcPr>
          <w:p w14:paraId="64758D34" w14:textId="5554CB0D" w:rsidR="00DF6A7E" w:rsidRPr="008A5B49" w:rsidRDefault="00DF6A7E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HERNÁNDEZ-BEDOLLA et al., 2015</w:t>
            </w:r>
          </w:p>
        </w:tc>
        <w:tc>
          <w:tcPr>
            <w:tcW w:w="5245" w:type="dxa"/>
            <w:vAlign w:val="center"/>
          </w:tcPr>
          <w:p w14:paraId="0CB6E41A" w14:textId="1927A6E9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CASR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(Extracellular calcium-sensing receptor)</w:t>
            </w:r>
          </w:p>
        </w:tc>
        <w:tc>
          <w:tcPr>
            <w:tcW w:w="5103" w:type="dxa"/>
            <w:vAlign w:val="center"/>
          </w:tcPr>
          <w:p w14:paraId="5F59759C" w14:textId="78AA3E61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Apoptosis</w:t>
            </w:r>
          </w:p>
        </w:tc>
      </w:tr>
      <w:tr w:rsidR="00DF6A7E" w14:paraId="55538565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/>
            <w:vAlign w:val="center"/>
          </w:tcPr>
          <w:p w14:paraId="11E16CA4" w14:textId="77777777" w:rsidR="00DF6A7E" w:rsidRPr="008A5B49" w:rsidRDefault="00DF6A7E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vAlign w:val="center"/>
          </w:tcPr>
          <w:p w14:paraId="10117D36" w14:textId="0222DC6D" w:rsidR="00DF6A7E" w:rsidRPr="008A5B49" w:rsidRDefault="00DF6A7E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IL-6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(Interleukin-6 receptor subunit alpha)</w:t>
            </w:r>
          </w:p>
        </w:tc>
        <w:tc>
          <w:tcPr>
            <w:tcW w:w="5103" w:type="dxa"/>
            <w:vAlign w:val="center"/>
          </w:tcPr>
          <w:p w14:paraId="09FD4BD9" w14:textId="3B232D95" w:rsidR="00DF6A7E" w:rsidRPr="008A5B49" w:rsidRDefault="00DF6A7E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Positive regulation of cell proliferation; acute phase response</w:t>
            </w:r>
          </w:p>
        </w:tc>
      </w:tr>
      <w:tr w:rsidR="00DF6A7E" w14:paraId="62B68631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6100BE75" w14:textId="67997835" w:rsidR="00DF6A7E" w:rsidRPr="008A5B49" w:rsidRDefault="00DF6A7E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WANG et al., 2015</w:t>
            </w:r>
          </w:p>
        </w:tc>
        <w:tc>
          <w:tcPr>
            <w:tcW w:w="5245" w:type="dxa"/>
            <w:vAlign w:val="center"/>
          </w:tcPr>
          <w:p w14:paraId="74977E5F" w14:textId="30652C1F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NHE1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(Sodium/hydrogen exchanger 1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</w:tc>
        <w:tc>
          <w:tcPr>
            <w:tcW w:w="5103" w:type="dxa"/>
            <w:vAlign w:val="center"/>
          </w:tcPr>
          <w:p w14:paraId="72D7FA9E" w14:textId="7FF9C007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Cardiac muscle contraction</w:t>
            </w:r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r w:rsidRPr="008A5B49">
              <w:rPr>
                <w:rFonts w:ascii="Times New Roman" w:eastAsia="Times New Roman" w:hAnsi="Times New Roman" w:cs="Times New Roman"/>
              </w:rPr>
              <w:t>positive regulation of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A5B49">
              <w:rPr>
                <w:rFonts w:ascii="Times New Roman" w:eastAsia="Times New Roman" w:hAnsi="Times New Roman" w:cs="Times New Roman"/>
              </w:rPr>
              <w:t>apopto</w:t>
            </w:r>
            <w:r>
              <w:rPr>
                <w:rFonts w:ascii="Times New Roman" w:eastAsia="Times New Roman" w:hAnsi="Times New Roman" w:cs="Times New Roman"/>
              </w:rPr>
              <w:t>sis</w:t>
            </w:r>
          </w:p>
        </w:tc>
      </w:tr>
      <w:tr w:rsidR="00B23107" w14:paraId="03C15C6E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 w:val="restart"/>
            <w:vAlign w:val="center"/>
          </w:tcPr>
          <w:p w14:paraId="1F7FCA1A" w14:textId="6B4E449F" w:rsidR="00B23107" w:rsidRPr="008A5B49" w:rsidRDefault="00B23107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ALIZADEH et al., 2017</w:t>
            </w:r>
          </w:p>
        </w:tc>
        <w:tc>
          <w:tcPr>
            <w:tcW w:w="5245" w:type="dxa"/>
            <w:vAlign w:val="center"/>
          </w:tcPr>
          <w:p w14:paraId="047905B7" w14:textId="48823888" w:rsidR="00B23107" w:rsidRPr="008A5B49" w:rsidRDefault="00B23107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CDC42 </w:t>
            </w:r>
            <w:r w:rsidRPr="008A5B49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CDC42 small effector protein 1)</w:t>
            </w:r>
          </w:p>
        </w:tc>
        <w:tc>
          <w:tcPr>
            <w:tcW w:w="5103" w:type="dxa"/>
            <w:vAlign w:val="center"/>
          </w:tcPr>
          <w:p w14:paraId="31DCEEC9" w14:textId="1065522D" w:rsidR="00B23107" w:rsidRPr="008A5B49" w:rsidRDefault="00B23107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Phagocytosis</w:t>
            </w:r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r w:rsidRPr="008A5B49">
              <w:rPr>
                <w:rFonts w:ascii="Times New Roman" w:eastAsia="Times New Roman" w:hAnsi="Times New Roman" w:cs="Times New Roman"/>
              </w:rPr>
              <w:t>signal transduction</w:t>
            </w:r>
          </w:p>
        </w:tc>
      </w:tr>
      <w:tr w:rsidR="00B23107" w14:paraId="62F3FE5E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/>
            <w:vAlign w:val="center"/>
          </w:tcPr>
          <w:p w14:paraId="0FCB5F8A" w14:textId="77777777" w:rsidR="00B23107" w:rsidRPr="008A5B49" w:rsidRDefault="00B23107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vAlign w:val="center"/>
          </w:tcPr>
          <w:p w14:paraId="081CDBB2" w14:textId="0CBF2769" w:rsidR="00B23107" w:rsidRPr="008A5B49" w:rsidRDefault="00B23107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>RAC3</w:t>
            </w:r>
            <w:r w:rsidRPr="008A5B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(Ras-related C3 botulinum toxin substrate 3)</w:t>
            </w:r>
          </w:p>
        </w:tc>
        <w:tc>
          <w:tcPr>
            <w:tcW w:w="5103" w:type="dxa"/>
            <w:vAlign w:val="center"/>
          </w:tcPr>
          <w:p w14:paraId="5624F5BC" w14:textId="6774F96F" w:rsidR="00B23107" w:rsidRPr="008A5B49" w:rsidRDefault="00B23107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8A5B49">
              <w:rPr>
                <w:rFonts w:ascii="Times New Roman" w:eastAsia="Times New Roman" w:hAnsi="Times New Roman" w:cs="Times New Roman"/>
              </w:rPr>
              <w:t>Actin</w:t>
            </w:r>
            <w:proofErr w:type="gramEnd"/>
            <w:r w:rsidRPr="008A5B49">
              <w:rPr>
                <w:rFonts w:ascii="Times New Roman" w:eastAsia="Times New Roman" w:hAnsi="Times New Roman" w:cs="Times New Roman"/>
              </w:rPr>
              <w:t xml:space="preserve"> cytoskeleton organization; </w:t>
            </w:r>
            <w:r>
              <w:rPr>
                <w:rFonts w:ascii="Times New Roman" w:eastAsia="Times New Roman" w:hAnsi="Times New Roman" w:cs="Times New Roman"/>
              </w:rPr>
              <w:t>integrin-mediated a</w:t>
            </w:r>
            <w:r w:rsidRPr="008A5B49">
              <w:rPr>
                <w:rFonts w:ascii="Times New Roman" w:eastAsia="Times New Roman" w:hAnsi="Times New Roman" w:cs="Times New Roman"/>
              </w:rPr>
              <w:t>dhesi</w:t>
            </w:r>
            <w:r>
              <w:rPr>
                <w:rFonts w:ascii="Times New Roman" w:eastAsia="Times New Roman" w:hAnsi="Times New Roman" w:cs="Times New Roman"/>
              </w:rPr>
              <w:t>on</w:t>
            </w:r>
          </w:p>
        </w:tc>
      </w:tr>
      <w:tr w:rsidR="00B23107" w14:paraId="010B5C0F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/>
            <w:vAlign w:val="center"/>
          </w:tcPr>
          <w:p w14:paraId="4ECAC919" w14:textId="77777777" w:rsidR="00B23107" w:rsidRPr="008A5B49" w:rsidRDefault="00B23107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vAlign w:val="center"/>
          </w:tcPr>
          <w:p w14:paraId="5491B081" w14:textId="2BA130CC" w:rsidR="00B23107" w:rsidRPr="008A5B49" w:rsidRDefault="00B23107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>FNTA</w:t>
            </w:r>
            <w:r w:rsidRPr="008A5B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(Protein farnesyltransferase / </w:t>
            </w:r>
            <w:proofErr w:type="spellStart"/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geranylgeranyltransferase</w:t>
            </w:r>
            <w:proofErr w:type="spellEnd"/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type-1 subunit alpha)</w:t>
            </w:r>
          </w:p>
        </w:tc>
        <w:tc>
          <w:tcPr>
            <w:tcW w:w="5103" w:type="dxa"/>
            <w:vAlign w:val="center"/>
          </w:tcPr>
          <w:p w14:paraId="742D1855" w14:textId="5B010495" w:rsidR="00B23107" w:rsidRPr="008A5B49" w:rsidRDefault="00B23107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Metabolic n</w:t>
            </w:r>
            <w:r w:rsidRPr="008A5B49">
              <w:rPr>
                <w:rFonts w:ascii="Times New Roman" w:eastAsia="Times New Roman" w:hAnsi="Times New Roman" w:cs="Times New Roman"/>
              </w:rPr>
              <w:t>eurotransmitter</w:t>
            </w:r>
            <w:r>
              <w:rPr>
                <w:rFonts w:ascii="Times New Roman" w:eastAsia="Times New Roman" w:hAnsi="Times New Roman" w:cs="Times New Roman"/>
              </w:rPr>
              <w:t xml:space="preserve"> p</w:t>
            </w:r>
            <w:r w:rsidRPr="008A5B49">
              <w:rPr>
                <w:rFonts w:ascii="Times New Roman" w:eastAsia="Times New Roman" w:hAnsi="Times New Roman" w:cs="Times New Roman"/>
              </w:rPr>
              <w:t>rocess</w:t>
            </w:r>
          </w:p>
        </w:tc>
      </w:tr>
      <w:tr w:rsidR="00DF6A7E" w14:paraId="74137236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1B16E6F4" w14:textId="4FD7E808" w:rsidR="00DF6A7E" w:rsidRPr="008A5B49" w:rsidRDefault="00DF6A7E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IRAVANI; BAY; YIP, 2017</w:t>
            </w:r>
          </w:p>
        </w:tc>
        <w:tc>
          <w:tcPr>
            <w:tcW w:w="5245" w:type="dxa"/>
            <w:vAlign w:val="center"/>
          </w:tcPr>
          <w:p w14:paraId="58A6DBDB" w14:textId="5519EABD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IGF1R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(Insulin-like growth factor I)</w:t>
            </w:r>
          </w:p>
        </w:tc>
        <w:tc>
          <w:tcPr>
            <w:tcW w:w="5103" w:type="dxa"/>
            <w:vAlign w:val="center"/>
          </w:tcPr>
          <w:p w14:paraId="144D49C3" w14:textId="31B6683B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</w:t>
            </w:r>
            <w:r w:rsidRPr="008A5B49">
              <w:rPr>
                <w:rFonts w:ascii="Times New Roman" w:eastAsia="Times New Roman" w:hAnsi="Times New Roman" w:cs="Times New Roman"/>
              </w:rPr>
              <w:t xml:space="preserve">APK </w:t>
            </w:r>
            <w:r>
              <w:rPr>
                <w:rFonts w:ascii="Times New Roman" w:eastAsia="Times New Roman" w:hAnsi="Times New Roman" w:cs="Times New Roman"/>
              </w:rPr>
              <w:t>activation</w:t>
            </w:r>
            <w:r w:rsidRPr="008A5B49">
              <w:rPr>
                <w:rFonts w:ascii="Times New Roman" w:eastAsia="Times New Roman" w:hAnsi="Times New Roman" w:cs="Times New Roman"/>
              </w:rPr>
              <w:t xml:space="preserve">; cell activation </w:t>
            </w:r>
            <w:r>
              <w:rPr>
                <w:rFonts w:ascii="Times New Roman" w:eastAsia="Times New Roman" w:hAnsi="Times New Roman" w:cs="Times New Roman"/>
              </w:rPr>
              <w:t>pro</w:t>
            </w:r>
            <w:r w:rsidRPr="008A5B49">
              <w:rPr>
                <w:rFonts w:ascii="Times New Roman" w:eastAsia="Times New Roman" w:hAnsi="Times New Roman" w:cs="Times New Roman"/>
              </w:rPr>
              <w:t>liferation</w:t>
            </w:r>
          </w:p>
        </w:tc>
      </w:tr>
      <w:tr w:rsidR="00DF6A7E" w14:paraId="168918F1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4D825509" w14:textId="393D01D6" w:rsidR="00DF6A7E" w:rsidRPr="008A5B49" w:rsidRDefault="00DF6A7E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SHUI et al., 2017</w:t>
            </w:r>
          </w:p>
        </w:tc>
        <w:tc>
          <w:tcPr>
            <w:tcW w:w="5245" w:type="dxa"/>
            <w:vAlign w:val="center"/>
          </w:tcPr>
          <w:p w14:paraId="1C051C47" w14:textId="58728B4D" w:rsidR="00DF6A7E" w:rsidRPr="008A5B49" w:rsidRDefault="00DF6A7E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DLL1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(Delta-like protein 1)</w:t>
            </w:r>
          </w:p>
        </w:tc>
        <w:tc>
          <w:tcPr>
            <w:tcW w:w="5103" w:type="dxa"/>
            <w:vAlign w:val="center"/>
          </w:tcPr>
          <w:p w14:paraId="0B1A99C0" w14:textId="0CBA07B6" w:rsidR="00DF6A7E" w:rsidRPr="008A5B49" w:rsidRDefault="00DF6A7E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Cell differentiation</w:t>
            </w:r>
          </w:p>
        </w:tc>
      </w:tr>
      <w:tr w:rsidR="00DF6A7E" w14:paraId="5353D62B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 w:val="restart"/>
            <w:vAlign w:val="center"/>
          </w:tcPr>
          <w:p w14:paraId="330A8FD1" w14:textId="22CBAB04" w:rsidR="00DF6A7E" w:rsidRPr="008A5B49" w:rsidRDefault="00DF6A7E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PIZATO et al., 2018</w:t>
            </w:r>
          </w:p>
        </w:tc>
        <w:tc>
          <w:tcPr>
            <w:tcW w:w="5245" w:type="dxa"/>
            <w:vAlign w:val="center"/>
          </w:tcPr>
          <w:p w14:paraId="373C1852" w14:textId="011CA5D1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CASP1 </w:t>
            </w:r>
            <w:r w:rsidRPr="008A5B49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Caspase-1)</w:t>
            </w:r>
          </w:p>
        </w:tc>
        <w:tc>
          <w:tcPr>
            <w:tcW w:w="5103" w:type="dxa"/>
            <w:vAlign w:val="center"/>
          </w:tcPr>
          <w:p w14:paraId="177DE200" w14:textId="79BB913F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Apoptosis</w:t>
            </w:r>
          </w:p>
        </w:tc>
      </w:tr>
      <w:tr w:rsidR="00DF6A7E" w14:paraId="580AD5DB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/>
            <w:vAlign w:val="center"/>
          </w:tcPr>
          <w:p w14:paraId="3C8CBC1A" w14:textId="77777777" w:rsidR="00DF6A7E" w:rsidRPr="008A5B49" w:rsidRDefault="00DF6A7E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vAlign w:val="center"/>
          </w:tcPr>
          <w:p w14:paraId="7E191818" w14:textId="12F67845" w:rsidR="00DF6A7E" w:rsidRPr="008A5B49" w:rsidRDefault="00DF6A7E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GSDMD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  <w:t>(</w:t>
            </w:r>
            <w:proofErr w:type="spellStart"/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Gasdermin</w:t>
            </w:r>
            <w:proofErr w:type="spellEnd"/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-D)</w:t>
            </w:r>
          </w:p>
        </w:tc>
        <w:tc>
          <w:tcPr>
            <w:tcW w:w="5103" w:type="dxa"/>
            <w:vAlign w:val="center"/>
          </w:tcPr>
          <w:p w14:paraId="23BE568B" w14:textId="225FFFD8" w:rsidR="00DF6A7E" w:rsidRPr="008A5B49" w:rsidRDefault="00DF6A7E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Cellular response to extracellular stimuli</w:t>
            </w:r>
          </w:p>
        </w:tc>
      </w:tr>
      <w:tr w:rsidR="00DF6A7E" w14:paraId="738C1383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/>
            <w:vAlign w:val="center"/>
          </w:tcPr>
          <w:p w14:paraId="749D3377" w14:textId="77777777" w:rsidR="00DF6A7E" w:rsidRPr="008A5B49" w:rsidRDefault="00DF6A7E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vAlign w:val="center"/>
          </w:tcPr>
          <w:p w14:paraId="4DCC510B" w14:textId="47B41A62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>HMGB1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(High mobility group protein B1)</w:t>
            </w:r>
          </w:p>
        </w:tc>
        <w:tc>
          <w:tcPr>
            <w:tcW w:w="5103" w:type="dxa"/>
            <w:vAlign w:val="center"/>
          </w:tcPr>
          <w:p w14:paraId="324DF3BB" w14:textId="2F6BA2E9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 xml:space="preserve">Autophagy;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Pr="008A5B49">
              <w:rPr>
                <w:rFonts w:ascii="Times New Roman" w:eastAsia="Times New Roman" w:hAnsi="Times New Roman" w:cs="Times New Roman"/>
              </w:rPr>
              <w:t>nnate immune response</w:t>
            </w:r>
            <w:r>
              <w:rPr>
                <w:rFonts w:ascii="Times New Roman" w:eastAsia="Times New Roman" w:hAnsi="Times New Roman" w:cs="Times New Roman"/>
              </w:rPr>
              <w:t xml:space="preserve"> activation</w:t>
            </w:r>
            <w:r w:rsidRPr="008A5B49">
              <w:rPr>
                <w:rFonts w:ascii="Times New Roman" w:eastAsia="Times New Roman" w:hAnsi="Times New Roman" w:cs="Times New Roman"/>
              </w:rPr>
              <w:t>; apoptotic DNA fragmentation</w:t>
            </w:r>
          </w:p>
        </w:tc>
      </w:tr>
      <w:tr w:rsidR="00DF6A7E" w14:paraId="1B15DF10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6BE7D467" w14:textId="6F45F8CB" w:rsidR="00DF6A7E" w:rsidRPr="008A5B49" w:rsidRDefault="00DF6A7E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XU et al., 2018</w:t>
            </w:r>
          </w:p>
        </w:tc>
        <w:tc>
          <w:tcPr>
            <w:tcW w:w="5245" w:type="dxa"/>
            <w:vAlign w:val="center"/>
          </w:tcPr>
          <w:p w14:paraId="37CC678F" w14:textId="1A26D742" w:rsidR="00DF6A7E" w:rsidRPr="008A5B49" w:rsidRDefault="00DF6A7E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>CXCR4:</w:t>
            </w:r>
            <w:r w:rsidRPr="008A5B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(C-X-C chemokine receptor type 4)</w:t>
            </w:r>
          </w:p>
        </w:tc>
        <w:tc>
          <w:tcPr>
            <w:tcW w:w="5103" w:type="dxa"/>
            <w:vAlign w:val="center"/>
          </w:tcPr>
          <w:p w14:paraId="37ADA168" w14:textId="0A16454F" w:rsidR="00DF6A7E" w:rsidRPr="008A5B49" w:rsidRDefault="00DF6A7E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Apoptosis</w:t>
            </w:r>
          </w:p>
        </w:tc>
      </w:tr>
      <w:tr w:rsidR="00DF6A7E" w14:paraId="0E78B493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2B162FCB" w14:textId="4EB87CCF" w:rsidR="00DF6A7E" w:rsidRPr="008A5B49" w:rsidRDefault="00DF6A7E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ZHANG et al., 2018</w:t>
            </w:r>
          </w:p>
        </w:tc>
        <w:tc>
          <w:tcPr>
            <w:tcW w:w="5245" w:type="dxa"/>
            <w:vAlign w:val="center"/>
          </w:tcPr>
          <w:p w14:paraId="0D345A03" w14:textId="4873E05D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Nav1.5 (SCN5A) </w:t>
            </w:r>
            <w:r w:rsidRPr="008A5B49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Sodium channel protein type 5 subunit alpha</w:t>
            </w:r>
            <w:r w:rsidRPr="008A5B4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103" w:type="dxa"/>
            <w:vAlign w:val="center"/>
          </w:tcPr>
          <w:p w14:paraId="2C6DE1B5" w14:textId="7F477038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Pr="008A5B49">
              <w:rPr>
                <w:rFonts w:ascii="Times New Roman" w:eastAsia="Times New Roman" w:hAnsi="Times New Roman" w:cs="Times New Roman"/>
              </w:rPr>
              <w:t>odium ion transport; cardiac conduction</w:t>
            </w:r>
          </w:p>
        </w:tc>
      </w:tr>
      <w:tr w:rsidR="00DF6A7E" w14:paraId="64190883" w14:textId="77777777" w:rsidTr="00D13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7BA96BEC" w14:textId="151D8B53" w:rsidR="00DF6A7E" w:rsidRPr="008A5B49" w:rsidRDefault="00DF6A7E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MORI et al., 2019</w:t>
            </w:r>
          </w:p>
        </w:tc>
        <w:tc>
          <w:tcPr>
            <w:tcW w:w="5245" w:type="dxa"/>
            <w:vAlign w:val="center"/>
          </w:tcPr>
          <w:p w14:paraId="2D9E3C1D" w14:textId="2DB69009" w:rsidR="00DF6A7E" w:rsidRPr="008A5B49" w:rsidRDefault="00DF6A7E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NOX4 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(NADPH oxidase 4)</w:t>
            </w:r>
          </w:p>
        </w:tc>
        <w:tc>
          <w:tcPr>
            <w:tcW w:w="5103" w:type="dxa"/>
            <w:vAlign w:val="center"/>
          </w:tcPr>
          <w:p w14:paraId="2A74F649" w14:textId="78185061" w:rsidR="00DF6A7E" w:rsidRPr="008A5B49" w:rsidRDefault="00DF6A7E" w:rsidP="00D139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>Bone resorption</w:t>
            </w:r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r w:rsidRPr="008A5B49">
              <w:rPr>
                <w:rFonts w:ascii="Times New Roman" w:eastAsia="Times New Roman" w:hAnsi="Times New Roman" w:cs="Times New Roman"/>
              </w:rPr>
              <w:t>morphogenesis; reactive oxygen species</w:t>
            </w:r>
            <w:r>
              <w:rPr>
                <w:rFonts w:ascii="Times New Roman" w:eastAsia="Times New Roman" w:hAnsi="Times New Roman" w:cs="Times New Roman"/>
              </w:rPr>
              <w:t xml:space="preserve"> metabolism</w:t>
            </w:r>
          </w:p>
        </w:tc>
      </w:tr>
      <w:tr w:rsidR="00DF6A7E" w14:paraId="206ECCA3" w14:textId="77777777" w:rsidTr="00D13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5095B9FC" w14:textId="1161D2E6" w:rsidR="00DF6A7E" w:rsidRPr="008A5B49" w:rsidRDefault="00DF6A7E" w:rsidP="00D13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lastRenderedPageBreak/>
              <w:t>REZNICZEK et al., 2019</w:t>
            </w:r>
          </w:p>
        </w:tc>
        <w:tc>
          <w:tcPr>
            <w:tcW w:w="5245" w:type="dxa"/>
            <w:vAlign w:val="center"/>
          </w:tcPr>
          <w:p w14:paraId="1B0CCEF1" w14:textId="3F697B48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8A5B4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ROBO1 </w:t>
            </w:r>
            <w:r w:rsidRPr="008A5B49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</w:t>
            </w:r>
            <w:r w:rsidRPr="008A5B49">
              <w:rPr>
                <w:rFonts w:ascii="Times New Roman" w:eastAsia="Times New Roman" w:hAnsi="Times New Roman" w:cs="Times New Roman"/>
                <w:i/>
                <w:color w:val="000000"/>
              </w:rPr>
              <w:t>Roundabout homolog 1)</w:t>
            </w:r>
          </w:p>
        </w:tc>
        <w:tc>
          <w:tcPr>
            <w:tcW w:w="5103" w:type="dxa"/>
            <w:vAlign w:val="center"/>
          </w:tcPr>
          <w:p w14:paraId="556BB796" w14:textId="0A8A1296" w:rsidR="00DF6A7E" w:rsidRPr="008A5B49" w:rsidRDefault="00DF6A7E" w:rsidP="00D139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A5B49">
              <w:rPr>
                <w:rFonts w:ascii="Times New Roman" w:eastAsia="Times New Roman" w:hAnsi="Times New Roman" w:cs="Times New Roman"/>
              </w:rPr>
              <w:t xml:space="preserve">Cell adhesion; activation of </w:t>
            </w:r>
            <w:r>
              <w:rPr>
                <w:rFonts w:ascii="Times New Roman" w:eastAsia="Times New Roman" w:hAnsi="Times New Roman" w:cs="Times New Roman"/>
              </w:rPr>
              <w:t xml:space="preserve">apoptotic </w:t>
            </w:r>
            <w:r w:rsidRPr="008A5B49">
              <w:rPr>
                <w:rFonts w:ascii="Times New Roman" w:eastAsia="Times New Roman" w:hAnsi="Times New Roman" w:cs="Times New Roman"/>
              </w:rPr>
              <w:t>cysteine-type endopeptidase activity</w:t>
            </w:r>
          </w:p>
        </w:tc>
      </w:tr>
    </w:tbl>
    <w:p w14:paraId="6AF9E4E2" w14:textId="77777777" w:rsidR="00E77297" w:rsidRPr="00E77297" w:rsidRDefault="00E77297" w:rsidP="00E77297">
      <w:pPr>
        <w:jc w:val="both"/>
        <w:rPr>
          <w:rFonts w:ascii="Times New Roman" w:hAnsi="Times New Roman" w:cs="Times New Roman"/>
        </w:rPr>
      </w:pPr>
    </w:p>
    <w:sectPr w:rsidR="00E77297" w:rsidRPr="00E77297" w:rsidSect="00567337">
      <w:pgSz w:w="15840" w:h="12240" w:orient="landscape"/>
      <w:pgMar w:top="1701" w:right="1417" w:bottom="170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04F"/>
    <w:rsid w:val="00020C82"/>
    <w:rsid w:val="0002592F"/>
    <w:rsid w:val="000561D7"/>
    <w:rsid w:val="000F21CB"/>
    <w:rsid w:val="001363CA"/>
    <w:rsid w:val="0019029A"/>
    <w:rsid w:val="001D3095"/>
    <w:rsid w:val="001E7346"/>
    <w:rsid w:val="0024412C"/>
    <w:rsid w:val="00277392"/>
    <w:rsid w:val="003C69B5"/>
    <w:rsid w:val="003E2B35"/>
    <w:rsid w:val="00412AED"/>
    <w:rsid w:val="00500392"/>
    <w:rsid w:val="00567337"/>
    <w:rsid w:val="00574546"/>
    <w:rsid w:val="005A54ED"/>
    <w:rsid w:val="005D5EDA"/>
    <w:rsid w:val="0077327B"/>
    <w:rsid w:val="00775FB7"/>
    <w:rsid w:val="007E27DC"/>
    <w:rsid w:val="00827747"/>
    <w:rsid w:val="008951BB"/>
    <w:rsid w:val="008A2454"/>
    <w:rsid w:val="008A6321"/>
    <w:rsid w:val="008F604F"/>
    <w:rsid w:val="00934B36"/>
    <w:rsid w:val="00981CF9"/>
    <w:rsid w:val="00B23107"/>
    <w:rsid w:val="00CD4FD0"/>
    <w:rsid w:val="00D139A2"/>
    <w:rsid w:val="00DF6A7E"/>
    <w:rsid w:val="00E367B4"/>
    <w:rsid w:val="00E77297"/>
    <w:rsid w:val="00F25304"/>
    <w:rsid w:val="00F8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B0ACB"/>
  <w15:chartTrackingRefBased/>
  <w15:docId w15:val="{4646162C-01F4-46D9-A850-CBD72E83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F6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6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F6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F6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F6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F6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F6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F6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F6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F6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F6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F60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F60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F604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F60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F60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F60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F60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F6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F6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F6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F6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F6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F60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F60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F604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F6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F604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F604F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95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981C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mples4">
    <w:name w:val="Plain Table 4"/>
    <w:basedOn w:val="Tabelanormal"/>
    <w:uiPriority w:val="44"/>
    <w:rsid w:val="007732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1">
    <w:name w:val="Plain Table 1"/>
    <w:basedOn w:val="Tabelanormal"/>
    <w:uiPriority w:val="41"/>
    <w:rsid w:val="000561D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Silva</dc:creator>
  <cp:keywords/>
  <dc:description/>
  <cp:lastModifiedBy>Karina Silva</cp:lastModifiedBy>
  <cp:revision>29</cp:revision>
  <dcterms:created xsi:type="dcterms:W3CDTF">2025-05-20T16:51:00Z</dcterms:created>
  <dcterms:modified xsi:type="dcterms:W3CDTF">2026-02-03T17:18:00Z</dcterms:modified>
</cp:coreProperties>
</file>