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9D5" w:rsidRPr="00A14833" w:rsidRDefault="009B6215" w:rsidP="008C39D5">
      <w:pPr>
        <w:spacing w:line="360" w:lineRule="auto"/>
        <w:rPr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Supplemental table</w:t>
      </w:r>
      <w:r w:rsidR="008C39D5">
        <w:rPr>
          <w:sz w:val="24"/>
          <w:szCs w:val="24"/>
        </w:rPr>
        <w:t xml:space="preserve"> Bivariate and multivariate associations for the three types of household with the diffe</w:t>
      </w:r>
      <w:r>
        <w:rPr>
          <w:sz w:val="24"/>
          <w:szCs w:val="24"/>
        </w:rPr>
        <w:t xml:space="preserve">rent </w:t>
      </w:r>
      <w:r w:rsidR="001401C0">
        <w:rPr>
          <w:sz w:val="24"/>
          <w:szCs w:val="24"/>
        </w:rPr>
        <w:t>predictors, Egypt DHS, 2008 (N=5</w:t>
      </w:r>
      <w:r>
        <w:rPr>
          <w:sz w:val="24"/>
          <w:szCs w:val="24"/>
        </w:rPr>
        <w:t>357</w:t>
      </w:r>
      <w:r w:rsidR="008C39D5" w:rsidRPr="0048505C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1934"/>
        <w:gridCol w:w="1939"/>
        <w:gridCol w:w="1933"/>
        <w:gridCol w:w="1933"/>
        <w:gridCol w:w="1936"/>
        <w:gridCol w:w="1933"/>
      </w:tblGrid>
      <w:tr w:rsidR="008C39D5" w:rsidRPr="00955874" w:rsidTr="0018448E">
        <w:trPr>
          <w:trHeight w:hRule="exact" w:val="371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136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8C39D5" w:rsidRPr="00955874" w:rsidRDefault="002B7DEE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Stunted/non-obese</w:t>
            </w:r>
            <w:r w:rsidR="008C39D5"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 households</w:t>
            </w:r>
            <w:r w:rsidR="008C39D5"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1</w:t>
            </w:r>
          </w:p>
        </w:tc>
        <w:tc>
          <w:tcPr>
            <w:tcW w:w="136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Normal/obese households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1</w:t>
            </w:r>
          </w:p>
        </w:tc>
        <w:tc>
          <w:tcPr>
            <w:tcW w:w="1365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Stunted/obese (SCOB) households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1</w:t>
            </w:r>
          </w:p>
        </w:tc>
      </w:tr>
      <w:tr w:rsidR="008C39D5" w:rsidRPr="00955874" w:rsidTr="00CF73C7">
        <w:trPr>
          <w:trHeight w:hRule="exact" w:val="573"/>
        </w:trPr>
        <w:tc>
          <w:tcPr>
            <w:tcW w:w="9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9D5" w:rsidRPr="00955874" w:rsidRDefault="002B7DEE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sz w:val="20"/>
                <w:szCs w:val="20"/>
              </w:rPr>
              <w:t>N=5357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Unadjusted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  <w:tc>
          <w:tcPr>
            <w:tcW w:w="68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39D5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Unadjusted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01C0" w:rsidRPr="00955874" w:rsidRDefault="001401C0" w:rsidP="001401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  <w:tc>
          <w:tcPr>
            <w:tcW w:w="68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Unadjusted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  <w:tc>
          <w:tcPr>
            <w:tcW w:w="6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01C0" w:rsidRPr="00955874" w:rsidRDefault="001401C0" w:rsidP="001401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Adjusted</w:t>
            </w:r>
          </w:p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OR (95%CI)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015D8E">
              <w:rPr>
                <w:rFonts w:ascii="Arial" w:hAnsi="Arial" w:cs="Arial"/>
                <w:b/>
                <w:color w:val="000000"/>
                <w:sz w:val="19"/>
                <w:szCs w:val="19"/>
                <w:lang w:eastAsia="en-GB"/>
              </w:rPr>
              <w:t>Independent variables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</w:tr>
      <w:tr w:rsidR="0018448E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8448E" w:rsidRPr="00955874" w:rsidRDefault="0018448E" w:rsidP="00410ABB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Child given sugary snack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3" w:type="pct"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82" w:type="pct"/>
            <w:vAlign w:val="bottom"/>
          </w:tcPr>
          <w:p w:rsidR="0018448E" w:rsidRPr="00955874" w:rsidRDefault="0018448E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No (Ref)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2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center"/>
          </w:tcPr>
          <w:p w:rsidR="001401C0" w:rsidRPr="00955874" w:rsidRDefault="001401C0" w:rsidP="00410ABB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Yes</w:t>
            </w:r>
          </w:p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1.37  (1.18-1.61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4" w:type="pct"/>
            <w:shd w:val="clear" w:color="auto" w:fill="auto"/>
            <w:noWrap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1.32 (1.12-1.55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1.46  (1.25-1.70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1.33 (1.12-1.57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1.69  (1.34-2.15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1.51 (1.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7-1.94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***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center"/>
          </w:tcPr>
          <w:p w:rsidR="001401C0" w:rsidRPr="00955874" w:rsidRDefault="001401C0" w:rsidP="00410ABB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center"/>
          </w:tcPr>
          <w:p w:rsidR="001401C0" w:rsidRPr="00955874" w:rsidRDefault="001401C0" w:rsidP="00410ABB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Child given fruit/vegetables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No (Ref)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2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center"/>
          </w:tcPr>
          <w:p w:rsidR="001401C0" w:rsidRPr="00955874" w:rsidRDefault="001401C0" w:rsidP="00410ABB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Yes</w:t>
            </w:r>
          </w:p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E11B3E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1.27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 xml:space="preserve"> (1.0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8-1.50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  <w:tc>
          <w:tcPr>
            <w:tcW w:w="684" w:type="pct"/>
            <w:shd w:val="clear" w:color="auto" w:fill="auto"/>
            <w:noWrap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1.14 (0.99-1.39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 xml:space="preserve"> (0.84-1.18)</w:t>
            </w: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0.79 (0.66-0.96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410AB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1.07 (0.83-1.41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0.76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 xml:space="preserve"> (0.57-0.97)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</w:tr>
      <w:tr w:rsidR="001401C0" w:rsidRPr="00955874" w:rsidTr="00CE3E21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CE3E21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CE3E2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CE3E2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CE3E21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DF7D98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015D8E" w:rsidRDefault="001401C0" w:rsidP="00DF7D98">
            <w:pPr>
              <w:rPr>
                <w:rFonts w:ascii="Arial" w:hAnsi="Arial" w:cs="Arial"/>
                <w:b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Default="001401C0" w:rsidP="00BF4F4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</w:tr>
      <w:tr w:rsidR="001401C0" w:rsidRPr="00955874" w:rsidTr="00DF7D98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DF7D98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015D8E">
              <w:rPr>
                <w:rFonts w:ascii="Arial" w:hAnsi="Arial" w:cs="Arial"/>
                <w:b/>
                <w:color w:val="000000"/>
                <w:sz w:val="19"/>
                <w:szCs w:val="19"/>
                <w:lang w:eastAsia="en-GB"/>
              </w:rPr>
              <w:t>Confounders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Default="001401C0" w:rsidP="00BF4F4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015D8E" w:rsidRDefault="001401C0" w:rsidP="007B24D2">
            <w:pPr>
              <w:jc w:val="center"/>
              <w:rPr>
                <w:rFonts w:ascii="Arial" w:hAnsi="Arial" w:cs="Arial"/>
                <w:b/>
                <w:color w:val="000000"/>
                <w:sz w:val="19"/>
                <w:szCs w:val="19"/>
              </w:rPr>
            </w:pPr>
          </w:p>
        </w:tc>
      </w:tr>
      <w:tr w:rsidR="001401C0" w:rsidRPr="00955874" w:rsidTr="00DF7D98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DF7D98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Child's age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1.01  (0.99-1.03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1.02 (1.00-1.05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1.08  (1.07-1.10)***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1.05 (1.03-1.08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BF4F4B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1.02 (0.98-1.06)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1.00 (1.00-1.01)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0334C0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0734B4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Child </w:t>
            </w: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ever 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breastfed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 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0734B4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No (Ref)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 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1</w:t>
            </w:r>
          </w:p>
        </w:tc>
      </w:tr>
      <w:tr w:rsidR="001401C0" w:rsidRPr="00955874" w:rsidTr="000734B4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1.15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 xml:space="preserve">  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(0.88-1.3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4)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0.79 (0.69-1.11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6A300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0.88  (0.61-1.18)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0.83 (0.56-1.22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0.84  (0.47-1.51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0.84 (0.64-1.11)</w:t>
            </w:r>
          </w:p>
        </w:tc>
      </w:tr>
      <w:tr w:rsidR="001401C0" w:rsidRPr="00955874" w:rsidTr="0097103D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Default="001401C0" w:rsidP="0097103D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97103D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97103D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Maternal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 age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1.01  (0.99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-1.01)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0.99 (0.98-1.00)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1.09  (1.07-1.10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 (1.02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-1.07)*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97103D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1.09  (1.07-1.12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1.08 (1.04-1.16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</w:tcPr>
          <w:p w:rsidR="001401C0" w:rsidRPr="00955874" w:rsidRDefault="001401C0" w:rsidP="000334C0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0334C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Maternal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 xml:space="preserve"> education</w:t>
            </w:r>
          </w:p>
        </w:tc>
        <w:tc>
          <w:tcPr>
            <w:tcW w:w="68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1401C0" w:rsidRPr="00955874" w:rsidRDefault="001401C0" w:rsidP="0085108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0.85  (0.71-0.92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4" w:type="pct"/>
            <w:tcBorders>
              <w:top w:val="nil"/>
            </w:tcBorders>
            <w:shd w:val="clear" w:color="auto" w:fill="auto"/>
            <w:noWrap/>
            <w:vAlign w:val="bottom"/>
            <w:hideMark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0.95 (0.89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-0.9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8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</w:p>
        </w:tc>
        <w:tc>
          <w:tcPr>
            <w:tcW w:w="682" w:type="pct"/>
            <w:tcBorders>
              <w:top w:val="nil"/>
            </w:tcBorders>
            <w:vAlign w:val="bottom"/>
          </w:tcPr>
          <w:p w:rsidR="001401C0" w:rsidRPr="00955874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1.17  (1.04-1.31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tcBorders>
              <w:top w:val="nil"/>
            </w:tcBorders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0.98 (0.92-1.05)</w:t>
            </w:r>
          </w:p>
        </w:tc>
        <w:tc>
          <w:tcPr>
            <w:tcW w:w="683" w:type="pct"/>
            <w:tcBorders>
              <w:top w:val="nil"/>
            </w:tcBorders>
            <w:vAlign w:val="bottom"/>
          </w:tcPr>
          <w:p w:rsidR="001401C0" w:rsidRPr="00955874" w:rsidRDefault="001401C0" w:rsidP="00FE5F95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1.29  (1.08-1.55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*</w:t>
            </w:r>
          </w:p>
        </w:tc>
        <w:tc>
          <w:tcPr>
            <w:tcW w:w="682" w:type="pct"/>
            <w:tcBorders>
              <w:top w:val="nil"/>
            </w:tcBorders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1.02 (0.80-1.27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</w:tr>
      <w:tr w:rsidR="001401C0" w:rsidRPr="00955874" w:rsidTr="00B56D3A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B56D3A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B56D3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B56D3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B56D3A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Household wealth</w:t>
            </w: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0.90  (0.87-0.9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8)*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0.93 (0.89-0.97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1.27  (1.20-1.34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1.32 (1.22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-1.42)*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1.31  (1.21-1.43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1.38 (1.23-1.56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Area of residence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Urban (Ref)</w:t>
            </w:r>
            <w:bookmarkStart w:id="1" w:name="OLE_LINK1"/>
            <w:r w:rsidRPr="00955874">
              <w:rPr>
                <w:rFonts w:ascii="Arial" w:hAnsi="Arial" w:cs="Arial"/>
                <w:color w:val="000000"/>
                <w:sz w:val="19"/>
                <w:szCs w:val="19"/>
                <w:vertAlign w:val="superscript"/>
                <w:lang w:eastAsia="en-GB"/>
              </w:rPr>
              <w:t>2</w:t>
            </w:r>
            <w:bookmarkEnd w:id="1"/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</w:t>
            </w:r>
          </w:p>
        </w:tc>
      </w:tr>
      <w:tr w:rsidR="001401C0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1401C0" w:rsidRPr="00955874" w:rsidRDefault="001401C0" w:rsidP="00F97CDC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  <w:t>Rural</w:t>
            </w: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1401C0" w:rsidRPr="00955874" w:rsidRDefault="001401C0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1.16  (1.07-1.2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6)*</w:t>
            </w: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1.09 (1.01-1.1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2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87121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0.66  (0.56-0.77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0.89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 xml:space="preserve"> (0.8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3-0.96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</w:p>
        </w:tc>
        <w:tc>
          <w:tcPr>
            <w:tcW w:w="683" w:type="pct"/>
            <w:vAlign w:val="bottom"/>
          </w:tcPr>
          <w:p w:rsidR="001401C0" w:rsidRPr="00955874" w:rsidRDefault="001401C0" w:rsidP="00871210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0.76  (0.60-0.97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)*</w:t>
            </w:r>
            <w:r>
              <w:rPr>
                <w:rFonts w:ascii="Arial" w:hAnsi="Arial" w:cs="Arial"/>
                <w:color w:val="000000"/>
                <w:sz w:val="19"/>
                <w:szCs w:val="19"/>
              </w:rPr>
              <w:t>**</w:t>
            </w:r>
          </w:p>
        </w:tc>
        <w:tc>
          <w:tcPr>
            <w:tcW w:w="682" w:type="pct"/>
            <w:vAlign w:val="bottom"/>
          </w:tcPr>
          <w:p w:rsidR="001401C0" w:rsidRPr="00955874" w:rsidRDefault="001401C0" w:rsidP="007B24D2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19"/>
                <w:szCs w:val="19"/>
              </w:rPr>
              <w:t>0.95 (0.83-1.25</w:t>
            </w:r>
            <w:r w:rsidRPr="00955874">
              <w:rPr>
                <w:rFonts w:ascii="Arial" w:hAnsi="Arial" w:cs="Arial"/>
                <w:color w:val="000000"/>
                <w:sz w:val="19"/>
                <w:szCs w:val="19"/>
              </w:rPr>
              <w:t>)</w:t>
            </w:r>
          </w:p>
        </w:tc>
      </w:tr>
      <w:tr w:rsidR="008C39D5" w:rsidRPr="00955874" w:rsidTr="00CF73C7">
        <w:trPr>
          <w:trHeight w:hRule="exact" w:val="227"/>
        </w:trPr>
        <w:tc>
          <w:tcPr>
            <w:tcW w:w="905" w:type="pct"/>
            <w:shd w:val="clear" w:color="auto" w:fill="auto"/>
            <w:noWrap/>
            <w:vAlign w:val="bottom"/>
            <w:hideMark/>
          </w:tcPr>
          <w:p w:rsidR="008C39D5" w:rsidRPr="00955874" w:rsidRDefault="008C39D5" w:rsidP="00F97CDC">
            <w:pPr>
              <w:jc w:val="right"/>
              <w:rPr>
                <w:rFonts w:ascii="Arial" w:hAnsi="Arial" w:cs="Arial"/>
                <w:color w:val="000000"/>
                <w:sz w:val="19"/>
                <w:szCs w:val="19"/>
                <w:lang w:eastAsia="en-GB"/>
              </w:rPr>
            </w:pPr>
          </w:p>
        </w:tc>
        <w:tc>
          <w:tcPr>
            <w:tcW w:w="682" w:type="pct"/>
            <w:shd w:val="clear" w:color="auto" w:fill="auto"/>
            <w:noWrap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4" w:type="pct"/>
            <w:shd w:val="clear" w:color="auto" w:fill="auto"/>
            <w:noWrap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3" w:type="pct"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  <w:tc>
          <w:tcPr>
            <w:tcW w:w="682" w:type="pct"/>
            <w:vAlign w:val="bottom"/>
          </w:tcPr>
          <w:p w:rsidR="008C39D5" w:rsidRPr="00955874" w:rsidRDefault="008C39D5" w:rsidP="00F97CDC">
            <w:pPr>
              <w:jc w:val="center"/>
              <w:rPr>
                <w:rFonts w:ascii="Arial" w:hAnsi="Arial" w:cs="Arial"/>
                <w:color w:val="000000"/>
                <w:sz w:val="19"/>
                <w:szCs w:val="19"/>
              </w:rPr>
            </w:pPr>
          </w:p>
        </w:tc>
      </w:tr>
    </w:tbl>
    <w:p w:rsidR="008C39D5" w:rsidRPr="00955874" w:rsidRDefault="008C39D5" w:rsidP="008C39D5">
      <w:pPr>
        <w:rPr>
          <w:sz w:val="20"/>
          <w:szCs w:val="20"/>
        </w:rPr>
      </w:pPr>
      <w:r w:rsidRPr="00955874">
        <w:rPr>
          <w:sz w:val="20"/>
          <w:szCs w:val="20"/>
          <w:vertAlign w:val="superscript"/>
        </w:rPr>
        <w:t xml:space="preserve">1 </w:t>
      </w:r>
      <w:r w:rsidRPr="00955874">
        <w:rPr>
          <w:sz w:val="20"/>
          <w:szCs w:val="20"/>
        </w:rPr>
        <w:t xml:space="preserve">Estimates from </w:t>
      </w:r>
      <w:r w:rsidR="001401C0">
        <w:rPr>
          <w:sz w:val="20"/>
          <w:szCs w:val="20"/>
        </w:rPr>
        <w:t xml:space="preserve">the </w:t>
      </w:r>
      <w:r w:rsidRPr="00955874">
        <w:rPr>
          <w:sz w:val="20"/>
          <w:szCs w:val="20"/>
        </w:rPr>
        <w:t>multinomial logistic regression using normal/normal households as the baseline category</w:t>
      </w:r>
    </w:p>
    <w:p w:rsidR="008C39D5" w:rsidRPr="00955874" w:rsidRDefault="008C39D5" w:rsidP="008C39D5">
      <w:pPr>
        <w:rPr>
          <w:sz w:val="20"/>
          <w:szCs w:val="20"/>
        </w:rPr>
      </w:pPr>
      <w:r w:rsidRPr="00955874">
        <w:rPr>
          <w:sz w:val="20"/>
          <w:szCs w:val="20"/>
          <w:vertAlign w:val="superscript"/>
        </w:rPr>
        <w:t xml:space="preserve">2 </w:t>
      </w:r>
      <w:r w:rsidRPr="00955874">
        <w:rPr>
          <w:sz w:val="20"/>
          <w:szCs w:val="20"/>
        </w:rPr>
        <w:t xml:space="preserve">Ref = reference category </w:t>
      </w:r>
    </w:p>
    <w:p w:rsidR="000D7AFB" w:rsidRDefault="008C39D5" w:rsidP="008C39D5">
      <w:r w:rsidRPr="007C632E">
        <w:rPr>
          <w:i/>
          <w:sz w:val="20"/>
          <w:szCs w:val="20"/>
        </w:rPr>
        <w:t>*P</w:t>
      </w:r>
      <w:r w:rsidRPr="007C632E">
        <w:rPr>
          <w:sz w:val="20"/>
          <w:szCs w:val="20"/>
        </w:rPr>
        <w:t xml:space="preserve"> &lt;0.05; **</w:t>
      </w:r>
      <w:r>
        <w:rPr>
          <w:i/>
          <w:sz w:val="20"/>
          <w:szCs w:val="20"/>
        </w:rPr>
        <w:t>P</w:t>
      </w:r>
      <w:r w:rsidR="001401C0">
        <w:rPr>
          <w:sz w:val="20"/>
          <w:szCs w:val="20"/>
        </w:rPr>
        <w:t>&lt;0.01; **</w:t>
      </w: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P&lt;0.001</w:t>
      </w:r>
    </w:p>
    <w:sectPr w:rsidR="000D7AFB" w:rsidSect="008C39D5">
      <w:pgSz w:w="16838" w:h="11906" w:orient="landscape"/>
      <w:pgMar w:top="680" w:right="1440" w:bottom="6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9D5"/>
    <w:rsid w:val="000734B4"/>
    <w:rsid w:val="000D7AFB"/>
    <w:rsid w:val="001401C0"/>
    <w:rsid w:val="00153216"/>
    <w:rsid w:val="0018448E"/>
    <w:rsid w:val="00216372"/>
    <w:rsid w:val="00255277"/>
    <w:rsid w:val="00297804"/>
    <w:rsid w:val="002B7DEE"/>
    <w:rsid w:val="0039392B"/>
    <w:rsid w:val="005B416E"/>
    <w:rsid w:val="006C4292"/>
    <w:rsid w:val="0085108A"/>
    <w:rsid w:val="00871210"/>
    <w:rsid w:val="008918B1"/>
    <w:rsid w:val="008C39D5"/>
    <w:rsid w:val="009B6215"/>
    <w:rsid w:val="00BF4F4B"/>
    <w:rsid w:val="00CF73C7"/>
    <w:rsid w:val="00E11B3E"/>
    <w:rsid w:val="00F13116"/>
    <w:rsid w:val="00F9007D"/>
    <w:rsid w:val="00FE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D5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D5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</dc:creator>
  <cp:lastModifiedBy>Amina</cp:lastModifiedBy>
  <cp:revision>2</cp:revision>
  <dcterms:created xsi:type="dcterms:W3CDTF">2014-10-05T12:40:00Z</dcterms:created>
  <dcterms:modified xsi:type="dcterms:W3CDTF">2014-10-05T12:40:00Z</dcterms:modified>
</cp:coreProperties>
</file>