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5FD04" w14:textId="6AD74911" w:rsidR="000F41D3" w:rsidRDefault="00FF089F" w:rsidP="000F41D3">
      <w:r>
        <w:rPr>
          <w:b/>
        </w:rPr>
        <w:t xml:space="preserve">Supplementary </w:t>
      </w:r>
      <w:r w:rsidR="000F41D3">
        <w:rPr>
          <w:b/>
        </w:rPr>
        <w:t xml:space="preserve">Table </w:t>
      </w:r>
      <w:r>
        <w:rPr>
          <w:b/>
        </w:rPr>
        <w:t>4</w:t>
      </w:r>
      <w:r w:rsidR="000F41D3">
        <w:t xml:space="preserve"> Candidate drug predicted blood-brain barrier penetrance properties</w:t>
      </w:r>
    </w:p>
    <w:p w14:paraId="5F08704C" w14:textId="77777777" w:rsidR="000F41D3" w:rsidRDefault="000F41D3" w:rsidP="000F41D3"/>
    <w:tbl>
      <w:tblPr>
        <w:tblStyle w:val="TableGrid"/>
        <w:tblW w:w="0" w:type="auto"/>
        <w:jc w:val="center"/>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701"/>
        <w:gridCol w:w="2127"/>
        <w:gridCol w:w="1701"/>
        <w:gridCol w:w="1759"/>
        <w:gridCol w:w="2518"/>
      </w:tblGrid>
      <w:tr w:rsidR="000F41D3" w:rsidRPr="00D4469B" w14:paraId="30B866BA" w14:textId="77777777" w:rsidTr="008F53E1">
        <w:trPr>
          <w:jc w:val="center"/>
        </w:trPr>
        <w:tc>
          <w:tcPr>
            <w:tcW w:w="1701" w:type="dxa"/>
            <w:tcBorders>
              <w:top w:val="single" w:sz="8" w:space="0" w:color="auto"/>
              <w:bottom w:val="single" w:sz="4" w:space="0" w:color="auto"/>
            </w:tcBorders>
            <w:shd w:val="clear" w:color="auto" w:fill="auto"/>
            <w:vAlign w:val="center"/>
          </w:tcPr>
          <w:p w14:paraId="61C8F889" w14:textId="77777777" w:rsidR="000F41D3" w:rsidRPr="00D4469B" w:rsidRDefault="000F41D3" w:rsidP="008F53E1">
            <w:pPr>
              <w:autoSpaceDE w:val="0"/>
              <w:autoSpaceDN w:val="0"/>
              <w:adjustRightInd w:val="0"/>
              <w:snapToGrid w:val="0"/>
              <w:jc w:val="center"/>
              <w:rPr>
                <w:rFonts w:cstheme="minorHAnsi"/>
                <w:b/>
              </w:rPr>
            </w:pPr>
            <w:r w:rsidRPr="00D4469B">
              <w:rPr>
                <w:rFonts w:cstheme="minorHAnsi"/>
                <w:b/>
              </w:rPr>
              <w:t>Drug Name</w:t>
            </w:r>
          </w:p>
        </w:tc>
        <w:tc>
          <w:tcPr>
            <w:tcW w:w="2127" w:type="dxa"/>
            <w:tcBorders>
              <w:top w:val="single" w:sz="8" w:space="0" w:color="auto"/>
              <w:bottom w:val="single" w:sz="4" w:space="0" w:color="auto"/>
            </w:tcBorders>
            <w:shd w:val="clear" w:color="auto" w:fill="auto"/>
            <w:vAlign w:val="center"/>
          </w:tcPr>
          <w:p w14:paraId="75F3934E" w14:textId="77777777" w:rsidR="000F41D3" w:rsidRPr="00D4469B" w:rsidRDefault="000F41D3" w:rsidP="008F53E1">
            <w:pPr>
              <w:autoSpaceDE w:val="0"/>
              <w:autoSpaceDN w:val="0"/>
              <w:adjustRightInd w:val="0"/>
              <w:snapToGrid w:val="0"/>
              <w:jc w:val="center"/>
              <w:rPr>
                <w:rFonts w:cstheme="minorHAnsi"/>
                <w:b/>
              </w:rPr>
            </w:pPr>
            <w:r w:rsidRPr="00D4469B">
              <w:rPr>
                <w:rFonts w:cstheme="minorHAnsi"/>
                <w:b/>
              </w:rPr>
              <w:t>Water Solubility</w:t>
            </w:r>
          </w:p>
          <w:p w14:paraId="1C671AFD" w14:textId="77777777" w:rsidR="000F41D3" w:rsidRPr="00D4469B" w:rsidRDefault="000F41D3" w:rsidP="008F53E1">
            <w:pPr>
              <w:autoSpaceDE w:val="0"/>
              <w:autoSpaceDN w:val="0"/>
              <w:adjustRightInd w:val="0"/>
              <w:snapToGrid w:val="0"/>
              <w:jc w:val="center"/>
              <w:rPr>
                <w:rFonts w:cstheme="minorHAnsi"/>
                <w:b/>
              </w:rPr>
            </w:pPr>
            <w:r w:rsidRPr="00D4469B">
              <w:rPr>
                <w:rFonts w:cstheme="minorHAnsi"/>
                <w:b/>
              </w:rPr>
              <w:t>ALOGPS</w:t>
            </w:r>
          </w:p>
          <w:p w14:paraId="3A8314EE" w14:textId="77777777" w:rsidR="000F41D3" w:rsidRPr="00D4469B" w:rsidRDefault="000F41D3" w:rsidP="008F53E1">
            <w:pPr>
              <w:autoSpaceDE w:val="0"/>
              <w:autoSpaceDN w:val="0"/>
              <w:adjustRightInd w:val="0"/>
              <w:snapToGrid w:val="0"/>
              <w:jc w:val="center"/>
              <w:rPr>
                <w:rFonts w:cstheme="minorHAnsi"/>
                <w:b/>
              </w:rPr>
            </w:pPr>
            <w:r w:rsidRPr="00D4469B">
              <w:rPr>
                <w:rFonts w:cstheme="minorHAnsi"/>
                <w:b/>
              </w:rPr>
              <w:t>(mg/mL)</w:t>
            </w:r>
          </w:p>
        </w:tc>
        <w:tc>
          <w:tcPr>
            <w:tcW w:w="1701" w:type="dxa"/>
            <w:tcBorders>
              <w:top w:val="single" w:sz="8" w:space="0" w:color="auto"/>
              <w:bottom w:val="single" w:sz="4" w:space="0" w:color="auto"/>
            </w:tcBorders>
            <w:shd w:val="clear" w:color="auto" w:fill="auto"/>
            <w:vAlign w:val="center"/>
          </w:tcPr>
          <w:p w14:paraId="51C6D111" w14:textId="77777777" w:rsidR="000F41D3" w:rsidRPr="00D4469B" w:rsidRDefault="000F41D3" w:rsidP="008F53E1">
            <w:pPr>
              <w:autoSpaceDE w:val="0"/>
              <w:autoSpaceDN w:val="0"/>
              <w:adjustRightInd w:val="0"/>
              <w:snapToGrid w:val="0"/>
              <w:jc w:val="center"/>
              <w:rPr>
                <w:rFonts w:cstheme="minorHAnsi"/>
                <w:b/>
              </w:rPr>
            </w:pPr>
            <w:r w:rsidRPr="00D4469B">
              <w:rPr>
                <w:rFonts w:cstheme="minorHAnsi"/>
                <w:b/>
              </w:rPr>
              <w:t>logP</w:t>
            </w:r>
          </w:p>
          <w:p w14:paraId="534F5483" w14:textId="77777777" w:rsidR="000F41D3" w:rsidRPr="00D4469B" w:rsidRDefault="000F41D3" w:rsidP="008F53E1">
            <w:pPr>
              <w:autoSpaceDE w:val="0"/>
              <w:autoSpaceDN w:val="0"/>
              <w:adjustRightInd w:val="0"/>
              <w:snapToGrid w:val="0"/>
              <w:jc w:val="center"/>
              <w:rPr>
                <w:rFonts w:cstheme="minorHAnsi"/>
                <w:b/>
              </w:rPr>
            </w:pPr>
            <w:r w:rsidRPr="00D4469B">
              <w:rPr>
                <w:rFonts w:cstheme="minorHAnsi"/>
                <w:b/>
              </w:rPr>
              <w:t>ALOGPS</w:t>
            </w:r>
          </w:p>
        </w:tc>
        <w:tc>
          <w:tcPr>
            <w:tcW w:w="1759" w:type="dxa"/>
            <w:tcBorders>
              <w:top w:val="single" w:sz="8" w:space="0" w:color="auto"/>
              <w:bottom w:val="single" w:sz="4" w:space="0" w:color="auto"/>
            </w:tcBorders>
            <w:shd w:val="clear" w:color="auto" w:fill="auto"/>
            <w:vAlign w:val="center"/>
          </w:tcPr>
          <w:p w14:paraId="256A0F8A" w14:textId="77777777" w:rsidR="000F41D3" w:rsidRPr="00D4469B" w:rsidRDefault="000F41D3" w:rsidP="008F53E1">
            <w:pPr>
              <w:autoSpaceDE w:val="0"/>
              <w:autoSpaceDN w:val="0"/>
              <w:adjustRightInd w:val="0"/>
              <w:snapToGrid w:val="0"/>
              <w:jc w:val="center"/>
              <w:rPr>
                <w:rFonts w:cstheme="minorHAnsi"/>
                <w:b/>
              </w:rPr>
            </w:pPr>
            <w:r w:rsidRPr="00D4469B">
              <w:rPr>
                <w:rFonts w:cstheme="minorHAnsi"/>
                <w:b/>
              </w:rPr>
              <w:t>logS</w:t>
            </w:r>
          </w:p>
          <w:p w14:paraId="70E2F4D3" w14:textId="77777777" w:rsidR="000F41D3" w:rsidRPr="00D4469B" w:rsidRDefault="000F41D3" w:rsidP="008F53E1">
            <w:pPr>
              <w:autoSpaceDE w:val="0"/>
              <w:autoSpaceDN w:val="0"/>
              <w:adjustRightInd w:val="0"/>
              <w:snapToGrid w:val="0"/>
              <w:jc w:val="center"/>
              <w:rPr>
                <w:rFonts w:cstheme="minorHAnsi"/>
                <w:b/>
              </w:rPr>
            </w:pPr>
            <w:r w:rsidRPr="00D4469B">
              <w:rPr>
                <w:rFonts w:cstheme="minorHAnsi"/>
                <w:b/>
              </w:rPr>
              <w:t>ALOGPS</w:t>
            </w:r>
          </w:p>
        </w:tc>
        <w:tc>
          <w:tcPr>
            <w:tcW w:w="0" w:type="auto"/>
            <w:tcBorders>
              <w:top w:val="single" w:sz="8" w:space="0" w:color="auto"/>
              <w:bottom w:val="single" w:sz="4" w:space="0" w:color="auto"/>
            </w:tcBorders>
            <w:shd w:val="clear" w:color="auto" w:fill="auto"/>
            <w:vAlign w:val="center"/>
          </w:tcPr>
          <w:p w14:paraId="4DD73EBC" w14:textId="77777777" w:rsidR="000F41D3" w:rsidRPr="00D4469B" w:rsidRDefault="000F41D3" w:rsidP="008F53E1">
            <w:pPr>
              <w:autoSpaceDE w:val="0"/>
              <w:autoSpaceDN w:val="0"/>
              <w:adjustRightInd w:val="0"/>
              <w:snapToGrid w:val="0"/>
              <w:jc w:val="center"/>
              <w:rPr>
                <w:rFonts w:cstheme="minorHAnsi"/>
                <w:b/>
              </w:rPr>
            </w:pPr>
            <w:r w:rsidRPr="00D4469B">
              <w:rPr>
                <w:rFonts w:cstheme="minorHAnsi"/>
                <w:b/>
              </w:rPr>
              <w:t>ADMET</w:t>
            </w:r>
          </w:p>
          <w:p w14:paraId="558E8458" w14:textId="77777777" w:rsidR="000F41D3" w:rsidRDefault="000F41D3" w:rsidP="008F53E1">
            <w:pPr>
              <w:autoSpaceDE w:val="0"/>
              <w:autoSpaceDN w:val="0"/>
              <w:adjustRightInd w:val="0"/>
              <w:snapToGrid w:val="0"/>
              <w:jc w:val="center"/>
              <w:rPr>
                <w:rFonts w:cstheme="minorHAnsi"/>
                <w:b/>
              </w:rPr>
            </w:pPr>
            <w:r w:rsidRPr="00D4469B">
              <w:rPr>
                <w:rFonts w:cstheme="minorHAnsi"/>
                <w:b/>
              </w:rPr>
              <w:t xml:space="preserve">Blood Brain Barrier (BBB) </w:t>
            </w:r>
          </w:p>
          <w:p w14:paraId="5777F9D6" w14:textId="77777777" w:rsidR="000F41D3" w:rsidRPr="00D4469B" w:rsidRDefault="000F41D3" w:rsidP="008F53E1">
            <w:pPr>
              <w:autoSpaceDE w:val="0"/>
              <w:autoSpaceDN w:val="0"/>
              <w:adjustRightInd w:val="0"/>
              <w:snapToGrid w:val="0"/>
              <w:jc w:val="center"/>
              <w:rPr>
                <w:rFonts w:cstheme="minorHAnsi"/>
                <w:b/>
              </w:rPr>
            </w:pPr>
            <w:r w:rsidRPr="00D4469B">
              <w:rPr>
                <w:rFonts w:cstheme="minorHAnsi"/>
                <w:b/>
              </w:rPr>
              <w:t>Penetration Level</w:t>
            </w:r>
          </w:p>
        </w:tc>
      </w:tr>
      <w:tr w:rsidR="000F41D3" w:rsidRPr="00D4469B" w14:paraId="14199F6B" w14:textId="77777777" w:rsidTr="008F53E1">
        <w:trPr>
          <w:jc w:val="center"/>
        </w:trPr>
        <w:tc>
          <w:tcPr>
            <w:tcW w:w="1701" w:type="dxa"/>
            <w:tcBorders>
              <w:top w:val="single" w:sz="4" w:space="0" w:color="auto"/>
            </w:tcBorders>
            <w:shd w:val="clear" w:color="auto" w:fill="auto"/>
            <w:vAlign w:val="center"/>
          </w:tcPr>
          <w:p w14:paraId="2D49BB33"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Bortezomib</w:t>
            </w:r>
          </w:p>
        </w:tc>
        <w:tc>
          <w:tcPr>
            <w:tcW w:w="2127" w:type="dxa"/>
            <w:tcBorders>
              <w:top w:val="single" w:sz="4" w:space="0" w:color="auto"/>
            </w:tcBorders>
            <w:shd w:val="clear" w:color="auto" w:fill="auto"/>
            <w:vAlign w:val="center"/>
          </w:tcPr>
          <w:p w14:paraId="009F4DE7"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0.0532</w:t>
            </w:r>
          </w:p>
        </w:tc>
        <w:tc>
          <w:tcPr>
            <w:tcW w:w="1701" w:type="dxa"/>
            <w:tcBorders>
              <w:top w:val="single" w:sz="4" w:space="0" w:color="auto"/>
            </w:tcBorders>
            <w:shd w:val="clear" w:color="auto" w:fill="auto"/>
            <w:vAlign w:val="center"/>
          </w:tcPr>
          <w:p w14:paraId="7A7C3722"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0.89</w:t>
            </w:r>
          </w:p>
        </w:tc>
        <w:tc>
          <w:tcPr>
            <w:tcW w:w="1759" w:type="dxa"/>
            <w:tcBorders>
              <w:top w:val="single" w:sz="4" w:space="0" w:color="auto"/>
            </w:tcBorders>
            <w:shd w:val="clear" w:color="auto" w:fill="auto"/>
            <w:vAlign w:val="center"/>
          </w:tcPr>
          <w:p w14:paraId="0A5C179B"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-3.9</w:t>
            </w:r>
          </w:p>
        </w:tc>
        <w:tc>
          <w:tcPr>
            <w:tcW w:w="0" w:type="auto"/>
            <w:tcBorders>
              <w:top w:val="single" w:sz="4" w:space="0" w:color="auto"/>
            </w:tcBorders>
            <w:shd w:val="clear" w:color="auto" w:fill="auto"/>
            <w:vAlign w:val="center"/>
          </w:tcPr>
          <w:p w14:paraId="0A0244E4"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 / 0.6533</w:t>
            </w:r>
          </w:p>
        </w:tc>
      </w:tr>
      <w:tr w:rsidR="000F41D3" w:rsidRPr="00D4469B" w14:paraId="36E70CE5" w14:textId="77777777" w:rsidTr="008F53E1">
        <w:trPr>
          <w:jc w:val="center"/>
        </w:trPr>
        <w:tc>
          <w:tcPr>
            <w:tcW w:w="1701" w:type="dxa"/>
            <w:shd w:val="clear" w:color="auto" w:fill="auto"/>
            <w:vAlign w:val="center"/>
          </w:tcPr>
          <w:p w14:paraId="36059560"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Everolimus</w:t>
            </w:r>
          </w:p>
        </w:tc>
        <w:tc>
          <w:tcPr>
            <w:tcW w:w="2127" w:type="dxa"/>
            <w:shd w:val="clear" w:color="auto" w:fill="auto"/>
            <w:vAlign w:val="center"/>
          </w:tcPr>
          <w:p w14:paraId="0F4064FC"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0.00163</w:t>
            </w:r>
          </w:p>
        </w:tc>
        <w:tc>
          <w:tcPr>
            <w:tcW w:w="1701" w:type="dxa"/>
            <w:shd w:val="clear" w:color="auto" w:fill="auto"/>
            <w:vAlign w:val="center"/>
          </w:tcPr>
          <w:p w14:paraId="346EDA9C"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5.01</w:t>
            </w:r>
          </w:p>
        </w:tc>
        <w:tc>
          <w:tcPr>
            <w:tcW w:w="1759" w:type="dxa"/>
            <w:shd w:val="clear" w:color="auto" w:fill="auto"/>
            <w:vAlign w:val="center"/>
          </w:tcPr>
          <w:p w14:paraId="1BC55BF4"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-5.8</w:t>
            </w:r>
          </w:p>
        </w:tc>
        <w:tc>
          <w:tcPr>
            <w:tcW w:w="0" w:type="auto"/>
            <w:shd w:val="clear" w:color="auto" w:fill="auto"/>
            <w:vAlign w:val="center"/>
          </w:tcPr>
          <w:p w14:paraId="7D656BD7"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 / 0.9541</w:t>
            </w:r>
          </w:p>
        </w:tc>
      </w:tr>
      <w:tr w:rsidR="000F41D3" w:rsidRPr="00D4469B" w14:paraId="071B297F" w14:textId="77777777" w:rsidTr="008F53E1">
        <w:trPr>
          <w:jc w:val="center"/>
        </w:trPr>
        <w:tc>
          <w:tcPr>
            <w:tcW w:w="1701" w:type="dxa"/>
            <w:shd w:val="clear" w:color="auto" w:fill="auto"/>
            <w:vAlign w:val="center"/>
          </w:tcPr>
          <w:p w14:paraId="58E67559"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Fludarabine</w:t>
            </w:r>
          </w:p>
        </w:tc>
        <w:tc>
          <w:tcPr>
            <w:tcW w:w="2127" w:type="dxa"/>
            <w:shd w:val="clear" w:color="auto" w:fill="auto"/>
            <w:vAlign w:val="center"/>
          </w:tcPr>
          <w:p w14:paraId="1C30AE1A"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12.1</w:t>
            </w:r>
          </w:p>
        </w:tc>
        <w:tc>
          <w:tcPr>
            <w:tcW w:w="1701" w:type="dxa"/>
            <w:shd w:val="clear" w:color="auto" w:fill="auto"/>
            <w:vAlign w:val="center"/>
          </w:tcPr>
          <w:p w14:paraId="1293DBF6"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-0.62</w:t>
            </w:r>
          </w:p>
        </w:tc>
        <w:tc>
          <w:tcPr>
            <w:tcW w:w="1759" w:type="dxa"/>
            <w:shd w:val="clear" w:color="auto" w:fill="auto"/>
            <w:vAlign w:val="center"/>
          </w:tcPr>
          <w:p w14:paraId="4D6A2EE7"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-1.4</w:t>
            </w:r>
          </w:p>
        </w:tc>
        <w:tc>
          <w:tcPr>
            <w:tcW w:w="0" w:type="auto"/>
            <w:shd w:val="clear" w:color="auto" w:fill="auto"/>
            <w:vAlign w:val="center"/>
          </w:tcPr>
          <w:p w14:paraId="7D963925" w14:textId="77777777" w:rsidR="000F41D3" w:rsidRPr="00D4469B" w:rsidRDefault="000F41D3" w:rsidP="008F53E1">
            <w:pPr>
              <w:autoSpaceDE w:val="0"/>
              <w:autoSpaceDN w:val="0"/>
              <w:adjustRightInd w:val="0"/>
              <w:snapToGrid w:val="0"/>
              <w:jc w:val="center"/>
              <w:rPr>
                <w:rFonts w:cstheme="minorHAnsi"/>
              </w:rPr>
            </w:pPr>
            <w:r w:rsidRPr="00D4469B">
              <w:rPr>
                <w:rFonts w:cstheme="minorHAnsi"/>
              </w:rPr>
              <w:t>+ / 0.9233</w:t>
            </w:r>
          </w:p>
        </w:tc>
      </w:tr>
    </w:tbl>
    <w:p w14:paraId="381393BA" w14:textId="77777777" w:rsidR="000F41D3" w:rsidRDefault="000F41D3" w:rsidP="000F41D3">
      <w:r w:rsidRPr="00D4469B">
        <w:t xml:space="preserve">Candidate drug predicted blood–brain barrier penetrance properties. We examined information on the three candidate drugs, </w:t>
      </w:r>
      <w:r>
        <w:t>bortezomib, everolimus and fludarabine</w:t>
      </w:r>
      <w:r w:rsidRPr="00D4469B">
        <w:t xml:space="preserve"> present in the online database, ‘DrugBank’(go.drugbank.com). DrugBank is a knowledge base consisting of clinical information such as side effects, drug interactions, and molecular-level data including chemical structures, predicted properties, and protein interactions. Based on their chemical structures, the table lists the predicted water solubility (as determined by ALOGPS) and the predicted blood–brain barrier penetrance (as determined by ADMET - Absorption, Distribution, Metabolism, Elimination, Toxicity), as extracted from the DrugBank database. A ‘+’ ADMET value indicates a ‘yes’ for the predicted property of blood–brain barrier penetrance. As defined by the predicted ADMET features in DrugBank, the blood–brain barrier penetrance values of </w:t>
      </w:r>
      <w:r>
        <w:t>0.6533, 0.9541 and 0.9233</w:t>
      </w:r>
      <w:r w:rsidRPr="00D4469B">
        <w:t xml:space="preserve"> indicate that there is a </w:t>
      </w:r>
      <w:r>
        <w:t>65.33%, 95.41% and 92.33%</w:t>
      </w:r>
      <w:r w:rsidRPr="00D4469B">
        <w:t xml:space="preserve"> probability that </w:t>
      </w:r>
      <w:r>
        <w:t>bortezomib, everolimus and fludarabine</w:t>
      </w:r>
      <w:r w:rsidRPr="00D4469B">
        <w:t xml:space="preserve"> will cross the blood–brain barrier. logP—drug lipophilicity; logS—drug water solubility.</w:t>
      </w:r>
    </w:p>
    <w:p w14:paraId="07ED57D9" w14:textId="4AF0A942" w:rsidR="00C435BB" w:rsidRPr="000F41D3" w:rsidRDefault="00C435BB" w:rsidP="000F41D3"/>
    <w:sectPr w:rsidR="00C435BB" w:rsidRPr="000F41D3" w:rsidSect="00D006A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35F64" w14:textId="77777777" w:rsidR="004E43C4" w:rsidRDefault="004E43C4" w:rsidP="00AA6363">
      <w:pPr>
        <w:spacing w:after="0" w:line="240" w:lineRule="auto"/>
      </w:pPr>
      <w:r>
        <w:separator/>
      </w:r>
    </w:p>
  </w:endnote>
  <w:endnote w:type="continuationSeparator" w:id="0">
    <w:p w14:paraId="4711109B" w14:textId="77777777" w:rsidR="004E43C4" w:rsidRDefault="004E43C4" w:rsidP="00AA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FC3994" w14:textId="77777777" w:rsidR="004E43C4" w:rsidRDefault="004E43C4" w:rsidP="00AA6363">
      <w:pPr>
        <w:spacing w:after="0" w:line="240" w:lineRule="auto"/>
      </w:pPr>
      <w:r>
        <w:separator/>
      </w:r>
    </w:p>
  </w:footnote>
  <w:footnote w:type="continuationSeparator" w:id="0">
    <w:p w14:paraId="6F2BE6DE" w14:textId="77777777" w:rsidR="004E43C4" w:rsidRDefault="004E43C4" w:rsidP="00AA63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6A2"/>
    <w:rsid w:val="00077333"/>
    <w:rsid w:val="000B670C"/>
    <w:rsid w:val="000C2D5C"/>
    <w:rsid w:val="000F41D3"/>
    <w:rsid w:val="0012047D"/>
    <w:rsid w:val="001C4FCD"/>
    <w:rsid w:val="00200570"/>
    <w:rsid w:val="002803C5"/>
    <w:rsid w:val="002E6F0D"/>
    <w:rsid w:val="00433C17"/>
    <w:rsid w:val="00491716"/>
    <w:rsid w:val="004E43C4"/>
    <w:rsid w:val="005A5946"/>
    <w:rsid w:val="005B1C56"/>
    <w:rsid w:val="007E0750"/>
    <w:rsid w:val="008C03C0"/>
    <w:rsid w:val="008E6938"/>
    <w:rsid w:val="009469EF"/>
    <w:rsid w:val="00AA5E3E"/>
    <w:rsid w:val="00AA6363"/>
    <w:rsid w:val="00BA5D06"/>
    <w:rsid w:val="00BE152C"/>
    <w:rsid w:val="00C07342"/>
    <w:rsid w:val="00C435BB"/>
    <w:rsid w:val="00CD41EE"/>
    <w:rsid w:val="00D006A2"/>
    <w:rsid w:val="00DD62A8"/>
    <w:rsid w:val="00E2462C"/>
    <w:rsid w:val="00E545AA"/>
    <w:rsid w:val="00ED320C"/>
    <w:rsid w:val="00FF08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28329"/>
  <w15:chartTrackingRefBased/>
  <w15:docId w15:val="{452CF1F4-97EE-4483-A1D2-CD279FE6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1D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0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63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363"/>
  </w:style>
  <w:style w:type="paragraph" w:styleId="Footer">
    <w:name w:val="footer"/>
    <w:basedOn w:val="Normal"/>
    <w:link w:val="FooterChar"/>
    <w:uiPriority w:val="99"/>
    <w:unhideWhenUsed/>
    <w:rsid w:val="00AA63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69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 Stylli</dc:creator>
  <cp:keywords/>
  <dc:description/>
  <cp:lastModifiedBy>Stanley Stylli</cp:lastModifiedBy>
  <cp:revision>19</cp:revision>
  <dcterms:created xsi:type="dcterms:W3CDTF">2020-07-14T05:42:00Z</dcterms:created>
  <dcterms:modified xsi:type="dcterms:W3CDTF">2021-11-09T22:01:00Z</dcterms:modified>
</cp:coreProperties>
</file>