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Human umbilical cord mesenchymal stem cells improve bone marrow hematopoiesis through regulation of bone marrow adipose tissue</w:t>
      </w:r>
    </w:p>
    <w:p>
      <w:pPr>
        <w:spacing w:line="480" w:lineRule="auto"/>
        <w:rPr>
          <w:rFonts w:hint="default" w:ascii="Times New Roman" w:hAnsi="Times New Roman" w:cs="Times New Roman"/>
        </w:rPr>
      </w:pPr>
    </w:p>
    <w:p>
      <w:pPr>
        <w:spacing w:line="48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Molecular and Cellular Biochemistry</w:t>
      </w:r>
    </w:p>
    <w:p>
      <w:pPr>
        <w:spacing w:line="480" w:lineRule="auto"/>
        <w:rPr>
          <w:rFonts w:hint="default" w:ascii="Times New Roman" w:hAnsi="Times New Roman" w:cs="Times New Roman"/>
        </w:rPr>
      </w:pPr>
    </w:p>
    <w:p>
      <w:pPr>
        <w:spacing w:line="480" w:lineRule="auto"/>
        <w:rPr>
          <w:rFonts w:hint="eastAsia" w:ascii="Times New Roman" w:hAnsi="Times New Roman" w:cs="Times New Roman"/>
          <w:vertAlign w:val="baseline"/>
          <w:lang w:val="en-US" w:eastAsia="zh-CN"/>
        </w:rPr>
      </w:pPr>
      <w:bookmarkStart w:id="0" w:name="OLE_LINK25"/>
      <w:bookmarkStart w:id="1" w:name="OLE_LINK30"/>
      <w:r>
        <w:rPr>
          <w:rFonts w:hint="eastAsia" w:ascii="Times New Roman" w:hAnsi="Times New Roman" w:cs="Times New Roman"/>
          <w:lang w:val="en-US" w:eastAsia="zh-CN"/>
        </w:rPr>
        <w:t>Jingyi Feng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1,2</w:t>
      </w:r>
      <w:r>
        <w:rPr>
          <w:rFonts w:hint="eastAsia" w:ascii="Times New Roman" w:hAnsi="Times New Roman" w:cs="Times New Roman"/>
          <w:lang w:val="en-US" w:eastAsia="zh-CN"/>
        </w:rPr>
        <w:t>, Miao Zhang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lang w:val="en-US" w:eastAsia="zh-CN"/>
        </w:rPr>
        <w:t>, Huanying Ren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>, Yan Ren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>, Zhuanghui Hao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>, Sicheng Bian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>, Jiangxia Cui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>, Shuo Li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lang w:val="en-US" w:eastAsia="zh-CN"/>
        </w:rPr>
        <w:t>Jing Xu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4</w:t>
      </w:r>
      <w:r>
        <w:rPr>
          <w:rFonts w:hint="eastAsia" w:ascii="Times New Roman" w:hAnsi="Times New Roman" w:cs="Times New Roman"/>
          <w:lang w:val="en-US" w:eastAsia="zh-CN"/>
        </w:rPr>
        <w:t>, Muteb Muyey Daniel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vertAlign w:val="baseline"/>
          <w:lang w:val="en-US" w:eastAsia="zh-CN"/>
        </w:rPr>
        <w:t>Fanggang Ren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>, Zhifang Xu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>, Yanhong Tan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>, Xiuhua Chen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vertAlign w:val="baseline"/>
          <w:lang w:val="en-US" w:eastAsia="zh-CN"/>
        </w:rPr>
        <w:t>Yaofang Zhang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>, Jianmei Chang</w:t>
      </w:r>
      <w:bookmarkEnd w:id="0"/>
      <w:r>
        <w:rPr>
          <w:rFonts w:hint="eastAsia" w:ascii="Times New Roman" w:hAnsi="Times New Roman" w:cs="Times New Roman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>, Hongwei Wang</w:t>
      </w:r>
      <w:bookmarkEnd w:id="1"/>
      <w:r>
        <w:rPr>
          <w:rFonts w:hint="eastAsia" w:ascii="Times New Roman" w:hAnsi="Times New Roman" w:cs="Times New Roman"/>
          <w:vertAlign w:val="superscript"/>
          <w:lang w:val="en-US" w:eastAsia="zh-CN"/>
        </w:rPr>
        <w:t>1,2,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>*</w:t>
      </w:r>
    </w:p>
    <w:p>
      <w:pPr>
        <w:spacing w:line="480" w:lineRule="auto"/>
        <w:rPr>
          <w:rFonts w:hint="default" w:ascii="Times New Roman" w:hAnsi="Times New Roman" w:cs="Times New Roman"/>
          <w:vertAlign w:val="baseline"/>
          <w:lang w:val="en-US" w:eastAsia="zh-CN"/>
        </w:rPr>
      </w:pPr>
    </w:p>
    <w:p>
      <w:pPr>
        <w:spacing w:line="480" w:lineRule="auto"/>
        <w:rPr>
          <w:rFonts w:hint="eastAsia" w:ascii="Times New Roman" w:hAnsi="Times New Roman" w:cs="Times New Roman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vertAlign w:val="superscript"/>
          <w:lang w:val="en-US" w:eastAsia="zh-CN"/>
        </w:rPr>
        <w:t>1</w:t>
      </w:r>
      <w:bookmarkStart w:id="2" w:name="OLE_LINK63"/>
      <w:r>
        <w:rPr>
          <w:rFonts w:hint="default" w:ascii="Times New Roman" w:hAnsi="Times New Roman" w:cs="Times New Roman"/>
          <w:lang w:val="en-US" w:eastAsia="zh-CN"/>
        </w:rPr>
        <w:t>Institute of Hematology</w:t>
      </w:r>
      <w:bookmarkEnd w:id="2"/>
      <w:r>
        <w:rPr>
          <w:rFonts w:hint="default" w:ascii="Times New Roman" w:hAnsi="Times New Roman" w:cs="Times New Roman"/>
          <w:lang w:val="en-US" w:eastAsia="zh-CN"/>
        </w:rPr>
        <w:t xml:space="preserve">, </w:t>
      </w:r>
      <w:bookmarkStart w:id="3" w:name="OLE_LINK62"/>
      <w:r>
        <w:rPr>
          <w:rFonts w:hint="default" w:ascii="Times New Roman" w:hAnsi="Times New Roman" w:cs="Times New Roman"/>
          <w:lang w:val="en-US" w:eastAsia="zh-CN"/>
        </w:rPr>
        <w:t>Second Hospital of Shanxi Medical University</w:t>
      </w:r>
      <w:bookmarkEnd w:id="3"/>
      <w:r>
        <w:rPr>
          <w:rFonts w:hint="default" w:ascii="Times New Roman" w:hAnsi="Times New Roman" w:cs="Times New Roman"/>
          <w:lang w:val="en-US" w:eastAsia="zh-CN"/>
        </w:rPr>
        <w:t>, Taiyuan</w:t>
      </w:r>
      <w:bookmarkStart w:id="4" w:name="OLE_LINK20"/>
      <w:r>
        <w:rPr>
          <w:rFonts w:hint="default" w:ascii="Times New Roman" w:hAnsi="Times New Roman" w:cs="Times New Roman"/>
          <w:lang w:val="en-US" w:eastAsia="zh-CN"/>
        </w:rPr>
        <w:t xml:space="preserve"> 030001</w:t>
      </w:r>
      <w:bookmarkEnd w:id="4"/>
      <w:r>
        <w:rPr>
          <w:rFonts w:hint="default" w:ascii="Times New Roman" w:hAnsi="Times New Roman" w:cs="Times New Roman"/>
          <w:lang w:val="en-US" w:eastAsia="zh-CN"/>
        </w:rPr>
        <w:t xml:space="preserve">, </w:t>
      </w:r>
      <w:bookmarkStart w:id="5" w:name="OLE_LINK22"/>
      <w:r>
        <w:rPr>
          <w:rFonts w:hint="default" w:ascii="Times New Roman" w:hAnsi="Times New Roman" w:cs="Times New Roman"/>
          <w:lang w:val="en-US" w:eastAsia="zh-CN"/>
        </w:rPr>
        <w:t>People's Republic of China</w:t>
      </w:r>
      <w:r>
        <w:rPr>
          <w:rFonts w:hint="eastAsia" w:ascii="Times New Roman" w:hAnsi="Times New Roman" w:cs="Times New Roman"/>
          <w:lang w:val="en-US" w:eastAsia="zh-CN"/>
        </w:rPr>
        <w:t>.</w:t>
      </w:r>
      <w:bookmarkEnd w:id="5"/>
    </w:p>
    <w:p>
      <w:pPr>
        <w:spacing w:line="480" w:lineRule="auto"/>
        <w:rPr>
          <w:rFonts w:hint="default" w:ascii="Times New Roman" w:hAnsi="Times New Roman" w:cs="Times New Roman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vertAlign w:val="superscript"/>
          <w:lang w:val="en-US" w:eastAsia="zh-CN"/>
        </w:rPr>
        <w:t>2</w:t>
      </w:r>
      <w:bookmarkStart w:id="6" w:name="OLE_LINK61"/>
      <w:r>
        <w:rPr>
          <w:rFonts w:hint="default" w:ascii="Times New Roman" w:hAnsi="Times New Roman" w:cs="Times New Roman"/>
          <w:vertAlign w:val="baseline"/>
          <w:lang w:val="en-US" w:eastAsia="zh-CN"/>
        </w:rPr>
        <w:t>The Second Clinical Medical College</w:t>
      </w:r>
      <w:bookmarkEnd w:id="6"/>
      <w:r>
        <w:rPr>
          <w:rFonts w:hint="default" w:ascii="Times New Roman" w:hAnsi="Times New Roman" w:cs="Times New Roman"/>
          <w:vertAlign w:val="baseline"/>
          <w:lang w:val="en-US" w:eastAsia="zh-CN"/>
        </w:rPr>
        <w:t>,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vertAlign w:val="baseline"/>
          <w:lang w:val="en-US" w:eastAsia="zh-CN"/>
        </w:rPr>
        <w:t>Shanxi Medical University, Taiyuan</w:t>
      </w:r>
      <w:r>
        <w:rPr>
          <w:rFonts w:hint="default" w:ascii="Times New Roman" w:hAnsi="Times New Roman" w:cs="Times New Roman"/>
          <w:lang w:val="en-US" w:eastAsia="zh-CN"/>
        </w:rPr>
        <w:t xml:space="preserve"> 030001</w:t>
      </w:r>
      <w:r>
        <w:rPr>
          <w:rFonts w:hint="default" w:ascii="Times New Roman" w:hAnsi="Times New Roman" w:cs="Times New Roman"/>
          <w:vertAlign w:val="baseline"/>
          <w:lang w:val="en-US" w:eastAsia="zh-CN"/>
        </w:rPr>
        <w:t>,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vertAlign w:val="baseline"/>
          <w:lang w:val="en-US" w:eastAsia="zh-CN"/>
        </w:rPr>
        <w:t>People's Republic of China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>.</w:t>
      </w:r>
    </w:p>
    <w:p>
      <w:pPr>
        <w:spacing w:line="480" w:lineRule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vertAlign w:val="superscript"/>
          <w:lang w:val="en-US" w:eastAsia="zh-CN"/>
        </w:rPr>
        <w:t>3</w:t>
      </w:r>
      <w:r>
        <w:rPr>
          <w:rFonts w:hint="default" w:ascii="Times New Roman" w:hAnsi="Times New Roman" w:cs="Times New Roman"/>
          <w:lang w:val="en-US" w:eastAsia="zh-CN"/>
        </w:rPr>
        <w:t>Department of Medicine, The MetroHealth System, Case Western Reserve University, Ohio 44109, United States.</w:t>
      </w:r>
    </w:p>
    <w:p>
      <w:pPr>
        <w:spacing w:line="480" w:lineRule="auto"/>
        <w:rPr>
          <w:rFonts w:hint="eastAsia" w:ascii="Times New Roman" w:hAnsi="Times New Roman" w:cs="Times New Roman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vertAlign w:val="superscript"/>
          <w:lang w:val="en-US" w:eastAsia="zh-CN"/>
        </w:rPr>
        <w:t>4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>Department of Medical Cell Biology and Genetics, Shanxi Medical University, Taiyuan</w:t>
      </w:r>
      <w:r>
        <w:rPr>
          <w:rFonts w:hint="default" w:ascii="Times New Roman" w:hAnsi="Times New Roman" w:cs="Times New Roman"/>
          <w:lang w:val="en-US" w:eastAsia="zh-CN"/>
        </w:rPr>
        <w:t xml:space="preserve"> 030001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>, People's Republic of China.</w:t>
      </w:r>
    </w:p>
    <w:p>
      <w:pPr>
        <w:spacing w:line="480" w:lineRule="auto"/>
        <w:rPr>
          <w:rFonts w:hint="eastAsia" w:ascii="Times New Roman" w:hAnsi="Times New Roman" w:cs="Times New Roman"/>
          <w:vertAlign w:val="baseline"/>
          <w:lang w:val="en-US" w:eastAsia="zh-CN"/>
        </w:rPr>
      </w:pPr>
    </w:p>
    <w:p>
      <w:pPr>
        <w:spacing w:line="480" w:lineRule="auto"/>
        <w:rPr>
          <w:rFonts w:hint="default" w:ascii="Times New Roman" w:hAnsi="Times New Roman" w:cs="Times New Roman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vertAlign w:val="baseline"/>
          <w:lang w:val="en-US" w:eastAsia="zh-CN"/>
        </w:rPr>
        <w:t>*Correspondence: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 xml:space="preserve"> </w:t>
      </w:r>
      <w:bookmarkStart w:id="7" w:name="OLE_LINK19"/>
      <w:r>
        <w:rPr>
          <w:rFonts w:hint="eastAsia" w:ascii="Times New Roman" w:hAnsi="Times New Roman" w:cs="Times New Roman"/>
          <w:vertAlign w:val="baseline"/>
          <w:lang w:val="en-US" w:eastAsia="zh-CN"/>
        </w:rPr>
        <w:t xml:space="preserve">Hongwei Wang, PhD, </w:t>
      </w:r>
      <w:bookmarkStart w:id="8" w:name="OLE_LINK55"/>
      <w:r>
        <w:rPr>
          <w:rFonts w:hint="eastAsia" w:ascii="Times New Roman" w:hAnsi="Times New Roman" w:cs="Times New Roman"/>
          <w:vertAlign w:val="baseline"/>
          <w:lang w:val="en-US" w:eastAsia="zh-CN"/>
        </w:rPr>
        <w:t>Institute of Hematology, The Second Hospital of Shanxi Medical University, Taiyuan 030001</w:t>
      </w:r>
      <w:bookmarkEnd w:id="8"/>
      <w:r>
        <w:rPr>
          <w:rFonts w:hint="eastAsia" w:ascii="Times New Roman" w:hAnsi="Times New Roman" w:cs="Times New Roman"/>
          <w:vertAlign w:val="baseline"/>
          <w:lang w:val="en-US" w:eastAsia="zh-CN"/>
        </w:rPr>
        <w:t xml:space="preserve">, </w:t>
      </w:r>
      <w:bookmarkStart w:id="9" w:name="OLE_LINK21"/>
      <w:r>
        <w:rPr>
          <w:rFonts w:hint="eastAsia" w:ascii="Times New Roman" w:hAnsi="Times New Roman" w:cs="Times New Roman"/>
          <w:vertAlign w:val="baseline"/>
          <w:lang w:val="en-US" w:eastAsia="zh-CN"/>
        </w:rPr>
        <w:t>People's Republic of China</w:t>
      </w:r>
      <w:bookmarkEnd w:id="9"/>
      <w:r>
        <w:rPr>
          <w:rFonts w:hint="eastAsia" w:ascii="Times New Roman" w:hAnsi="Times New Roman" w:cs="Times New Roman"/>
          <w:vertAlign w:val="baseline"/>
          <w:lang w:val="en-US" w:eastAsia="zh-CN"/>
        </w:rPr>
        <w:t xml:space="preserve">. Tel: </w:t>
      </w:r>
      <w:bookmarkStart w:id="10" w:name="OLE_LINK54"/>
      <w:r>
        <w:rPr>
          <w:rFonts w:hint="eastAsia" w:ascii="Times New Roman" w:hAnsi="Times New Roman" w:cs="Times New Roman"/>
          <w:vertAlign w:val="baseline"/>
          <w:lang w:val="en-US" w:eastAsia="zh-CN"/>
        </w:rPr>
        <w:t>+86 0351 3365807</w:t>
      </w:r>
      <w:bookmarkEnd w:id="10"/>
      <w:r>
        <w:rPr>
          <w:rFonts w:hint="eastAsia" w:ascii="Times New Roman" w:hAnsi="Times New Roman" w:cs="Times New Roman"/>
          <w:vertAlign w:val="baseline"/>
          <w:lang w:val="en-US" w:eastAsia="zh-CN"/>
        </w:rPr>
        <w:t xml:space="preserve">; Email: </w:t>
      </w:r>
      <w:r>
        <w:rPr>
          <w:rFonts w:hint="default" w:ascii="Times New Roman" w:hAnsi="Times New Roman" w:cs="Times New Roman"/>
          <w:color w:val="auto"/>
          <w:u w:val="none"/>
          <w:vertAlign w:val="baseline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color w:val="auto"/>
          <w:u w:val="none"/>
          <w:vertAlign w:val="baseline"/>
          <w:lang w:val="en-US" w:eastAsia="zh-CN"/>
        </w:rPr>
        <w:instrText xml:space="preserve"> HYPERLINK "mailto:wanghw68@hotmail.com" </w:instrText>
      </w:r>
      <w:r>
        <w:rPr>
          <w:rFonts w:hint="default" w:ascii="Times New Roman" w:hAnsi="Times New Roman" w:cs="Times New Roman"/>
          <w:color w:val="auto"/>
          <w:u w:val="none"/>
          <w:vertAlign w:val="baseline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cs="Times New Roman"/>
          <w:color w:val="auto"/>
          <w:u w:val="none"/>
          <w:vertAlign w:val="baseline"/>
          <w:lang w:val="en-US" w:eastAsia="zh-CN"/>
        </w:rPr>
        <w:t>wanghw68@hotmail.com</w:t>
      </w:r>
      <w:r>
        <w:rPr>
          <w:rFonts w:hint="default" w:ascii="Times New Roman" w:hAnsi="Times New Roman" w:cs="Times New Roman"/>
          <w:color w:val="auto"/>
          <w:u w:val="none"/>
          <w:vertAlign w:val="baseline"/>
          <w:lang w:val="en-US" w:eastAsia="zh-CN"/>
        </w:rPr>
        <w:fldChar w:fldCharType="end"/>
      </w:r>
      <w:bookmarkEnd w:id="7"/>
    </w:p>
    <w:p>
      <w:pPr>
        <w:jc w:val="center"/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="Arial" w:hAnsi="Arial" w:cs="Arial"/>
          <w:sz w:val="20"/>
          <w:szCs w:val="20"/>
          <w:lang w:val="en-US" w:eastAsia="zh-CN"/>
        </w:rPr>
      </w:pPr>
      <w:r>
        <w:drawing>
          <wp:inline distT="0" distB="0" distL="114300" distR="114300">
            <wp:extent cx="4987290" cy="44780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rcRect l="2999" r="2421"/>
                    <a:stretch>
                      <a:fillRect/>
                    </a:stretch>
                  </pic:blipFill>
                  <pic:spPr>
                    <a:xfrm>
                      <a:off x="0" y="0"/>
                      <a:ext cx="4987290" cy="447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Arial" w:hAnsi="Arial" w:cs="Arial"/>
          <w:sz w:val="20"/>
          <w:szCs w:val="20"/>
          <w:lang w:val="en-US" w:eastAsia="zh-CN"/>
        </w:rPr>
      </w:pPr>
      <w:r>
        <w:rPr>
          <w:rFonts w:hint="default" w:ascii="Arial" w:hAnsi="Arial" w:cs="Arial"/>
          <w:b/>
          <w:bCs/>
          <w:sz w:val="20"/>
          <w:szCs w:val="20"/>
        </w:rPr>
        <w:t>Figure S1:</w:t>
      </w:r>
      <w:r>
        <w:rPr>
          <w:rFonts w:hint="eastAsia" w:ascii="Arial" w:hAnsi="Arial" w:cs="Arial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default" w:ascii="Arial" w:hAnsi="Arial" w:cs="Arial"/>
          <w:b/>
          <w:bCs/>
          <w:sz w:val="20"/>
          <w:szCs w:val="20"/>
        </w:rPr>
        <w:t>The characteristic of human umbilical cord mesenchymal stem cells</w:t>
      </w:r>
      <w:r>
        <w:rPr>
          <w:rFonts w:hint="eastAsia" w:ascii="Arial" w:hAnsi="Arial" w:cs="Arial"/>
          <w:b/>
          <w:bCs/>
          <w:sz w:val="20"/>
          <w:szCs w:val="20"/>
          <w:lang w:val="en-US" w:eastAsia="zh-CN"/>
        </w:rPr>
        <w:t>.</w:t>
      </w:r>
    </w:p>
    <w:p>
      <w:pPr>
        <w:rPr>
          <w:rFonts w:hint="default" w:ascii="Arial" w:hAnsi="Arial" w:cs="Arial"/>
          <w:sz w:val="20"/>
          <w:szCs w:val="20"/>
          <w:lang w:val="en-US" w:eastAsia="zh-CN"/>
        </w:rPr>
      </w:pPr>
      <w:r>
        <w:rPr>
          <w:rFonts w:hint="default" w:ascii="Arial" w:hAnsi="Arial" w:cs="Arial"/>
          <w:sz w:val="20"/>
          <w:szCs w:val="20"/>
          <w:lang w:val="en-US" w:eastAsia="zh-CN"/>
        </w:rPr>
        <w:t xml:space="preserve">A. The flow cytometry results showed that most of the hucMSCs we used expressed CD90, CD73 and CD105, but not CD34, CD45 and HLA-DR. </w:t>
      </w:r>
    </w:p>
    <w:p>
      <w:pPr>
        <w:rPr>
          <w:rFonts w:hint="eastAsia" w:ascii="Arial" w:hAnsi="Arial" w:cs="Arial"/>
          <w:sz w:val="20"/>
          <w:szCs w:val="20"/>
          <w:lang w:val="en-US" w:eastAsia="zh-CN"/>
        </w:rPr>
      </w:pPr>
      <w:r>
        <w:rPr>
          <w:rFonts w:hint="default" w:ascii="Arial" w:hAnsi="Arial" w:cs="Arial"/>
          <w:sz w:val="20"/>
          <w:szCs w:val="20"/>
          <w:lang w:val="en-US" w:eastAsia="zh-CN"/>
        </w:rPr>
        <w:t>B. The morphology of hucMSCs (4×). And the results of Oil red O staining (40×) and Alizarin red S staining (40×) showed that the hucMSCs we used are capable of differentiating into adipocytes and osteoblasts.</w:t>
      </w:r>
    </w:p>
    <w:p>
      <w:pPr>
        <w:rPr>
          <w:rFonts w:hint="eastAsia" w:ascii="Arial" w:hAnsi="Arial" w:cs="Arial"/>
          <w:sz w:val="20"/>
          <w:szCs w:val="20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r>
        <w:drawing>
          <wp:inline distT="0" distB="0" distL="114300" distR="114300">
            <wp:extent cx="5270500" cy="1993900"/>
            <wp:effectExtent l="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Arial" w:hAnsi="Arial" w:cs="Arial"/>
          <w:sz w:val="20"/>
          <w:szCs w:val="20"/>
          <w:lang w:val="en-US" w:eastAsia="zh-CN"/>
        </w:rPr>
      </w:pPr>
      <w:r>
        <w:rPr>
          <w:rFonts w:hint="default" w:ascii="Arial" w:hAnsi="Arial" w:cs="Arial"/>
          <w:b/>
          <w:bCs/>
          <w:sz w:val="20"/>
          <w:szCs w:val="20"/>
        </w:rPr>
        <w:t>Figure S</w:t>
      </w:r>
      <w:r>
        <w:rPr>
          <w:rFonts w:hint="eastAsia" w:ascii="Arial" w:hAnsi="Arial" w:cs="Arial"/>
          <w:b/>
          <w:bCs/>
          <w:sz w:val="20"/>
          <w:szCs w:val="20"/>
          <w:lang w:val="en-US" w:eastAsia="zh-CN"/>
        </w:rPr>
        <w:t>2</w:t>
      </w:r>
      <w:r>
        <w:rPr>
          <w:rFonts w:hint="default" w:ascii="Arial" w:hAnsi="Arial" w:cs="Arial"/>
          <w:b/>
          <w:bCs/>
          <w:sz w:val="20"/>
          <w:szCs w:val="20"/>
        </w:rPr>
        <w:t>:</w:t>
      </w:r>
      <w:r>
        <w:rPr>
          <w:rFonts w:hint="eastAsia" w:ascii="Arial" w:hAnsi="Arial" w:cs="Arial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default" w:ascii="Arial" w:hAnsi="Arial" w:cs="Arial"/>
          <w:b/>
          <w:bCs/>
          <w:sz w:val="20"/>
          <w:szCs w:val="20"/>
        </w:rPr>
        <w:t>Analysis of peripheral blood cell counts in mouse models</w:t>
      </w:r>
      <w:r>
        <w:rPr>
          <w:rFonts w:hint="eastAsia" w:ascii="Arial" w:hAnsi="Arial" w:cs="Arial"/>
          <w:b/>
          <w:bCs/>
          <w:sz w:val="20"/>
          <w:szCs w:val="20"/>
          <w:lang w:val="en-US" w:eastAsia="zh-CN"/>
        </w:rPr>
        <w:t>.</w:t>
      </w:r>
    </w:p>
    <w:p>
      <w:pPr>
        <w:rPr>
          <w:rFonts w:hint="eastAsia"/>
          <w:lang w:val="en-US" w:eastAsia="zh-CN"/>
        </w:rPr>
      </w:pPr>
      <w:r>
        <w:rPr>
          <w:rFonts w:hint="default" w:ascii="Arial" w:hAnsi="Arial" w:cs="Arial"/>
          <w:sz w:val="20"/>
          <w:szCs w:val="20"/>
          <w:lang w:val="en-US" w:eastAsia="zh-CN"/>
        </w:rPr>
        <w:t>A. WBC, RBC, HGB, and PLT counts on day 9 of the chemotherapy-induced BMF mouse model.</w:t>
      </w:r>
    </w:p>
    <w:p>
      <w:pPr>
        <w:rPr>
          <w:rFonts w:hint="eastAsia" w:ascii="Arial" w:hAnsi="Arial" w:cs="Arial"/>
          <w:sz w:val="20"/>
          <w:szCs w:val="20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r>
        <w:drawing>
          <wp:inline distT="0" distB="0" distL="114300" distR="114300">
            <wp:extent cx="4648200" cy="3194050"/>
            <wp:effectExtent l="0" t="0" r="0" b="635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Arial" w:hAnsi="Arial" w:cs="Arial"/>
          <w:sz w:val="20"/>
          <w:szCs w:val="20"/>
          <w:lang w:val="en-US" w:eastAsia="zh-CN"/>
        </w:rPr>
      </w:pPr>
      <w:r>
        <w:rPr>
          <w:rFonts w:hint="default" w:ascii="Arial" w:hAnsi="Arial" w:cs="Arial"/>
          <w:b/>
          <w:bCs/>
          <w:sz w:val="20"/>
          <w:szCs w:val="20"/>
        </w:rPr>
        <w:t>Figure S</w:t>
      </w:r>
      <w:r>
        <w:rPr>
          <w:rFonts w:hint="eastAsia" w:ascii="Arial" w:hAnsi="Arial" w:cs="Arial"/>
          <w:b/>
          <w:bCs/>
          <w:sz w:val="20"/>
          <w:szCs w:val="20"/>
          <w:lang w:val="en-US" w:eastAsia="zh-CN"/>
        </w:rPr>
        <w:t>3</w:t>
      </w:r>
      <w:r>
        <w:rPr>
          <w:rFonts w:hint="default" w:ascii="Arial" w:hAnsi="Arial" w:cs="Arial"/>
          <w:b/>
          <w:bCs/>
          <w:sz w:val="20"/>
          <w:szCs w:val="20"/>
        </w:rPr>
        <w:t>:</w:t>
      </w:r>
      <w:r>
        <w:rPr>
          <w:rFonts w:hint="eastAsia" w:ascii="Arial" w:hAnsi="Arial" w:cs="Arial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default" w:ascii="Arial" w:hAnsi="Arial" w:cs="Arial"/>
          <w:b/>
          <w:bCs/>
          <w:sz w:val="20"/>
          <w:szCs w:val="20"/>
        </w:rPr>
        <w:t>Establishment of chemotherapeutic drug concentrations for in vitro intervention in mouse BM cells.</w:t>
      </w:r>
    </w:p>
    <w:p>
      <w:pPr>
        <w:rPr>
          <w:rFonts w:hint="eastAsia"/>
          <w:lang w:val="en-US" w:eastAsia="zh-CN"/>
        </w:rPr>
      </w:pPr>
      <w:r>
        <w:rPr>
          <w:rFonts w:hint="default" w:ascii="Arial" w:hAnsi="Arial" w:cs="Arial"/>
          <w:sz w:val="20"/>
          <w:szCs w:val="20"/>
          <w:lang w:val="en-US" w:eastAsia="zh-CN"/>
        </w:rPr>
        <w:t>A. CTX and BUS were administered in a 4:1 ratio, based on the in vitro experimental dosing regimen, with CTX dosage serving as the reference for gradient concentration experiments. The half-maximal inhibitory concentration (IC50) values were calculated by assessing cell viability through cell counting.</w:t>
      </w:r>
    </w:p>
    <w:p>
      <w:pPr>
        <w:rPr>
          <w:rFonts w:hint="eastAsia" w:ascii="Arial" w:hAnsi="Arial" w:cs="Arial"/>
          <w:sz w:val="20"/>
          <w:szCs w:val="20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rPr>
          <w:rFonts w:hint="eastAsia" w:ascii="Arial" w:hAnsi="Arial" w:cs="Arial"/>
          <w:sz w:val="20"/>
          <w:szCs w:val="20"/>
          <w:lang w:val="en-US" w:eastAsia="zh-CN"/>
        </w:rPr>
      </w:pPr>
      <w:r>
        <w:rPr>
          <w:rFonts w:hint="eastAsia" w:ascii="Arial" w:hAnsi="Arial" w:cs="Arial"/>
          <w:b/>
          <w:bCs/>
          <w:sz w:val="20"/>
          <w:szCs w:val="20"/>
          <w:lang w:val="en-US" w:eastAsia="zh-CN"/>
        </w:rPr>
        <w:t>Table S1. Antibodies used for identification of hucMSCs</w:t>
      </w:r>
      <w:r>
        <w:rPr>
          <w:rFonts w:hint="eastAsia" w:ascii="Arial" w:hAnsi="Arial" w:cs="Arial"/>
          <w:sz w:val="20"/>
          <w:szCs w:val="20"/>
          <w:lang w:val="en-US" w:eastAsia="zh-CN"/>
        </w:rPr>
        <w:t xml:space="preserve">  </w:t>
      </w:r>
    </w:p>
    <w:tbl>
      <w:tblPr>
        <w:tblStyle w:val="3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0"/>
        <w:gridCol w:w="3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50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spacing w:line="480" w:lineRule="auto"/>
              <w:rPr>
                <w:rFonts w:hint="eastAsia" w:ascii="Arial" w:hAnsi="Arial" w:cs="Arial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bookmarkStart w:id="11" w:name="OLE_LINK2"/>
            <w:r>
              <w:rPr>
                <w:rFonts w:hint="eastAsia" w:ascii="Arial" w:hAnsi="Arial" w:cs="Arial"/>
                <w:b/>
                <w:bCs/>
                <w:sz w:val="20"/>
                <w:szCs w:val="20"/>
                <w:lang w:val="en-US" w:eastAsia="zh-CN"/>
              </w:rPr>
              <w:t>Antibody</w:t>
            </w:r>
          </w:p>
        </w:tc>
        <w:tc>
          <w:tcPr>
            <w:tcW w:w="324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spacing w:line="480" w:lineRule="auto"/>
              <w:rPr>
                <w:rFonts w:hint="eastAsia" w:ascii="Arial" w:hAnsi="Arial" w:cs="Arial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Arial" w:hAnsi="Arial" w:cs="Arial"/>
                <w:b/>
                <w:bCs/>
                <w:sz w:val="20"/>
                <w:szCs w:val="20"/>
                <w:vertAlign w:val="baseline"/>
                <w:lang w:val="en-US" w:eastAsia="zh-CN"/>
              </w:rPr>
              <w:t>Company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5050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PE Mouse Anti-Human CD34</w:t>
            </w:r>
          </w:p>
        </w:tc>
        <w:tc>
          <w:tcPr>
            <w:tcW w:w="3240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BD Pharmingen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PE Mouse Anti-Human CD45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BD Pharmingen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PE Mouse Anti-Human HLA-DR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BD Pharmingen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APC Mouse anti-Human CD73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BD Pharmingen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FITC Mouse Anti-Human CD90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BD Pharmingen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505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spacing w:line="480" w:lineRule="auto"/>
              <w:jc w:val="left"/>
              <w:rPr>
                <w:rFonts w:hint="default"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PerCP-Cy5.5 Mouse anti-Human CD105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BD Pharmingen</w:t>
            </w:r>
          </w:p>
        </w:tc>
      </w:tr>
      <w:bookmarkEnd w:id="11"/>
    </w:tbl>
    <w:p>
      <w:pPr>
        <w:rPr>
          <w:rFonts w:hint="eastAsia" w:ascii="Arial" w:hAnsi="Arial" w:cs="Arial"/>
          <w:sz w:val="20"/>
          <w:szCs w:val="20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rPr>
          <w:rFonts w:hint="eastAsia" w:ascii="Arial" w:hAnsi="Arial" w:cs="Arial"/>
          <w:b/>
          <w:bCs/>
          <w:sz w:val="20"/>
          <w:szCs w:val="20"/>
          <w:lang w:val="en-US" w:eastAsia="zh-CN"/>
        </w:rPr>
      </w:pPr>
      <w:r>
        <w:rPr>
          <w:rFonts w:hint="eastAsia" w:ascii="Arial" w:hAnsi="Arial" w:cs="Arial"/>
          <w:b/>
          <w:bCs/>
          <w:sz w:val="20"/>
          <w:szCs w:val="20"/>
          <w:lang w:val="en-US" w:eastAsia="zh-CN"/>
        </w:rPr>
        <w:t>Table S2. Primers used for qRT-PCR</w:t>
      </w:r>
    </w:p>
    <w:tbl>
      <w:tblPr>
        <w:tblStyle w:val="3"/>
        <w:tblW w:w="0" w:type="auto"/>
        <w:tblInd w:w="1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3361"/>
        <w:gridCol w:w="33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Arial" w:hAnsi="Arial" w:cs="Arial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sz w:val="20"/>
                <w:szCs w:val="20"/>
                <w:vertAlign w:val="baseline"/>
                <w:lang w:val="en-US" w:eastAsia="zh-CN"/>
              </w:rPr>
              <w:t>Gene</w:t>
            </w:r>
          </w:p>
        </w:tc>
        <w:tc>
          <w:tcPr>
            <w:tcW w:w="284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Arial" w:hAnsi="Arial" w:cs="Arial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sz w:val="20"/>
                <w:szCs w:val="20"/>
                <w:vertAlign w:val="baseline"/>
                <w:lang w:val="en-US" w:eastAsia="zh-CN"/>
              </w:rPr>
              <w:t>Forward primer (5</w:t>
            </w:r>
            <w:r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en-US" w:eastAsia="zh-CN"/>
              </w:rPr>
              <w:t>’</w:t>
            </w:r>
            <w:r>
              <w:rPr>
                <w:rFonts w:hint="eastAsia" w:ascii="Arial" w:hAnsi="Arial" w:cs="Arial"/>
                <w:b/>
                <w:bCs/>
                <w:sz w:val="20"/>
                <w:szCs w:val="20"/>
                <w:vertAlign w:val="baseline"/>
                <w:lang w:val="en-US" w:eastAsia="zh-CN"/>
              </w:rPr>
              <w:t xml:space="preserve"> - 3</w:t>
            </w:r>
            <w:r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en-US" w:eastAsia="zh-CN"/>
              </w:rPr>
              <w:t>’</w:t>
            </w:r>
            <w:r>
              <w:rPr>
                <w:rFonts w:hint="eastAsia" w:ascii="Arial" w:hAnsi="Arial" w:cs="Arial"/>
                <w:b/>
                <w:bCs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273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sz w:val="20"/>
                <w:szCs w:val="20"/>
                <w:vertAlign w:val="baseline"/>
                <w:lang w:val="en-US" w:eastAsia="zh-CN"/>
              </w:rPr>
              <w:t>Reverse primer (5</w:t>
            </w:r>
            <w:r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en-US" w:eastAsia="zh-CN"/>
              </w:rPr>
              <w:t>’</w:t>
            </w:r>
            <w:r>
              <w:rPr>
                <w:rFonts w:hint="eastAsia" w:ascii="Arial" w:hAnsi="Arial" w:cs="Arial"/>
                <w:b/>
                <w:bCs/>
                <w:sz w:val="20"/>
                <w:szCs w:val="20"/>
                <w:vertAlign w:val="baseline"/>
                <w:lang w:val="en-US" w:eastAsia="zh-CN"/>
              </w:rPr>
              <w:t xml:space="preserve"> - 3</w:t>
            </w:r>
            <w:r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en-US" w:eastAsia="zh-CN"/>
              </w:rPr>
              <w:t>’</w:t>
            </w:r>
            <w:r>
              <w:rPr>
                <w:rFonts w:hint="eastAsia" w:ascii="Arial" w:hAnsi="Arial" w:cs="Arial"/>
                <w:b/>
                <w:bCs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4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eastAsia="宋体" w:cs="Arial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bCs/>
                <w:color w:val="auto"/>
                <w:sz w:val="20"/>
                <w:szCs w:val="20"/>
                <w:lang w:val="en-US" w:eastAsia="zh-CN"/>
              </w:rPr>
              <w:t>PPARG</w:t>
            </w:r>
          </w:p>
        </w:tc>
        <w:tc>
          <w:tcPr>
            <w:tcW w:w="2840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bCs/>
                <w:color w:val="auto"/>
                <w:sz w:val="20"/>
                <w:szCs w:val="20"/>
              </w:rPr>
              <w:t>TTTCAAGGGTGCCAGTTTCG</w:t>
            </w:r>
          </w:p>
        </w:tc>
        <w:tc>
          <w:tcPr>
            <w:tcW w:w="2736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bCs/>
                <w:color w:val="auto"/>
                <w:sz w:val="20"/>
                <w:szCs w:val="20"/>
              </w:rPr>
              <w:t>CATCTTTATTCATCAGGGAGGC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eastAsia="宋体" w:cs="Arial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bCs/>
                <w:color w:val="auto"/>
                <w:sz w:val="20"/>
                <w:szCs w:val="20"/>
                <w:lang w:val="en-US" w:eastAsia="zh-CN"/>
              </w:rPr>
              <w:t>CEBPA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auto"/>
                <w:sz w:val="20"/>
                <w:szCs w:val="20"/>
                <w:vertAlign w:val="baseline"/>
                <w:lang w:val="en-US" w:eastAsia="zh-CN"/>
              </w:rPr>
              <w:t>CAAGAACAGCAACGAGTACCG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bCs/>
                <w:color w:val="auto"/>
                <w:sz w:val="20"/>
                <w:szCs w:val="20"/>
              </w:rPr>
              <w:t>GTCACTGGTCAACTCCAGCAC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eastAsia="宋体" w:cs="Arial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bCs/>
                <w:color w:val="auto"/>
                <w:sz w:val="20"/>
                <w:szCs w:val="20"/>
                <w:lang w:val="en-US" w:eastAsia="zh-CN"/>
              </w:rPr>
              <w:t>CEBPB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bCs/>
                <w:color w:val="auto"/>
                <w:sz w:val="20"/>
                <w:szCs w:val="20"/>
              </w:rPr>
              <w:t>CTTCAGCCCCTACCTGGAG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bCs/>
                <w:color w:val="auto"/>
                <w:sz w:val="20"/>
                <w:szCs w:val="20"/>
              </w:rPr>
              <w:t>GGAGAGGAAGTCGTGGTGC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eastAsia="宋体" w:cs="Arial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bCs/>
                <w:color w:val="auto"/>
                <w:sz w:val="20"/>
                <w:szCs w:val="20"/>
                <w:lang w:val="en-US" w:eastAsia="zh-CN"/>
              </w:rPr>
              <w:t>FABP4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auto"/>
                <w:sz w:val="20"/>
                <w:szCs w:val="20"/>
                <w:lang w:val="en-US" w:eastAsia="zh-CN"/>
              </w:rPr>
              <w:t>AAGGTGAAGAGCATCATAACCCT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auto"/>
                <w:sz w:val="20"/>
                <w:szCs w:val="20"/>
                <w:lang w:val="en-US" w:eastAsia="zh-CN"/>
              </w:rPr>
              <w:t>TCACGCCTTTCATAACACATTCC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eastAsia="宋体" w:cs="Arial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bCs/>
                <w:color w:val="auto"/>
                <w:sz w:val="20"/>
                <w:szCs w:val="20"/>
                <w:lang w:val="en-US" w:eastAsia="zh-CN"/>
              </w:rPr>
              <w:t>FASN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auto"/>
                <w:sz w:val="20"/>
                <w:szCs w:val="20"/>
                <w:lang w:val="en-US" w:eastAsia="zh-CN"/>
              </w:rPr>
              <w:t>GGAGGTGGTGATAGCCGGTAT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auto"/>
                <w:sz w:val="20"/>
                <w:szCs w:val="20"/>
                <w:lang w:val="en-US" w:eastAsia="zh-CN"/>
              </w:rPr>
              <w:t>TGGGTAATCCATAGAGCCCAG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eastAsia="宋体" w:cs="Arial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bCs/>
                <w:color w:val="auto"/>
                <w:sz w:val="20"/>
                <w:szCs w:val="20"/>
                <w:lang w:val="en-US" w:eastAsia="zh-CN"/>
              </w:rPr>
              <w:t>ACC1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auto"/>
                <w:sz w:val="20"/>
                <w:szCs w:val="20"/>
                <w:lang w:val="en-US" w:eastAsia="zh-CN"/>
              </w:rPr>
              <w:t>GATGAACCATCTCCGTTGGC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auto"/>
                <w:sz w:val="20"/>
                <w:szCs w:val="20"/>
                <w:lang w:val="en-US" w:eastAsia="zh-CN"/>
              </w:rPr>
              <w:t>GACCCAATTATGAATCGGGAGTG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bCs/>
                <w:color w:val="auto"/>
                <w:sz w:val="20"/>
                <w:szCs w:val="20"/>
                <w:lang w:val="en-US" w:eastAsia="zh-CN"/>
              </w:rPr>
              <w:t>NRF2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bCs/>
                <w:color w:val="auto"/>
                <w:sz w:val="20"/>
                <w:szCs w:val="20"/>
              </w:rPr>
              <w:t>CAGCCATGACTGATTTAAGCAG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bCs/>
                <w:color w:val="auto"/>
                <w:sz w:val="20"/>
                <w:szCs w:val="20"/>
              </w:rPr>
              <w:t>CAGCTGCTTGTTTTCGGTATTA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bCs/>
                <w:color w:val="auto"/>
                <w:sz w:val="20"/>
                <w:szCs w:val="20"/>
                <w:lang w:val="en-US" w:eastAsia="zh-CN"/>
              </w:rPr>
              <w:t>HO1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bCs/>
                <w:color w:val="auto"/>
                <w:sz w:val="20"/>
                <w:szCs w:val="20"/>
              </w:rPr>
              <w:t>TCCTTGTACCATATCTACACGG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bCs/>
                <w:color w:val="auto"/>
                <w:sz w:val="20"/>
                <w:szCs w:val="20"/>
              </w:rPr>
              <w:t>GAGACGCTT TACATAGTGCTGT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bCs/>
                <w:color w:val="auto"/>
                <w:sz w:val="20"/>
                <w:szCs w:val="20"/>
                <w:lang w:val="en-US" w:eastAsia="zh-CN"/>
              </w:rPr>
              <w:t>NQO1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bCs/>
                <w:color w:val="auto"/>
                <w:sz w:val="20"/>
                <w:szCs w:val="20"/>
              </w:rPr>
              <w:t>GAAGACATCATTCAACTACGCC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bCs/>
                <w:color w:val="auto"/>
                <w:sz w:val="20"/>
                <w:szCs w:val="20"/>
              </w:rPr>
              <w:t>GAGATGACTCGGAAGGATACTG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bCs/>
                <w:color w:val="auto"/>
                <w:sz w:val="20"/>
                <w:szCs w:val="20"/>
                <w:lang w:val="en-US" w:eastAsia="zh-CN"/>
              </w:rPr>
              <w:t>SOD1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bCs/>
                <w:color w:val="auto"/>
                <w:sz w:val="20"/>
                <w:szCs w:val="20"/>
              </w:rPr>
              <w:t>AAGGGAGATGTTACAACTCAGG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bCs/>
                <w:color w:val="auto"/>
                <w:sz w:val="20"/>
                <w:szCs w:val="20"/>
              </w:rPr>
              <w:t>GCTCAGGTTTGTCCAGAAAATG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bCs/>
                <w:color w:val="auto"/>
                <w:sz w:val="20"/>
                <w:szCs w:val="20"/>
                <w:lang w:val="en-US" w:eastAsia="zh-CN"/>
              </w:rPr>
              <w:t>GAPDH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eastAsia="宋体" w:cs="Arial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bCs/>
                <w:color w:val="auto"/>
                <w:sz w:val="20"/>
                <w:szCs w:val="20"/>
              </w:rPr>
              <w:t>ATGGTGAAGGTCGGTGTG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Arial" w:hAnsi="Arial" w:eastAsia="宋体" w:cs="Arial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bCs/>
                <w:color w:val="auto"/>
                <w:sz w:val="20"/>
                <w:szCs w:val="20"/>
              </w:rPr>
              <w:t>AACTTGCCGTGGGTAGAG</w:t>
            </w:r>
          </w:p>
        </w:tc>
      </w:tr>
    </w:tbl>
    <w:p>
      <w:pPr>
        <w:rPr>
          <w:rFonts w:hint="eastAsia" w:ascii="Arial" w:hAnsi="Arial" w:cs="Arial"/>
          <w:sz w:val="20"/>
          <w:szCs w:val="20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bookmarkStart w:id="15" w:name="_GoBack"/>
      <w:bookmarkEnd w:id="15"/>
    </w:p>
    <w:p>
      <w:pPr>
        <w:rPr>
          <w:rFonts w:hint="eastAsia" w:ascii="Arial" w:hAnsi="Arial" w:cs="Arial"/>
          <w:b/>
          <w:bCs/>
          <w:sz w:val="20"/>
          <w:szCs w:val="20"/>
          <w:lang w:val="en-US" w:eastAsia="zh-CN"/>
        </w:rPr>
      </w:pPr>
      <w:r>
        <w:rPr>
          <w:rFonts w:hint="eastAsia" w:ascii="Arial" w:hAnsi="Arial" w:cs="Arial"/>
          <w:b/>
          <w:bCs/>
          <w:sz w:val="20"/>
          <w:szCs w:val="20"/>
          <w:lang w:val="en-US" w:eastAsia="zh-CN"/>
        </w:rPr>
        <w:t>Table S3. Antibodies used for Western blot</w:t>
      </w:r>
    </w:p>
    <w:tbl>
      <w:tblPr>
        <w:tblStyle w:val="3"/>
        <w:tblW w:w="0" w:type="auto"/>
        <w:tblInd w:w="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0"/>
        <w:gridCol w:w="1880"/>
        <w:gridCol w:w="2550"/>
        <w:gridCol w:w="9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bookmarkStart w:id="12" w:name="OLE_LINK3"/>
            <w:r>
              <w:rPr>
                <w:rFonts w:hint="eastAsia" w:ascii="Arial" w:hAnsi="Arial" w:cs="Arial"/>
                <w:b/>
                <w:bCs/>
                <w:sz w:val="20"/>
                <w:szCs w:val="20"/>
                <w:lang w:val="en-US" w:eastAsia="zh-CN"/>
              </w:rPr>
              <w:t>Antibody</w:t>
            </w:r>
            <w:bookmarkEnd w:id="12"/>
          </w:p>
        </w:tc>
        <w:tc>
          <w:tcPr>
            <w:tcW w:w="18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sz w:val="20"/>
                <w:szCs w:val="20"/>
                <w:vertAlign w:val="baseline"/>
                <w:lang w:val="en-US" w:eastAsia="zh-CN"/>
              </w:rPr>
              <w:t>Species drived from</w:t>
            </w:r>
          </w:p>
        </w:tc>
        <w:tc>
          <w:tcPr>
            <w:tcW w:w="25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sz w:val="20"/>
                <w:szCs w:val="20"/>
                <w:vertAlign w:val="baseline"/>
                <w:lang w:val="en-US" w:eastAsia="zh-CN"/>
              </w:rPr>
              <w:t>Company</w:t>
            </w:r>
          </w:p>
        </w:tc>
        <w:tc>
          <w:tcPr>
            <w:tcW w:w="9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sz w:val="20"/>
                <w:szCs w:val="20"/>
                <w:vertAlign w:val="baseline"/>
                <w:lang w:val="en-US" w:eastAsia="zh-CN"/>
              </w:rPr>
              <w:t>Dilution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0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PPARgamma(C26H12)</w:t>
            </w:r>
          </w:p>
        </w:tc>
        <w:tc>
          <w:tcPr>
            <w:tcW w:w="1880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Rabbit mAb</w:t>
            </w:r>
          </w:p>
        </w:tc>
        <w:tc>
          <w:tcPr>
            <w:tcW w:w="2550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Cell</w:t>
            </w: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Signaling</w:t>
            </w: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Technology</w:t>
            </w:r>
          </w:p>
        </w:tc>
        <w:tc>
          <w:tcPr>
            <w:tcW w:w="996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  <w:t>1/1000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 xml:space="preserve">Anti-C/EBPα 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Rabbit pAb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eastAsia="宋体" w:cs="Aria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Wanleibio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  <w:t>1/500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eastAsia="宋体" w:cs="Aria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Anti-</w:t>
            </w: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FABP4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Rabbit pAb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eastAsia="宋体" w:cs="Aria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Proteintech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  <w:t>1/1000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eastAsia="宋体" w:cs="Aria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 xml:space="preserve">Anti-C/EBPβ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Rabbit pAb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eastAsia="宋体" w:cs="Aria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Wanleibio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  <w:t>1/500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left"/>
              <w:rPr>
                <w:rFonts w:hint="default" w:ascii="Arial" w:hAnsi="Arial" w:eastAsia="宋体" w:cs="Aria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 xml:space="preserve">Fatty Acid Synthase (C20G5)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Rabbit mAb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eastAsia="宋体" w:cs="Aria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Cell Signaling Technology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  <w:t>1/1000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eastAsia="宋体" w:cs="Aria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 xml:space="preserve">Jak2 (D2E12)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Rabbit mAb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Cell Signaling Technology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  <w:t>1/1000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rPr>
                <w:rFonts w:hint="default" w:ascii="Arial" w:hAnsi="Arial" w:eastAsia="宋体" w:cs="Aria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 xml:space="preserve">Phospho-Jak2 (Tyr1007/1008) (C80C3)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Rabbit mAb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Cell Signaling Technology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  <w:t>1/1000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eastAsia="宋体" w:cs="Aria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 xml:space="preserve">Stat3 (D3Z2G)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Rabbit mAb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Cell Signaling Technology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  <w:t>1/1000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hint="default" w:ascii="Arial" w:hAnsi="Arial" w:eastAsia="宋体" w:cs="Aria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 xml:space="preserve">Phospho-Stat3 (Tyr705) (D3A7)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Rabbit mAb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Cell Signaling Technology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  <w:t>1/1000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eastAsia="宋体" w:cs="Aria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 xml:space="preserve">Anti-NRF2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Rabbit pAb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Wanleibio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  <w:t>1/500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eastAsia="宋体" w:cs="Aria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Anti-HO-1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Rabbit pAb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Wanleibio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  <w:t>1/500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eastAsia="宋体" w:cs="Aria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 xml:space="preserve">Anti-NQO1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Rabbit pAb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Wanleibio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  <w:t>1/500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left"/>
              <w:rPr>
                <w:rFonts w:hint="default" w:ascii="Arial" w:hAnsi="Arial" w:eastAsia="宋体" w:cs="Aria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SOD1(24): sc-101523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  <w:t>Mouse mAb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eastAsia="宋体" w:cs="Aria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Santa Cruz Biotechnology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  <w:t>1/1000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eastAsia="宋体" w:cs="Aria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 xml:space="preserve">GAPDH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Rabbit pAb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eastAsia="宋体" w:cs="Aria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Proteintech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  <w:t>1/5000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eastAsia="宋体" w:cs="Aria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HRP-conjugated</w:t>
            </w: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Affinipure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Goat Anti-Rabbit IgG(H+L)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Proteintech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  <w:t>1/5000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spacing w:line="480" w:lineRule="auto"/>
              <w:jc w:val="left"/>
              <w:rPr>
                <w:rFonts w:hint="default" w:ascii="Arial" w:hAnsi="Arial" w:eastAsia="宋体" w:cs="Aria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 xml:space="preserve">HRP-conjugated Affinipure 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spacing w:line="24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Goat Anti-Mouse IgG(H+L)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eastAsia="宋体" w:cs="Aria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Proteintech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  <w:t>1/5000</w:t>
            </w:r>
          </w:p>
        </w:tc>
      </w:tr>
    </w:tbl>
    <w:p>
      <w:pPr>
        <w:rPr>
          <w:rFonts w:hint="eastAsia" w:ascii="Arial" w:hAnsi="Arial" w:cs="Arial"/>
          <w:sz w:val="20"/>
          <w:szCs w:val="20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rPr>
          <w:rFonts w:hint="eastAsia" w:ascii="Arial" w:hAnsi="Arial" w:cs="Arial"/>
          <w:b/>
          <w:bCs/>
          <w:sz w:val="20"/>
          <w:szCs w:val="20"/>
          <w:lang w:val="en-US" w:eastAsia="zh-CN"/>
        </w:rPr>
      </w:pPr>
      <w:r>
        <w:rPr>
          <w:rFonts w:hint="eastAsia" w:ascii="Arial" w:hAnsi="Arial" w:cs="Arial"/>
          <w:b/>
          <w:bCs/>
          <w:sz w:val="20"/>
          <w:szCs w:val="20"/>
          <w:lang w:val="en-US" w:eastAsia="zh-CN"/>
        </w:rPr>
        <w:t xml:space="preserve">Table S4: Antibodies used for </w:t>
      </w:r>
      <w:bookmarkStart w:id="13" w:name="OLE_LINK1"/>
      <w:r>
        <w:rPr>
          <w:rFonts w:hint="eastAsia" w:ascii="Arial" w:hAnsi="Arial" w:cs="Arial"/>
          <w:b/>
          <w:bCs/>
          <w:sz w:val="20"/>
          <w:szCs w:val="20"/>
          <w:lang w:val="en-US" w:eastAsia="zh-CN"/>
        </w:rPr>
        <w:t>assess</w:t>
      </w:r>
      <w:bookmarkEnd w:id="13"/>
      <w:r>
        <w:rPr>
          <w:rFonts w:hint="eastAsia" w:ascii="Arial" w:hAnsi="Arial" w:cs="Arial"/>
          <w:b/>
          <w:bCs/>
          <w:sz w:val="20"/>
          <w:szCs w:val="20"/>
          <w:lang w:val="en-US" w:eastAsia="zh-CN"/>
        </w:rPr>
        <w:t>ing BM primitive cells and BM cell differentiation</w:t>
      </w:r>
    </w:p>
    <w:tbl>
      <w:tblPr>
        <w:tblStyle w:val="3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0"/>
        <w:gridCol w:w="3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512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spacing w:line="480" w:lineRule="auto"/>
              <w:rPr>
                <w:rFonts w:hint="eastAsia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bookmarkStart w:id="14" w:name="OLE_LINK4" w:colFirst="0" w:colLast="1"/>
            <w:r>
              <w:rPr>
                <w:rFonts w:hint="eastAsia" w:ascii="Arial" w:hAnsi="Arial" w:cs="Arial"/>
                <w:b/>
                <w:bCs/>
                <w:sz w:val="20"/>
                <w:szCs w:val="20"/>
                <w:lang w:val="en-US" w:eastAsia="zh-CN"/>
              </w:rPr>
              <w:t>Antibody</w:t>
            </w:r>
          </w:p>
        </w:tc>
        <w:tc>
          <w:tcPr>
            <w:tcW w:w="317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spacing w:line="480" w:lineRule="auto"/>
              <w:rPr>
                <w:rFonts w:hint="eastAsia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sz w:val="20"/>
                <w:szCs w:val="20"/>
                <w:vertAlign w:val="baseline"/>
                <w:lang w:val="en-US" w:eastAsia="zh-CN"/>
              </w:rPr>
              <w:t>Company</w:t>
            </w:r>
          </w:p>
        </w:tc>
      </w:tr>
      <w:bookmarkEnd w:id="14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5120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Anti-mouse Lineage V450</w:t>
            </w:r>
          </w:p>
        </w:tc>
        <w:tc>
          <w:tcPr>
            <w:tcW w:w="3170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BD Pharmingen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Anti-mouse Sca-1 PE</w:t>
            </w:r>
          </w:p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BD Pharmingen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left"/>
              <w:rPr>
                <w:rFonts w:hint="default"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Anti-mouse</w:t>
            </w: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C-kit PerCP-eFluor710</w:t>
            </w:r>
          </w:p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eastAsia="宋体" w:cs="Aria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eBioscience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Anti-mouse CD41 PerCP-Vio700</w:t>
            </w:r>
          </w:p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eastAsia="宋体" w:cs="Aria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Miltenyi Biotec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eastAsia="宋体" w:cs="Aria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Anti-mouse</w:t>
            </w: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 xml:space="preserve"> Gr-1 FITC</w:t>
            </w:r>
          </w:p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Miltenyi Biotec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Anti-mouse mac-1 PE</w:t>
            </w:r>
          </w:p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BD Pharmingen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Anti-mouse Ter119 VioBlue</w:t>
            </w:r>
          </w:p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Miltenyi Biotec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Anti-mouse B220 APC-Cy7</w:t>
            </w:r>
          </w:p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eastAsia="宋体" w:cs="Aria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BD Pharmingen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512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Anti-mouse CD3 BV510</w:t>
            </w:r>
          </w:p>
        </w:tc>
        <w:tc>
          <w:tcPr>
            <w:tcW w:w="317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spacing w:line="480" w:lineRule="auto"/>
              <w:rPr>
                <w:rFonts w:hint="default" w:ascii="Arial" w:hAnsi="Arial" w:eastAsia="宋体" w:cs="Aria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BD Pharmingen</w:t>
            </w:r>
          </w:p>
        </w:tc>
      </w:tr>
    </w:tbl>
    <w:p>
      <w:pPr>
        <w:rPr>
          <w:rFonts w:hint="eastAsia" w:ascii="Arial" w:hAnsi="Arial" w:cs="Arial"/>
          <w:sz w:val="20"/>
          <w:szCs w:val="20"/>
          <w:lang w:val="en-US" w:eastAsia="zh-CN"/>
        </w:rPr>
      </w:pPr>
      <w:r>
        <w:rPr>
          <w:rFonts w:hint="eastAsia" w:ascii="Arial" w:hAnsi="Arial" w:cs="Arial"/>
          <w:sz w:val="20"/>
          <w:szCs w:val="20"/>
          <w:lang w:val="en-US" w:eastAsia="zh-CN"/>
        </w:rPr>
        <w:tab/>
      </w:r>
    </w:p>
    <w:p>
      <w:pPr>
        <w:rPr>
          <w:rFonts w:hint="eastAsia" w:ascii="Arial" w:hAnsi="Arial" w:cs="Arial"/>
          <w:sz w:val="20"/>
          <w:szCs w:val="20"/>
          <w:lang w:val="en-US" w:eastAsia="zh-CN"/>
        </w:rPr>
      </w:pPr>
      <w:r>
        <w:rPr>
          <w:rFonts w:hint="eastAsia" w:ascii="Arial" w:hAnsi="Arial" w:cs="Arial"/>
          <w:sz w:val="20"/>
          <w:szCs w:val="20"/>
          <w:lang w:val="en-US" w:eastAsia="zh-CN"/>
        </w:rPr>
        <w:tab/>
      </w:r>
    </w:p>
    <w:p>
      <w:pPr>
        <w:rPr>
          <w:rFonts w:hint="eastAsia" w:ascii="Arial" w:hAnsi="Arial" w:cs="Arial"/>
          <w:sz w:val="20"/>
          <w:szCs w:val="20"/>
          <w:lang w:val="en-US" w:eastAsia="zh-CN"/>
        </w:rPr>
      </w:pPr>
      <w:r>
        <w:rPr>
          <w:rFonts w:hint="eastAsia" w:ascii="Arial" w:hAnsi="Arial" w:cs="Arial"/>
          <w:sz w:val="20"/>
          <w:szCs w:val="20"/>
          <w:lang w:val="en-US" w:eastAsia="zh-CN"/>
        </w:rPr>
        <w:tab/>
      </w:r>
    </w:p>
    <w:p>
      <w:pPr>
        <w:rPr>
          <w:rFonts w:hint="eastAsia" w:ascii="Arial" w:hAnsi="Arial" w:cs="Arial"/>
          <w:sz w:val="20"/>
          <w:szCs w:val="20"/>
          <w:lang w:val="en-US" w:eastAsia="zh-CN"/>
        </w:rPr>
      </w:pPr>
      <w:r>
        <w:rPr>
          <w:rFonts w:hint="eastAsia" w:ascii="Arial" w:hAnsi="Arial" w:cs="Arial"/>
          <w:sz w:val="20"/>
          <w:szCs w:val="20"/>
          <w:lang w:val="en-US" w:eastAsia="zh-CN"/>
        </w:rPr>
        <w:tab/>
      </w:r>
    </w:p>
    <w:p>
      <w:pPr>
        <w:rPr>
          <w:rFonts w:hint="eastAsia" w:ascii="Arial" w:hAnsi="Arial" w:cs="Arial"/>
          <w:sz w:val="20"/>
          <w:szCs w:val="20"/>
          <w:lang w:val="en-US" w:eastAsia="zh-CN"/>
        </w:rPr>
      </w:pPr>
      <w:r>
        <w:rPr>
          <w:rFonts w:hint="eastAsia" w:ascii="Arial" w:hAnsi="Arial" w:cs="Arial"/>
          <w:sz w:val="20"/>
          <w:szCs w:val="20"/>
          <w:lang w:val="en-US" w:eastAsia="zh-CN"/>
        </w:rPr>
        <w:tab/>
      </w:r>
    </w:p>
    <w:p>
      <w:pPr>
        <w:rPr>
          <w:rFonts w:hint="eastAsia" w:ascii="Arial" w:hAnsi="Arial" w:cs="Arial"/>
          <w:sz w:val="20"/>
          <w:szCs w:val="20"/>
          <w:lang w:val="en-US" w:eastAsia="zh-CN"/>
        </w:rPr>
      </w:pPr>
      <w:r>
        <w:rPr>
          <w:rFonts w:hint="eastAsia" w:ascii="Arial" w:hAnsi="Arial" w:cs="Arial"/>
          <w:sz w:val="20"/>
          <w:szCs w:val="20"/>
          <w:lang w:val="en-US" w:eastAsia="zh-CN"/>
        </w:rPr>
        <w:tab/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2MzJhZDllMzY3MzFiYjIzZTcxZjlhYjM0M2NmMzMifQ=="/>
    <w:docVar w:name="KY_MEDREF_DOCUID" w:val="{3E0E4784-2C04-46CB-AAE7-046B168A0A3D}"/>
    <w:docVar w:name="KY_MEDREF_VERSION" w:val="3"/>
  </w:docVars>
  <w:rsids>
    <w:rsidRoot w:val="00000000"/>
    <w:rsid w:val="067B3A34"/>
    <w:rsid w:val="0BE67BA2"/>
    <w:rsid w:val="1864257A"/>
    <w:rsid w:val="1CC932F4"/>
    <w:rsid w:val="231F5A1C"/>
    <w:rsid w:val="240B41F2"/>
    <w:rsid w:val="2E905A1F"/>
    <w:rsid w:val="2EE07859"/>
    <w:rsid w:val="2F6B1FE9"/>
    <w:rsid w:val="3049057C"/>
    <w:rsid w:val="30766E97"/>
    <w:rsid w:val="30A77D27"/>
    <w:rsid w:val="312E1520"/>
    <w:rsid w:val="367D2D2D"/>
    <w:rsid w:val="38602906"/>
    <w:rsid w:val="3AB123B2"/>
    <w:rsid w:val="3FAF7CCF"/>
    <w:rsid w:val="40B97058"/>
    <w:rsid w:val="45852B66"/>
    <w:rsid w:val="4C082C41"/>
    <w:rsid w:val="4C213D03"/>
    <w:rsid w:val="50433D19"/>
    <w:rsid w:val="53486019"/>
    <w:rsid w:val="53D004E8"/>
    <w:rsid w:val="545253A1"/>
    <w:rsid w:val="57233025"/>
    <w:rsid w:val="59C3464B"/>
    <w:rsid w:val="5B920779"/>
    <w:rsid w:val="5C043CDC"/>
    <w:rsid w:val="5EDE7177"/>
    <w:rsid w:val="5FA10F8B"/>
    <w:rsid w:val="616577CB"/>
    <w:rsid w:val="66E14363"/>
    <w:rsid w:val="66FB5425"/>
    <w:rsid w:val="705D2CAC"/>
    <w:rsid w:val="735F29F3"/>
    <w:rsid w:val="78016613"/>
    <w:rsid w:val="7A94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2024-04-03T06:11:00Z</dcterms:created>
  <dc:creator>F</dc:creator>
  <cp:lastModifiedBy>徐婉斐</cp:lastModifiedBy>
  <dcterms:modified xsi:type="dcterms:W3CDTF">2024-07-02T08:33:16Z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E4E4F75A80D14D3FA9561B6E320BF665_12</vt:lpwstr>
  </property>
</Properties>
</file>