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7680C2" w14:textId="1BE2894C" w:rsidR="00206876" w:rsidRPr="009B38FB" w:rsidRDefault="00206876" w:rsidP="0020687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0" w:name="_GoBack"/>
      <w:r w:rsidRPr="009B38FB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material</w:t>
      </w:r>
    </w:p>
    <w:p w14:paraId="02702AE5" w14:textId="77777777" w:rsidR="00206876" w:rsidRPr="009B38FB" w:rsidRDefault="00206876" w:rsidP="0020687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080D1CF" w14:textId="77777777" w:rsidR="00206876" w:rsidRPr="009B38FB" w:rsidRDefault="00206876" w:rsidP="0020687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D2B1194" w14:textId="38F52B09" w:rsidR="00206876" w:rsidRPr="009B38FB" w:rsidRDefault="00206876" w:rsidP="0020687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B38FB">
        <w:rPr>
          <w:rFonts w:ascii="Times New Roman" w:hAnsi="Times New Roman" w:cs="Times New Roman"/>
          <w:b/>
          <w:bCs/>
          <w:sz w:val="28"/>
          <w:szCs w:val="28"/>
          <w:lang w:val="en-US"/>
        </w:rPr>
        <w:t>Hyaluronan Fragments Modulate Inflammation in Preeclampsia: A Focus on Th17/Treg Balance</w:t>
      </w:r>
    </w:p>
    <w:p w14:paraId="484E07DF" w14:textId="77777777" w:rsidR="00206876" w:rsidRPr="009B38FB" w:rsidRDefault="00206876" w:rsidP="00206876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7490DD2F" w14:textId="77777777" w:rsidR="00206876" w:rsidRPr="009B38FB" w:rsidRDefault="00206876" w:rsidP="00206876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748258D8" w14:textId="77777777" w:rsidR="00206876" w:rsidRPr="009B38FB" w:rsidRDefault="00206876" w:rsidP="002068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8FB">
        <w:rPr>
          <w:rFonts w:ascii="Times New Roman" w:hAnsi="Times New Roman" w:cs="Times New Roman"/>
          <w:sz w:val="24"/>
          <w:szCs w:val="24"/>
        </w:rPr>
        <w:t>Mariana Romao-Veiga</w:t>
      </w:r>
      <w:r w:rsidRPr="009B38FB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9B38FB">
        <w:rPr>
          <w:rFonts w:ascii="Times New Roman" w:hAnsi="Times New Roman" w:cs="Times New Roman"/>
          <w:sz w:val="24"/>
          <w:szCs w:val="24"/>
        </w:rPr>
        <w:t>ORCID 0000-0002-8990-0237; Vanessa Rocha Ribeiro-Vasques</w:t>
      </w:r>
      <w:r w:rsidRPr="009B38FB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9B38FB">
        <w:rPr>
          <w:rFonts w:ascii="Times New Roman" w:hAnsi="Times New Roman" w:cs="Times New Roman"/>
          <w:sz w:val="24"/>
          <w:szCs w:val="24"/>
        </w:rPr>
        <w:t>ORCID 0000-0001-7629-7689; Patrícia Braga da Silva</w:t>
      </w:r>
      <w:r w:rsidRPr="009B38FB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9B38FB">
        <w:rPr>
          <w:rFonts w:ascii="Times New Roman" w:hAnsi="Times New Roman" w:cs="Times New Roman"/>
          <w:sz w:val="24"/>
          <w:szCs w:val="24"/>
        </w:rPr>
        <w:t>ORCID 0000-0003-2997-2789; Gabriela de Oliveira Franco</w:t>
      </w:r>
      <w:r w:rsidRPr="009B38FB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9B38FB">
        <w:rPr>
          <w:rFonts w:ascii="Times New Roman" w:hAnsi="Times New Roman" w:cs="Times New Roman"/>
          <w:sz w:val="24"/>
          <w:szCs w:val="24"/>
        </w:rPr>
        <w:t>ORCID 0000-0001-9461-6479; Larissa Ragozo Cardoso de Oliveira</w:t>
      </w:r>
      <w:r w:rsidRPr="009B38FB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9B38FB">
        <w:rPr>
          <w:rFonts w:ascii="Times New Roman" w:hAnsi="Times New Roman" w:cs="Times New Roman"/>
          <w:sz w:val="24"/>
          <w:szCs w:val="24"/>
        </w:rPr>
        <w:t>ORCID 0000-0002-9407-1496; José Carlos Peraçoli</w:t>
      </w:r>
      <w:r w:rsidRPr="009B38FB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9B38FB">
        <w:rPr>
          <w:rFonts w:ascii="Times New Roman" w:hAnsi="Times New Roman" w:cs="Times New Roman"/>
          <w:sz w:val="24"/>
          <w:szCs w:val="24"/>
        </w:rPr>
        <w:t>ORCID 0000-0002-3273-3001; Maria Terezinha Serrão Peraçoli</w:t>
      </w:r>
      <w:r w:rsidRPr="009B38FB">
        <w:rPr>
          <w:rFonts w:ascii="Times New Roman" w:hAnsi="Times New Roman" w:cs="Times New Roman"/>
          <w:sz w:val="24"/>
          <w:szCs w:val="24"/>
          <w:vertAlign w:val="superscript"/>
        </w:rPr>
        <w:t xml:space="preserve">1,2 </w:t>
      </w:r>
      <w:r w:rsidRPr="009B38FB">
        <w:rPr>
          <w:rFonts w:ascii="Times New Roman" w:hAnsi="Times New Roman" w:cs="Times New Roman"/>
          <w:sz w:val="24"/>
          <w:szCs w:val="24"/>
        </w:rPr>
        <w:t>ORCID 0000-0002-0936-9512.</w:t>
      </w:r>
    </w:p>
    <w:p w14:paraId="47975193" w14:textId="77777777" w:rsidR="00206876" w:rsidRPr="009B38FB" w:rsidRDefault="00206876" w:rsidP="00206876">
      <w:pPr>
        <w:spacing w:after="0" w:line="360" w:lineRule="auto"/>
        <w:jc w:val="both"/>
        <w:rPr>
          <w:rFonts w:ascii="Times New Roman" w:hAnsi="Times New Roman" w:cs="Times New Roman"/>
          <w:sz w:val="24"/>
          <w:vertAlign w:val="superscript"/>
        </w:rPr>
      </w:pPr>
    </w:p>
    <w:p w14:paraId="13215F07" w14:textId="77777777" w:rsidR="00206876" w:rsidRPr="009B38FB" w:rsidRDefault="00206876" w:rsidP="0020687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9B38F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9B38FB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Department of Gynecology and Obstetrics, Botucatu Medical School, Sao Paulo State University-UNESP, Botucatu, Sao Paulo, Brazil </w:t>
      </w:r>
    </w:p>
    <w:p w14:paraId="0247553B" w14:textId="77777777" w:rsidR="00206876" w:rsidRPr="009B38FB" w:rsidRDefault="00206876" w:rsidP="0020687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9B38F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9B38FB">
        <w:rPr>
          <w:rFonts w:ascii="Times New Roman" w:hAnsi="Times New Roman" w:cs="Times New Roman"/>
          <w:iCs/>
          <w:sz w:val="24"/>
          <w:szCs w:val="24"/>
          <w:lang w:val="en-US"/>
        </w:rPr>
        <w:t>Department of Genetics, Microbiology and Immunology, Institute of Biosciences, Sao Paulo State University-UNESP, Botucatu, Sao Paulo, Brazil</w:t>
      </w:r>
    </w:p>
    <w:p w14:paraId="059D6911" w14:textId="77777777" w:rsidR="00206876" w:rsidRPr="009B38FB" w:rsidRDefault="00206876" w:rsidP="0020687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2D4603D" w14:textId="77777777" w:rsidR="00206876" w:rsidRPr="009B38FB" w:rsidRDefault="00206876" w:rsidP="0020687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87CAAF7" w14:textId="77777777" w:rsidR="00206876" w:rsidRPr="009B38FB" w:rsidRDefault="00206876" w:rsidP="00206876">
      <w:pPr>
        <w:jc w:val="both"/>
        <w:rPr>
          <w:rFonts w:ascii="Times New Roman" w:hAnsi="Times New Roman" w:cs="Times New Roman"/>
          <w:lang w:val="en-US"/>
        </w:rPr>
      </w:pPr>
      <w:r w:rsidRPr="009B38FB">
        <w:rPr>
          <w:rFonts w:ascii="Times New Roman" w:hAnsi="Times New Roman" w:cs="Times New Roman"/>
          <w:lang w:val="en-US"/>
        </w:rPr>
        <w:t xml:space="preserve">Correspondence should be addressed to Mariana Romao Veiga. </w:t>
      </w:r>
    </w:p>
    <w:p w14:paraId="51B793C3" w14:textId="77777777" w:rsidR="00206876" w:rsidRPr="009B38FB" w:rsidRDefault="00206876" w:rsidP="00206876">
      <w:pPr>
        <w:spacing w:after="0"/>
        <w:jc w:val="both"/>
        <w:rPr>
          <w:rFonts w:ascii="Times New Roman" w:hAnsi="Times New Roman" w:cs="Times New Roman"/>
          <w:iCs/>
          <w:lang w:val="en-US"/>
        </w:rPr>
      </w:pPr>
      <w:r w:rsidRPr="009B38FB">
        <w:rPr>
          <w:rFonts w:ascii="Times New Roman" w:hAnsi="Times New Roman" w:cs="Times New Roman"/>
          <w:bCs/>
          <w:lang w:val="en-US" w:bidi="pt-BR"/>
        </w:rPr>
        <w:t>*</w:t>
      </w:r>
      <w:r w:rsidRPr="009B38FB">
        <w:rPr>
          <w:rFonts w:ascii="Times New Roman" w:hAnsi="Times New Roman" w:cs="Times New Roman"/>
          <w:lang w:val="en-US"/>
        </w:rPr>
        <w:t xml:space="preserve">Corresponding author at </w:t>
      </w:r>
      <w:r w:rsidRPr="009B38FB">
        <w:rPr>
          <w:rFonts w:ascii="Times New Roman" w:hAnsi="Times New Roman" w:cs="Times New Roman"/>
          <w:iCs/>
          <w:lang w:val="en-US"/>
        </w:rPr>
        <w:t>Botucatu Medical School, Sao Paulo State University</w:t>
      </w:r>
      <w:r w:rsidRPr="009B38FB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B38FB">
        <w:rPr>
          <w:rFonts w:ascii="Times New Roman" w:hAnsi="Times New Roman" w:cs="Times New Roman"/>
          <w:iCs/>
          <w:lang w:val="en-US"/>
        </w:rPr>
        <w:t>Unesp</w:t>
      </w:r>
      <w:proofErr w:type="spellEnd"/>
      <w:r w:rsidRPr="009B38FB">
        <w:rPr>
          <w:rFonts w:ascii="Times New Roman" w:hAnsi="Times New Roman" w:cs="Times New Roman"/>
          <w:iCs/>
          <w:lang w:val="en-US"/>
        </w:rPr>
        <w:t xml:space="preserve"> - Sao Paulo State University, Botucatu, Sao Paulo, Brazil.</w:t>
      </w:r>
    </w:p>
    <w:p w14:paraId="0AAC751D" w14:textId="77777777" w:rsidR="00206876" w:rsidRPr="009B38FB" w:rsidRDefault="00206876" w:rsidP="00206876">
      <w:pPr>
        <w:spacing w:after="0"/>
        <w:jc w:val="both"/>
        <w:rPr>
          <w:rFonts w:ascii="Times New Roman" w:hAnsi="Times New Roman" w:cs="Times New Roman"/>
          <w:iCs/>
          <w:lang w:val="en-US"/>
        </w:rPr>
      </w:pPr>
      <w:r w:rsidRPr="009B38FB">
        <w:rPr>
          <w:rFonts w:ascii="Times New Roman" w:hAnsi="Times New Roman" w:cs="Times New Roman"/>
          <w:iCs/>
          <w:lang w:val="en-US"/>
        </w:rPr>
        <w:t>CEP 18618-689 Phone: 55 14 3880 0431</w:t>
      </w:r>
      <w:r w:rsidRPr="009B38FB">
        <w:rPr>
          <w:rFonts w:ascii="Times New Roman" w:hAnsi="Times New Roman" w:cs="Times New Roman"/>
          <w:iCs/>
          <w:lang w:val="en-US"/>
        </w:rPr>
        <w:tab/>
      </w:r>
    </w:p>
    <w:p w14:paraId="151581C6" w14:textId="77777777" w:rsidR="00206876" w:rsidRPr="009B38FB" w:rsidRDefault="00206876" w:rsidP="00206876">
      <w:pPr>
        <w:spacing w:after="0"/>
        <w:jc w:val="both"/>
        <w:rPr>
          <w:rFonts w:ascii="Times New Roman" w:hAnsi="Times New Roman" w:cs="Times New Roman"/>
          <w:iCs/>
          <w:lang w:val="en-US"/>
        </w:rPr>
      </w:pPr>
      <w:r w:rsidRPr="009B38FB">
        <w:rPr>
          <w:rFonts w:ascii="Times New Roman" w:hAnsi="Times New Roman" w:cs="Times New Roman"/>
          <w:iCs/>
          <w:lang w:val="en-US"/>
        </w:rPr>
        <w:t xml:space="preserve">Email address: </w:t>
      </w:r>
      <w:hyperlink r:id="rId4" w:history="1">
        <w:r w:rsidRPr="009B38FB">
          <w:rPr>
            <w:rFonts w:ascii="Times New Roman" w:hAnsi="Times New Roman" w:cs="Times New Roman"/>
            <w:iCs/>
            <w:lang w:val="en-US"/>
          </w:rPr>
          <w:t>romao.veiga@unesp.br</w:t>
        </w:r>
      </w:hyperlink>
    </w:p>
    <w:p w14:paraId="75205128" w14:textId="77777777" w:rsidR="00206876" w:rsidRPr="009B38FB" w:rsidRDefault="00206876" w:rsidP="0020687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C0CF893" w14:textId="77777777" w:rsidR="00582533" w:rsidRPr="009B38FB" w:rsidRDefault="00582533">
      <w:pPr>
        <w:rPr>
          <w:lang w:val="en-US"/>
        </w:rPr>
      </w:pPr>
    </w:p>
    <w:p w14:paraId="4BD3E445" w14:textId="77777777" w:rsidR="00190F44" w:rsidRPr="009B38FB" w:rsidRDefault="00190F44">
      <w:pPr>
        <w:rPr>
          <w:lang w:val="en-US"/>
        </w:rPr>
      </w:pPr>
    </w:p>
    <w:p w14:paraId="764622C8" w14:textId="77777777" w:rsidR="00190F44" w:rsidRPr="009B38FB" w:rsidRDefault="00190F44">
      <w:pPr>
        <w:rPr>
          <w:lang w:val="en-US"/>
        </w:rPr>
      </w:pPr>
    </w:p>
    <w:p w14:paraId="5A8B6D46" w14:textId="77777777" w:rsidR="00190F44" w:rsidRPr="009B38FB" w:rsidRDefault="00190F44">
      <w:pPr>
        <w:rPr>
          <w:lang w:val="en-US"/>
        </w:rPr>
      </w:pPr>
    </w:p>
    <w:p w14:paraId="45F6FB83" w14:textId="77777777" w:rsidR="00190F44" w:rsidRPr="009B38FB" w:rsidRDefault="00190F44">
      <w:pPr>
        <w:rPr>
          <w:lang w:val="en-US"/>
        </w:rPr>
      </w:pPr>
    </w:p>
    <w:p w14:paraId="51BCA2C6" w14:textId="77777777" w:rsidR="00190F44" w:rsidRPr="009B38FB" w:rsidRDefault="00190F44">
      <w:pPr>
        <w:rPr>
          <w:lang w:val="en-US"/>
        </w:rPr>
      </w:pPr>
    </w:p>
    <w:p w14:paraId="176921BE" w14:textId="77777777" w:rsidR="00190F44" w:rsidRPr="009B38FB" w:rsidRDefault="00190F44">
      <w:pPr>
        <w:rPr>
          <w:lang w:val="en-US"/>
        </w:rPr>
      </w:pPr>
    </w:p>
    <w:p w14:paraId="7A893F7B" w14:textId="5F0A24E8" w:rsidR="007B67AD" w:rsidRPr="009B38FB" w:rsidRDefault="00404EF5" w:rsidP="007B67AD">
      <w:pPr>
        <w:jc w:val="both"/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  <w:r w:rsidRPr="009B38FB">
        <w:rPr>
          <w:rFonts w:ascii="Times New Roman" w:hAnsi="Times New Roman" w:cs="Times New Roman"/>
          <w:b/>
          <w:bCs/>
          <w:sz w:val="24"/>
          <w:szCs w:val="32"/>
          <w:lang w:val="en-US"/>
        </w:rPr>
        <w:lastRenderedPageBreak/>
        <w:t>Flow cytometry g</w:t>
      </w:r>
      <w:r w:rsidR="007B67AD" w:rsidRPr="009B38FB">
        <w:rPr>
          <w:rFonts w:ascii="Times New Roman" w:hAnsi="Times New Roman" w:cs="Times New Roman"/>
          <w:b/>
          <w:bCs/>
          <w:sz w:val="24"/>
          <w:szCs w:val="32"/>
          <w:lang w:val="en-US"/>
        </w:rPr>
        <w:t>ate strategy</w:t>
      </w:r>
    </w:p>
    <w:p w14:paraId="0DFBD244" w14:textId="77777777" w:rsidR="007B67AD" w:rsidRPr="009B38FB" w:rsidRDefault="007B67AD" w:rsidP="007B67AD">
      <w:pPr>
        <w:jc w:val="both"/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22E5684C" w14:textId="382FE4FE" w:rsidR="005C1812" w:rsidRPr="009B38FB" w:rsidRDefault="005119FA" w:rsidP="00EA26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B38FB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225F0FAF" wp14:editId="109592C6">
            <wp:extent cx="3350813" cy="1620000"/>
            <wp:effectExtent l="0" t="0" r="2540" b="0"/>
            <wp:docPr id="10049715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813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8DD02" w14:textId="058946B4" w:rsidR="007B67AD" w:rsidRPr="009B38FB" w:rsidRDefault="005C1812" w:rsidP="005C181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  <w:r w:rsidRPr="009B38FB">
        <w:rPr>
          <w:rFonts w:ascii="Times New Roman" w:hAnsi="Times New Roman" w:cs="Times New Roman"/>
          <w:b/>
          <w:bCs/>
          <w:sz w:val="20"/>
          <w:szCs w:val="24"/>
          <w:lang w:val="en-US"/>
        </w:rPr>
        <w:t>Supplementary Fig. S1.</w:t>
      </w:r>
      <w:r w:rsidR="00C376C8" w:rsidRPr="009B38FB">
        <w:rPr>
          <w:rFonts w:ascii="Times New Roman" w:hAnsi="Times New Roman" w:cs="Times New Roman"/>
          <w:b/>
          <w:bCs/>
          <w:sz w:val="20"/>
          <w:szCs w:val="24"/>
          <w:lang w:val="en-US"/>
        </w:rPr>
        <w:t xml:space="preserve"> </w:t>
      </w:r>
      <w:r w:rsidR="00C376C8" w:rsidRPr="009B38FB">
        <w:rPr>
          <w:rFonts w:ascii="Times New Roman" w:hAnsi="Times New Roman" w:cs="Times New Roman"/>
          <w:sz w:val="20"/>
          <w:szCs w:val="24"/>
          <w:lang w:val="en-US"/>
        </w:rPr>
        <w:t>Representative dot plots for</w:t>
      </w:r>
      <w:r w:rsidRPr="009B38FB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C376C8" w:rsidRPr="009B38FB">
        <w:rPr>
          <w:rFonts w:ascii="Times New Roman" w:hAnsi="Times New Roman" w:cs="Times New Roman"/>
          <w:sz w:val="20"/>
          <w:szCs w:val="24"/>
          <w:lang w:val="en-US"/>
        </w:rPr>
        <w:t>p</w:t>
      </w:r>
      <w:r w:rsidRPr="009B38FB">
        <w:rPr>
          <w:rFonts w:ascii="Times New Roman" w:hAnsi="Times New Roman" w:cs="Times New Roman"/>
          <w:sz w:val="20"/>
          <w:szCs w:val="24"/>
          <w:lang w:val="en-US"/>
        </w:rPr>
        <w:t>henotypic strategy analysis of CD4</w:t>
      </w:r>
      <w:r w:rsidRPr="009B38FB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+</w:t>
      </w:r>
      <w:r w:rsidRPr="009B38FB">
        <w:rPr>
          <w:rFonts w:ascii="Times New Roman" w:hAnsi="Times New Roman" w:cs="Times New Roman"/>
          <w:sz w:val="20"/>
          <w:szCs w:val="24"/>
          <w:lang w:val="en-US"/>
        </w:rPr>
        <w:t xml:space="preserve"> T cells by flow cytometry. (A) Gate lymphocytes were based on the size and granularity of the cell population. (B) Gate singlets were based on single cell analysis. </w:t>
      </w:r>
    </w:p>
    <w:p w14:paraId="29C04863" w14:textId="77777777" w:rsidR="007B67AD" w:rsidRPr="009B38FB" w:rsidRDefault="007B67AD">
      <w:pPr>
        <w:rPr>
          <w:lang w:val="en-US"/>
        </w:rPr>
      </w:pPr>
    </w:p>
    <w:p w14:paraId="16DB4091" w14:textId="0A60DB93" w:rsidR="00F95D46" w:rsidRPr="009B38FB" w:rsidRDefault="00C10332" w:rsidP="00C10332">
      <w:pPr>
        <w:spacing w:after="0"/>
        <w:rPr>
          <w:lang w:val="en-US"/>
        </w:rPr>
      </w:pPr>
      <w:r w:rsidRPr="009B38FB">
        <w:rPr>
          <w:noProof/>
          <w:lang w:val="en-IN" w:eastAsia="en-IN"/>
        </w:rPr>
        <w:drawing>
          <wp:inline distT="0" distB="0" distL="0" distR="0" wp14:anchorId="6C74C776" wp14:editId="493B7E16">
            <wp:extent cx="5753100" cy="1435100"/>
            <wp:effectExtent l="0" t="0" r="0" b="0"/>
            <wp:docPr id="4417486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1F418" w14:textId="2D30C1DE" w:rsidR="00190F44" w:rsidRPr="009B38FB" w:rsidRDefault="00190F44" w:rsidP="00190F44">
      <w:pPr>
        <w:jc w:val="both"/>
        <w:rPr>
          <w:rFonts w:ascii="Times New Roman" w:hAnsi="Times New Roman" w:cs="Times New Roman"/>
          <w:szCs w:val="28"/>
          <w:lang w:val="en-US"/>
        </w:rPr>
      </w:pPr>
      <w:r w:rsidRPr="009B38FB">
        <w:rPr>
          <w:rFonts w:ascii="Times New Roman" w:hAnsi="Times New Roman" w:cs="Times New Roman"/>
          <w:b/>
          <w:bCs/>
          <w:szCs w:val="28"/>
          <w:lang w:val="en-US"/>
        </w:rPr>
        <w:t>Supplementary Fig. S</w:t>
      </w:r>
      <w:r w:rsidR="007B67AD" w:rsidRPr="009B38FB">
        <w:rPr>
          <w:rFonts w:ascii="Times New Roman" w:hAnsi="Times New Roman" w:cs="Times New Roman"/>
          <w:b/>
          <w:bCs/>
          <w:szCs w:val="28"/>
          <w:lang w:val="en-US"/>
        </w:rPr>
        <w:t>2</w:t>
      </w:r>
      <w:r w:rsidRPr="009B38FB">
        <w:rPr>
          <w:rFonts w:ascii="Times New Roman" w:hAnsi="Times New Roman" w:cs="Times New Roman"/>
          <w:b/>
          <w:bCs/>
          <w:szCs w:val="28"/>
          <w:lang w:val="en-US"/>
        </w:rPr>
        <w:t>.</w:t>
      </w:r>
      <w:r w:rsidRPr="009B38FB">
        <w:rPr>
          <w:rFonts w:ascii="Times New Roman" w:hAnsi="Times New Roman" w:cs="Times New Roman"/>
          <w:szCs w:val="28"/>
          <w:lang w:val="en-US"/>
        </w:rPr>
        <w:t xml:space="preserve"> </w:t>
      </w:r>
      <w:r w:rsidR="00C376C8" w:rsidRPr="009B38FB">
        <w:rPr>
          <w:rFonts w:ascii="Times New Roman" w:hAnsi="Times New Roman" w:cs="Times New Roman"/>
          <w:sz w:val="20"/>
          <w:szCs w:val="24"/>
          <w:lang w:val="en-US"/>
        </w:rPr>
        <w:t>Representative dot plots for p</w:t>
      </w:r>
      <w:r w:rsidRPr="009B38FB">
        <w:rPr>
          <w:rFonts w:ascii="Times New Roman" w:hAnsi="Times New Roman" w:cs="Times New Roman"/>
          <w:szCs w:val="28"/>
          <w:lang w:val="en-US"/>
        </w:rPr>
        <w:t>henotypic strategy analysis of T</w:t>
      </w:r>
      <w:r w:rsidR="00C376C8" w:rsidRPr="009B38FB">
        <w:rPr>
          <w:rFonts w:ascii="Times New Roman" w:hAnsi="Times New Roman" w:cs="Times New Roman"/>
          <w:szCs w:val="28"/>
          <w:lang w:val="en-US"/>
        </w:rPr>
        <w:t>h</w:t>
      </w:r>
      <w:r w:rsidRPr="009B38FB">
        <w:rPr>
          <w:rFonts w:ascii="Times New Roman" w:hAnsi="Times New Roman" w:cs="Times New Roman"/>
          <w:szCs w:val="28"/>
          <w:lang w:val="en-US"/>
        </w:rPr>
        <w:t xml:space="preserve"> lymphocytes by flow cytometry. (A) Gate CD3</w:t>
      </w:r>
      <w:r w:rsidRPr="009B38FB">
        <w:rPr>
          <w:rFonts w:ascii="Times New Roman" w:hAnsi="Times New Roman" w:cs="Times New Roman"/>
          <w:szCs w:val="28"/>
          <w:vertAlign w:val="superscript"/>
          <w:lang w:val="en-US"/>
        </w:rPr>
        <w:t>+</w:t>
      </w:r>
      <w:r w:rsidRPr="009B38FB">
        <w:rPr>
          <w:rFonts w:ascii="Times New Roman" w:hAnsi="Times New Roman" w:cs="Times New Roman"/>
          <w:szCs w:val="28"/>
          <w:lang w:val="en-US"/>
        </w:rPr>
        <w:t xml:space="preserve"> represents the selection of positive cells for this marker. (</w:t>
      </w:r>
      <w:r w:rsidR="00AA7808" w:rsidRPr="009B38FB">
        <w:rPr>
          <w:rFonts w:ascii="Times New Roman" w:hAnsi="Times New Roman" w:cs="Times New Roman"/>
          <w:szCs w:val="28"/>
          <w:lang w:val="en-US"/>
        </w:rPr>
        <w:t>B</w:t>
      </w:r>
      <w:r w:rsidRPr="009B38FB">
        <w:rPr>
          <w:rFonts w:ascii="Times New Roman" w:hAnsi="Times New Roman" w:cs="Times New Roman"/>
          <w:szCs w:val="28"/>
          <w:lang w:val="en-US"/>
        </w:rPr>
        <w:t>) Gate CD4</w:t>
      </w:r>
      <w:r w:rsidRPr="009B38FB">
        <w:rPr>
          <w:rFonts w:ascii="Times New Roman" w:hAnsi="Times New Roman" w:cs="Times New Roman"/>
          <w:szCs w:val="28"/>
          <w:vertAlign w:val="superscript"/>
          <w:lang w:val="en-US"/>
        </w:rPr>
        <w:t>+</w:t>
      </w:r>
      <w:r w:rsidRPr="009B38FB">
        <w:rPr>
          <w:rFonts w:ascii="Times New Roman" w:hAnsi="Times New Roman" w:cs="Times New Roman"/>
          <w:szCs w:val="28"/>
          <w:lang w:val="en-US"/>
        </w:rPr>
        <w:t xml:space="preserve"> represents the selection of positive cells for this marker</w:t>
      </w:r>
      <w:r w:rsidR="00AA7808" w:rsidRPr="009B38FB">
        <w:rPr>
          <w:rFonts w:ascii="Times New Roman" w:hAnsi="Times New Roman" w:cs="Times New Roman"/>
          <w:szCs w:val="28"/>
          <w:lang w:val="en-US"/>
        </w:rPr>
        <w:t>.</w:t>
      </w:r>
      <w:r w:rsidRPr="009B38FB">
        <w:rPr>
          <w:rFonts w:ascii="Times New Roman" w:hAnsi="Times New Roman" w:cs="Times New Roman"/>
          <w:szCs w:val="28"/>
          <w:lang w:val="en-US"/>
        </w:rPr>
        <w:t xml:space="preserve"> (</w:t>
      </w:r>
      <w:r w:rsidR="00AA7808" w:rsidRPr="009B38FB">
        <w:rPr>
          <w:rFonts w:ascii="Times New Roman" w:hAnsi="Times New Roman" w:cs="Times New Roman"/>
          <w:szCs w:val="28"/>
          <w:lang w:val="en-US"/>
        </w:rPr>
        <w:t>C</w:t>
      </w:r>
      <w:r w:rsidRPr="009B38FB">
        <w:rPr>
          <w:rFonts w:ascii="Times New Roman" w:hAnsi="Times New Roman" w:cs="Times New Roman"/>
          <w:szCs w:val="28"/>
          <w:lang w:val="en-US"/>
        </w:rPr>
        <w:t xml:space="preserve">) </w:t>
      </w:r>
      <w:r w:rsidR="00C10332" w:rsidRPr="009B38FB">
        <w:rPr>
          <w:rFonts w:ascii="Times New Roman" w:hAnsi="Times New Roman" w:cs="Times New Roman"/>
          <w:szCs w:val="28"/>
          <w:lang w:val="en-US"/>
        </w:rPr>
        <w:t xml:space="preserve">Gate for cell population were transcription factors T-bet and </w:t>
      </w:r>
      <w:proofErr w:type="spellStart"/>
      <w:r w:rsidR="00C10332" w:rsidRPr="009B38FB">
        <w:rPr>
          <w:rFonts w:ascii="Times New Roman" w:hAnsi="Times New Roman" w:cs="Times New Roman"/>
          <w:szCs w:val="28"/>
          <w:lang w:val="en-US"/>
        </w:rPr>
        <w:t>RORγt</w:t>
      </w:r>
      <w:proofErr w:type="spellEnd"/>
      <w:r w:rsidR="00C10332" w:rsidRPr="009B38FB">
        <w:rPr>
          <w:rFonts w:ascii="Times New Roman" w:hAnsi="Times New Roman" w:cs="Times New Roman"/>
          <w:szCs w:val="28"/>
          <w:lang w:val="en-US"/>
        </w:rPr>
        <w:t xml:space="preserve">, and intracellular cytokines TNF and IL-17 were analyzed. </w:t>
      </w:r>
      <w:r w:rsidR="009A3761" w:rsidRPr="009B38FB">
        <w:rPr>
          <w:rFonts w:ascii="Times New Roman" w:hAnsi="Times New Roman" w:cs="Times New Roman"/>
          <w:szCs w:val="28"/>
          <w:lang w:val="en-US"/>
        </w:rPr>
        <w:t xml:space="preserve">(D) </w:t>
      </w:r>
      <w:r w:rsidR="00C10332" w:rsidRPr="009B38FB">
        <w:rPr>
          <w:rFonts w:ascii="Times New Roman" w:hAnsi="Times New Roman" w:cs="Times New Roman"/>
          <w:szCs w:val="28"/>
          <w:lang w:val="en-US"/>
        </w:rPr>
        <w:t>Gate CD44</w:t>
      </w:r>
      <w:r w:rsidR="00C10332" w:rsidRPr="009B38FB">
        <w:rPr>
          <w:rFonts w:ascii="Times New Roman" w:hAnsi="Times New Roman" w:cs="Times New Roman"/>
          <w:szCs w:val="28"/>
          <w:vertAlign w:val="superscript"/>
          <w:lang w:val="en-US"/>
        </w:rPr>
        <w:t>+</w:t>
      </w:r>
      <w:r w:rsidR="00C10332" w:rsidRPr="009B38FB">
        <w:rPr>
          <w:rFonts w:ascii="Times New Roman" w:hAnsi="Times New Roman" w:cs="Times New Roman"/>
          <w:szCs w:val="28"/>
          <w:lang w:val="en-US"/>
        </w:rPr>
        <w:t xml:space="preserve"> represents the selection of positive cells for this marker.</w:t>
      </w:r>
    </w:p>
    <w:p w14:paraId="4208C8A7" w14:textId="77777777" w:rsidR="003923D5" w:rsidRPr="009B38FB" w:rsidRDefault="003923D5">
      <w:pPr>
        <w:rPr>
          <w:lang w:val="en-US"/>
        </w:rPr>
      </w:pPr>
    </w:p>
    <w:p w14:paraId="258CDF6F" w14:textId="611E5123" w:rsidR="003923D5" w:rsidRPr="009B38FB" w:rsidRDefault="00404EF5">
      <w:pPr>
        <w:rPr>
          <w:lang w:val="en-US"/>
        </w:rPr>
      </w:pPr>
      <w:r w:rsidRPr="009B38FB">
        <w:rPr>
          <w:noProof/>
          <w:lang w:val="en-IN" w:eastAsia="en-IN"/>
        </w:rPr>
        <w:drawing>
          <wp:inline distT="0" distB="0" distL="0" distR="0" wp14:anchorId="631B8973" wp14:editId="2D9811EB">
            <wp:extent cx="5760720" cy="1167130"/>
            <wp:effectExtent l="0" t="0" r="0" b="0"/>
            <wp:docPr id="36952309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523090" name="Imagem 36952309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CB8B3" w14:textId="0AA116DB" w:rsidR="003923D5" w:rsidRPr="009B38FB" w:rsidRDefault="003923D5" w:rsidP="00D268EA">
      <w:pPr>
        <w:jc w:val="both"/>
        <w:rPr>
          <w:rFonts w:ascii="Times New Roman" w:hAnsi="Times New Roman" w:cs="Times New Roman"/>
          <w:szCs w:val="28"/>
          <w:lang w:val="en-US"/>
        </w:rPr>
      </w:pPr>
      <w:r w:rsidRPr="009B38FB">
        <w:rPr>
          <w:rFonts w:ascii="Times New Roman" w:hAnsi="Times New Roman" w:cs="Times New Roman"/>
          <w:b/>
          <w:bCs/>
          <w:szCs w:val="28"/>
          <w:lang w:val="en-US"/>
        </w:rPr>
        <w:t>Supplementary Fig. S</w:t>
      </w:r>
      <w:r w:rsidR="007B67AD" w:rsidRPr="009B38FB">
        <w:rPr>
          <w:rFonts w:ascii="Times New Roman" w:hAnsi="Times New Roman" w:cs="Times New Roman"/>
          <w:b/>
          <w:bCs/>
          <w:szCs w:val="28"/>
          <w:lang w:val="en-US"/>
        </w:rPr>
        <w:t>3</w:t>
      </w:r>
      <w:r w:rsidRPr="009B38FB">
        <w:rPr>
          <w:rFonts w:ascii="Times New Roman" w:hAnsi="Times New Roman" w:cs="Times New Roman"/>
          <w:b/>
          <w:bCs/>
          <w:szCs w:val="28"/>
          <w:lang w:val="en-US"/>
        </w:rPr>
        <w:t>.</w:t>
      </w:r>
      <w:r w:rsidR="00C376C8" w:rsidRPr="009B38FB">
        <w:rPr>
          <w:rFonts w:ascii="Times New Roman" w:hAnsi="Times New Roman" w:cs="Times New Roman"/>
          <w:b/>
          <w:bCs/>
          <w:szCs w:val="28"/>
          <w:lang w:val="en-US"/>
        </w:rPr>
        <w:t xml:space="preserve"> </w:t>
      </w:r>
      <w:r w:rsidR="00C376C8" w:rsidRPr="009B38FB">
        <w:rPr>
          <w:rFonts w:ascii="Times New Roman" w:hAnsi="Times New Roman" w:cs="Times New Roman"/>
          <w:sz w:val="20"/>
          <w:szCs w:val="24"/>
          <w:lang w:val="en-US"/>
        </w:rPr>
        <w:t>Representative dot plots for</w:t>
      </w:r>
      <w:r w:rsidRPr="009B38FB">
        <w:rPr>
          <w:rFonts w:ascii="Times New Roman" w:hAnsi="Times New Roman" w:cs="Times New Roman"/>
          <w:szCs w:val="28"/>
          <w:lang w:val="en-US"/>
        </w:rPr>
        <w:t xml:space="preserve"> </w:t>
      </w:r>
      <w:r w:rsidR="00C376C8" w:rsidRPr="009B38FB">
        <w:rPr>
          <w:rFonts w:ascii="Times New Roman" w:hAnsi="Times New Roman" w:cs="Times New Roman"/>
          <w:szCs w:val="28"/>
          <w:lang w:val="en-US"/>
        </w:rPr>
        <w:t>p</w:t>
      </w:r>
      <w:r w:rsidRPr="009B38FB">
        <w:rPr>
          <w:rFonts w:ascii="Times New Roman" w:hAnsi="Times New Roman" w:cs="Times New Roman"/>
          <w:szCs w:val="28"/>
          <w:lang w:val="en-US"/>
        </w:rPr>
        <w:t>henotypic strategy analysis of T</w:t>
      </w:r>
      <w:r w:rsidR="00C376C8" w:rsidRPr="009B38FB">
        <w:rPr>
          <w:rFonts w:ascii="Times New Roman" w:hAnsi="Times New Roman" w:cs="Times New Roman"/>
          <w:szCs w:val="28"/>
          <w:lang w:val="en-US"/>
        </w:rPr>
        <w:t>h</w:t>
      </w:r>
      <w:r w:rsidRPr="009B38FB">
        <w:rPr>
          <w:rFonts w:ascii="Times New Roman" w:hAnsi="Times New Roman" w:cs="Times New Roman"/>
          <w:szCs w:val="28"/>
          <w:lang w:val="en-US"/>
        </w:rPr>
        <w:t xml:space="preserve"> lymphocytes by flow cytometry. (A) Gate CD3</w:t>
      </w:r>
      <w:r w:rsidRPr="009B38FB">
        <w:rPr>
          <w:rFonts w:ascii="Times New Roman" w:hAnsi="Times New Roman" w:cs="Times New Roman"/>
          <w:szCs w:val="28"/>
          <w:vertAlign w:val="superscript"/>
          <w:lang w:val="en-US"/>
        </w:rPr>
        <w:t>+</w:t>
      </w:r>
      <w:r w:rsidRPr="009B38FB">
        <w:rPr>
          <w:rFonts w:ascii="Times New Roman" w:hAnsi="Times New Roman" w:cs="Times New Roman"/>
          <w:szCs w:val="28"/>
          <w:lang w:val="en-US"/>
        </w:rPr>
        <w:t xml:space="preserve"> represents the selection of positive cells for this marker. (B) Gate CD4</w:t>
      </w:r>
      <w:r w:rsidRPr="009B38FB">
        <w:rPr>
          <w:rFonts w:ascii="Times New Roman" w:hAnsi="Times New Roman" w:cs="Times New Roman"/>
          <w:szCs w:val="28"/>
          <w:vertAlign w:val="superscript"/>
          <w:lang w:val="en-US"/>
        </w:rPr>
        <w:t>+</w:t>
      </w:r>
      <w:r w:rsidRPr="009B38FB">
        <w:rPr>
          <w:rFonts w:ascii="Times New Roman" w:hAnsi="Times New Roman" w:cs="Times New Roman"/>
          <w:szCs w:val="28"/>
          <w:lang w:val="en-US"/>
        </w:rPr>
        <w:t xml:space="preserve"> represents the selection of positive cells for this marker. (C) Gate CD</w:t>
      </w:r>
      <w:r w:rsidR="009A3761" w:rsidRPr="009B38FB">
        <w:rPr>
          <w:rFonts w:ascii="Times New Roman" w:hAnsi="Times New Roman" w:cs="Times New Roman"/>
          <w:szCs w:val="28"/>
          <w:lang w:val="en-US"/>
        </w:rPr>
        <w:t>25</w:t>
      </w:r>
      <w:r w:rsidRPr="009B38FB">
        <w:rPr>
          <w:rFonts w:ascii="Times New Roman" w:hAnsi="Times New Roman" w:cs="Times New Roman"/>
          <w:szCs w:val="28"/>
          <w:vertAlign w:val="superscript"/>
          <w:lang w:val="en-US"/>
        </w:rPr>
        <w:t>+</w:t>
      </w:r>
      <w:r w:rsidRPr="009B38FB">
        <w:rPr>
          <w:rFonts w:ascii="Times New Roman" w:hAnsi="Times New Roman" w:cs="Times New Roman"/>
          <w:szCs w:val="28"/>
          <w:lang w:val="en-US"/>
        </w:rPr>
        <w:t xml:space="preserve"> cell population</w:t>
      </w:r>
      <w:r w:rsidR="00404EF5" w:rsidRPr="009B38FB">
        <w:rPr>
          <w:rFonts w:ascii="Times New Roman" w:hAnsi="Times New Roman" w:cs="Times New Roman"/>
          <w:szCs w:val="28"/>
          <w:lang w:val="en-US"/>
        </w:rPr>
        <w:t>. (D) Gate for transcription factor FoxP3</w:t>
      </w:r>
      <w:r w:rsidRPr="009B38FB">
        <w:rPr>
          <w:rFonts w:ascii="Times New Roman" w:hAnsi="Times New Roman" w:cs="Times New Roman"/>
          <w:szCs w:val="28"/>
          <w:lang w:val="en-US"/>
        </w:rPr>
        <w:t xml:space="preserve"> </w:t>
      </w:r>
      <w:r w:rsidR="00404EF5" w:rsidRPr="009B38FB">
        <w:rPr>
          <w:rFonts w:ascii="Times New Roman" w:hAnsi="Times New Roman" w:cs="Times New Roman"/>
          <w:szCs w:val="28"/>
          <w:lang w:val="en-US"/>
        </w:rPr>
        <w:t>or</w:t>
      </w:r>
      <w:r w:rsidRPr="009B38FB">
        <w:rPr>
          <w:rFonts w:ascii="Times New Roman" w:hAnsi="Times New Roman" w:cs="Times New Roman"/>
          <w:szCs w:val="28"/>
          <w:lang w:val="en-US"/>
        </w:rPr>
        <w:t xml:space="preserve"> intracellular cytokine IL-10 </w:t>
      </w:r>
      <w:r w:rsidR="00404EF5" w:rsidRPr="009B38FB">
        <w:rPr>
          <w:rFonts w:ascii="Times New Roman" w:hAnsi="Times New Roman" w:cs="Times New Roman"/>
          <w:szCs w:val="28"/>
          <w:lang w:val="en-US"/>
        </w:rPr>
        <w:t>positive cells. (E) Gate CD44</w:t>
      </w:r>
      <w:r w:rsidR="00404EF5" w:rsidRPr="009B38FB">
        <w:rPr>
          <w:rFonts w:ascii="Times New Roman" w:hAnsi="Times New Roman" w:cs="Times New Roman"/>
          <w:szCs w:val="28"/>
          <w:vertAlign w:val="superscript"/>
          <w:lang w:val="en-US"/>
        </w:rPr>
        <w:t>+</w:t>
      </w:r>
      <w:r w:rsidR="00404EF5" w:rsidRPr="009B38FB">
        <w:rPr>
          <w:rFonts w:ascii="Times New Roman" w:hAnsi="Times New Roman" w:cs="Times New Roman"/>
          <w:szCs w:val="28"/>
          <w:lang w:val="en-US"/>
        </w:rPr>
        <w:t xml:space="preserve"> represents the selection of positive cells for this marker</w:t>
      </w:r>
      <w:r w:rsidRPr="009B38FB">
        <w:rPr>
          <w:rFonts w:ascii="Times New Roman" w:hAnsi="Times New Roman" w:cs="Times New Roman"/>
          <w:szCs w:val="28"/>
          <w:lang w:val="en-US"/>
        </w:rPr>
        <w:t>.</w:t>
      </w:r>
    </w:p>
    <w:p w14:paraId="13BDAECB" w14:textId="77777777" w:rsidR="001C449B" w:rsidRPr="009B38FB" w:rsidRDefault="001C449B" w:rsidP="00D268EA">
      <w:pPr>
        <w:jc w:val="both"/>
        <w:rPr>
          <w:rFonts w:ascii="Arial" w:hAnsi="Arial" w:cs="Arial"/>
          <w:sz w:val="20"/>
          <w:szCs w:val="24"/>
          <w:lang w:val="en-US"/>
        </w:rPr>
      </w:pPr>
    </w:p>
    <w:p w14:paraId="5CD30F0F" w14:textId="77777777" w:rsidR="00D806B0" w:rsidRPr="009B38FB" w:rsidRDefault="00D806B0" w:rsidP="00D268EA">
      <w:pPr>
        <w:jc w:val="both"/>
        <w:rPr>
          <w:rFonts w:ascii="Arial" w:hAnsi="Arial" w:cs="Arial"/>
          <w:sz w:val="20"/>
          <w:szCs w:val="24"/>
          <w:lang w:val="en-US"/>
        </w:rPr>
      </w:pPr>
    </w:p>
    <w:p w14:paraId="7D8BCF60" w14:textId="77777777" w:rsidR="004221DB" w:rsidRPr="009B38FB" w:rsidRDefault="004221DB" w:rsidP="00D268EA">
      <w:pPr>
        <w:jc w:val="both"/>
        <w:rPr>
          <w:rFonts w:ascii="Arial" w:hAnsi="Arial" w:cs="Arial"/>
          <w:sz w:val="20"/>
          <w:szCs w:val="24"/>
          <w:lang w:val="en-US"/>
        </w:rPr>
      </w:pPr>
    </w:p>
    <w:p w14:paraId="3E9582E0" w14:textId="77777777" w:rsidR="004221DB" w:rsidRPr="009B38FB" w:rsidRDefault="004221DB" w:rsidP="00D268EA">
      <w:pPr>
        <w:jc w:val="both"/>
        <w:rPr>
          <w:rFonts w:ascii="Arial" w:hAnsi="Arial" w:cs="Arial"/>
          <w:sz w:val="20"/>
          <w:szCs w:val="24"/>
          <w:lang w:val="en-US"/>
        </w:rPr>
      </w:pPr>
    </w:p>
    <w:p w14:paraId="30D50ADE" w14:textId="5F6DB041" w:rsidR="00DE6BC8" w:rsidRPr="009B38FB" w:rsidRDefault="00DE6BC8" w:rsidP="00D268EA">
      <w:pPr>
        <w:jc w:val="both"/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  <w:r w:rsidRPr="009B38FB">
        <w:rPr>
          <w:rFonts w:ascii="Times New Roman" w:hAnsi="Times New Roman" w:cs="Times New Roman"/>
          <w:b/>
          <w:bCs/>
          <w:sz w:val="24"/>
          <w:szCs w:val="32"/>
          <w:lang w:val="en-US"/>
        </w:rPr>
        <w:lastRenderedPageBreak/>
        <w:t xml:space="preserve">Cell viability after </w:t>
      </w:r>
      <w:r w:rsidR="00B728BD" w:rsidRPr="009B38FB">
        <w:rPr>
          <w:rFonts w:ascii="Times New Roman" w:hAnsi="Times New Roman" w:cs="Times New Roman"/>
          <w:b/>
          <w:bCs/>
          <w:sz w:val="24"/>
          <w:szCs w:val="32"/>
          <w:lang w:val="en-US"/>
        </w:rPr>
        <w:t>hyaluronan (HA)</w:t>
      </w:r>
      <w:r w:rsidRPr="009B38FB">
        <w:rPr>
          <w:rFonts w:ascii="Times New Roman" w:hAnsi="Times New Roman" w:cs="Times New Roman"/>
          <w:b/>
          <w:bCs/>
          <w:sz w:val="24"/>
          <w:szCs w:val="32"/>
          <w:lang w:val="en-US"/>
        </w:rPr>
        <w:t xml:space="preserve"> exposure</w:t>
      </w:r>
    </w:p>
    <w:p w14:paraId="3C07FA04" w14:textId="771089B8" w:rsidR="001C449B" w:rsidRPr="009B38FB" w:rsidRDefault="00DE6BC8" w:rsidP="00DE6BC8">
      <w:pPr>
        <w:ind w:firstLine="708"/>
        <w:jc w:val="both"/>
        <w:rPr>
          <w:rFonts w:ascii="Times New Roman" w:hAnsi="Times New Roman" w:cs="Times New Roman"/>
          <w:sz w:val="24"/>
          <w:szCs w:val="32"/>
          <w:lang w:val="en-US"/>
        </w:rPr>
      </w:pPr>
      <w:r w:rsidRPr="009B38FB">
        <w:rPr>
          <w:rFonts w:ascii="Times New Roman" w:hAnsi="Times New Roman" w:cs="Times New Roman"/>
          <w:sz w:val="24"/>
          <w:szCs w:val="32"/>
          <w:lang w:val="en-US"/>
        </w:rPr>
        <w:t>Cell viability was assessed after 24 h of culture by flow cytometry using an Annexin V/propidium iodide (PI) assay (</w:t>
      </w:r>
      <w:proofErr w:type="spellStart"/>
      <w:r w:rsidRPr="009B38FB">
        <w:rPr>
          <w:rFonts w:ascii="Times New Roman" w:hAnsi="Times New Roman" w:cs="Times New Roman"/>
          <w:sz w:val="24"/>
          <w:szCs w:val="32"/>
          <w:lang w:val="en-US"/>
        </w:rPr>
        <w:t>Thermo</w:t>
      </w:r>
      <w:proofErr w:type="spellEnd"/>
      <w:r w:rsidRPr="009B38FB">
        <w:rPr>
          <w:rFonts w:ascii="Times New Roman" w:hAnsi="Times New Roman" w:cs="Times New Roman"/>
          <w:sz w:val="24"/>
          <w:szCs w:val="32"/>
          <w:lang w:val="en-US"/>
        </w:rPr>
        <w:t xml:space="preserve"> Fisher). Cell viability was not significantly affected by exposure to </w:t>
      </w:r>
      <w:r w:rsidR="00B728BD" w:rsidRPr="009B38FB">
        <w:rPr>
          <w:rFonts w:ascii="Times New Roman" w:hAnsi="Times New Roman" w:cs="Times New Roman"/>
          <w:sz w:val="24"/>
          <w:szCs w:val="32"/>
          <w:lang w:val="en-US"/>
        </w:rPr>
        <w:t xml:space="preserve">low molecular weight - </w:t>
      </w:r>
      <w:r w:rsidRPr="009B38FB">
        <w:rPr>
          <w:rFonts w:ascii="Times New Roman" w:hAnsi="Times New Roman" w:cs="Times New Roman"/>
          <w:sz w:val="24"/>
          <w:szCs w:val="32"/>
          <w:lang w:val="en-US"/>
        </w:rPr>
        <w:t xml:space="preserve">LMW-HA (Fig S3) or </w:t>
      </w:r>
      <w:r w:rsidR="00B728BD" w:rsidRPr="009B38FB">
        <w:rPr>
          <w:rFonts w:ascii="Times New Roman" w:hAnsi="Times New Roman" w:cs="Times New Roman"/>
          <w:sz w:val="24"/>
          <w:szCs w:val="32"/>
          <w:lang w:val="en-US"/>
        </w:rPr>
        <w:t xml:space="preserve">high molecular weight - </w:t>
      </w:r>
      <w:r w:rsidRPr="009B38FB">
        <w:rPr>
          <w:rFonts w:ascii="Times New Roman" w:hAnsi="Times New Roman" w:cs="Times New Roman"/>
          <w:sz w:val="24"/>
          <w:szCs w:val="32"/>
          <w:lang w:val="en-US"/>
        </w:rPr>
        <w:t>HMW-HA (Fig S4) compared with the unstimulated control culture.</w:t>
      </w:r>
    </w:p>
    <w:p w14:paraId="7B0192FB" w14:textId="77777777" w:rsidR="001C449B" w:rsidRPr="009B38FB" w:rsidRDefault="001C449B" w:rsidP="00D268EA">
      <w:pPr>
        <w:jc w:val="both"/>
        <w:rPr>
          <w:lang w:val="en-US"/>
        </w:rPr>
      </w:pPr>
    </w:p>
    <w:p w14:paraId="5FB10C7E" w14:textId="6A54FDF3" w:rsidR="00DE6BC8" w:rsidRPr="009B38FB" w:rsidRDefault="005F29D3" w:rsidP="00D268EA">
      <w:pPr>
        <w:jc w:val="both"/>
        <w:rPr>
          <w:lang w:val="en-US"/>
        </w:rPr>
      </w:pPr>
      <w:r w:rsidRPr="009B38FB">
        <w:rPr>
          <w:noProof/>
          <w:lang w:val="en-IN" w:eastAsia="en-IN"/>
        </w:rPr>
        <w:drawing>
          <wp:inline distT="0" distB="0" distL="0" distR="0" wp14:anchorId="599F33DC" wp14:editId="65EE5614">
            <wp:extent cx="5421854" cy="4064000"/>
            <wp:effectExtent l="0" t="0" r="7620" b="0"/>
            <wp:docPr id="2235627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562787" name="Imagem 22356278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8429" cy="4068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628E8" w14:textId="1D478902" w:rsidR="004221DB" w:rsidRPr="009B38FB" w:rsidRDefault="00DE6BC8" w:rsidP="004221DB">
      <w:pPr>
        <w:pStyle w:val="BodyText"/>
        <w:spacing w:before="137"/>
        <w:ind w:left="114" w:right="533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B38FB">
        <w:rPr>
          <w:rFonts w:ascii="Times New Roman" w:hAnsi="Times New Roman" w:cs="Times New Roman"/>
          <w:b/>
          <w:bCs/>
          <w:sz w:val="20"/>
          <w:szCs w:val="20"/>
          <w:lang w:val="en-US"/>
        </w:rPr>
        <w:t>Fig S</w:t>
      </w:r>
      <w:r w:rsidR="007B67AD" w:rsidRPr="009B38FB">
        <w:rPr>
          <w:rFonts w:ascii="Times New Roman" w:hAnsi="Times New Roman" w:cs="Times New Roman"/>
          <w:b/>
          <w:bCs/>
          <w:sz w:val="20"/>
          <w:szCs w:val="20"/>
          <w:lang w:val="en-US"/>
        </w:rPr>
        <w:t>4</w:t>
      </w:r>
      <w:r w:rsidRPr="009B38FB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9B38F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221DB" w:rsidRPr="009B38FB">
        <w:rPr>
          <w:rFonts w:ascii="Times New Roman" w:hAnsi="Times New Roman" w:cs="Times New Roman"/>
          <w:sz w:val="20"/>
          <w:szCs w:val="20"/>
          <w:lang w:val="en-US"/>
        </w:rPr>
        <w:t xml:space="preserve">Lymphocyte viability after treatment with different concentrations of </w:t>
      </w:r>
      <w:bookmarkStart w:id="1" w:name="OLE_LINK1"/>
      <w:r w:rsidR="004221DB" w:rsidRPr="009B38FB">
        <w:rPr>
          <w:rFonts w:ascii="Times New Roman" w:hAnsi="Times New Roman" w:cs="Times New Roman"/>
          <w:sz w:val="20"/>
          <w:szCs w:val="20"/>
          <w:lang w:val="en-US"/>
        </w:rPr>
        <w:t>LMW-HA</w:t>
      </w:r>
      <w:bookmarkEnd w:id="1"/>
      <w:r w:rsidR="004221DB" w:rsidRPr="009B38FB">
        <w:rPr>
          <w:rFonts w:ascii="Times New Roman" w:hAnsi="Times New Roman" w:cs="Times New Roman"/>
          <w:sz w:val="20"/>
          <w:szCs w:val="20"/>
          <w:lang w:val="en-US"/>
        </w:rPr>
        <w:t>. (A) Unstained live control; (B) Untreated lymphocyte control (Co); (C) LMW-HA at a concentration of 50 ng/mL; (D) LMW-HA at a concentration of 100 ng/mL; (E) LMW-HA at a concentration of 200 ng/mL; Graphs F and G represent, respectively, the percentages of lymphocytes viability (F) and apoptosis (G) after cell incubation with different concentrations of LMW-HA.</w:t>
      </w:r>
    </w:p>
    <w:p w14:paraId="019C1770" w14:textId="77777777" w:rsidR="004221DB" w:rsidRPr="009B38FB" w:rsidRDefault="004221DB" w:rsidP="004221DB">
      <w:pPr>
        <w:pStyle w:val="BodyText"/>
        <w:spacing w:before="137" w:line="360" w:lineRule="auto"/>
        <w:ind w:left="114" w:right="53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5B76FA4" w14:textId="5C3BDE48" w:rsidR="00DE6BC8" w:rsidRPr="009B38FB" w:rsidRDefault="00DE6BC8" w:rsidP="00D268EA">
      <w:pPr>
        <w:jc w:val="both"/>
        <w:rPr>
          <w:lang w:val="en-US"/>
        </w:rPr>
      </w:pPr>
    </w:p>
    <w:p w14:paraId="40C95672" w14:textId="77777777" w:rsidR="00DE6BC8" w:rsidRPr="009B38FB" w:rsidRDefault="00DE6BC8" w:rsidP="00D268EA">
      <w:pPr>
        <w:jc w:val="both"/>
        <w:rPr>
          <w:lang w:val="en-US"/>
        </w:rPr>
      </w:pPr>
    </w:p>
    <w:p w14:paraId="14BD945F" w14:textId="136DEE06" w:rsidR="00DE6BC8" w:rsidRPr="009B38FB" w:rsidRDefault="005F29D3" w:rsidP="00D268EA">
      <w:pPr>
        <w:jc w:val="both"/>
        <w:rPr>
          <w:lang w:val="en-US"/>
        </w:rPr>
      </w:pPr>
      <w:r w:rsidRPr="009B38FB">
        <w:rPr>
          <w:noProof/>
          <w:lang w:val="en-IN" w:eastAsia="en-IN"/>
        </w:rPr>
        <w:drawing>
          <wp:inline distT="0" distB="0" distL="0" distR="0" wp14:anchorId="7B511DF7" wp14:editId="5C5FE558">
            <wp:extent cx="5760720" cy="4309110"/>
            <wp:effectExtent l="0" t="0" r="0" b="0"/>
            <wp:docPr id="109187829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878299" name="Imagem 109187829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2BF27" w14:textId="436F3B6C" w:rsidR="005F29D3" w:rsidRPr="009B38FB" w:rsidRDefault="007B67AD" w:rsidP="005F29D3">
      <w:pPr>
        <w:pStyle w:val="BodyText"/>
        <w:spacing w:before="137"/>
        <w:ind w:left="114" w:right="533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B38FB">
        <w:rPr>
          <w:rFonts w:ascii="Times New Roman" w:hAnsi="Times New Roman" w:cs="Times New Roman"/>
          <w:b/>
          <w:bCs/>
          <w:sz w:val="20"/>
          <w:szCs w:val="20"/>
          <w:lang w:val="en-US"/>
        </w:rPr>
        <w:t>Fig S5.</w:t>
      </w:r>
      <w:r w:rsidRPr="009B38FB">
        <w:rPr>
          <w:lang w:val="en-US"/>
        </w:rPr>
        <w:t xml:space="preserve"> </w:t>
      </w:r>
      <w:r w:rsidR="005F29D3" w:rsidRPr="009B38FB">
        <w:rPr>
          <w:rFonts w:ascii="Times New Roman" w:hAnsi="Times New Roman" w:cs="Times New Roman"/>
          <w:sz w:val="20"/>
          <w:szCs w:val="20"/>
          <w:lang w:val="en-US"/>
        </w:rPr>
        <w:t>Lymphocyte viability after treatment with different concentrations of HMW-</w:t>
      </w:r>
      <w:proofErr w:type="gramStart"/>
      <w:r w:rsidR="005F29D3" w:rsidRPr="009B38FB">
        <w:rPr>
          <w:rFonts w:ascii="Times New Roman" w:hAnsi="Times New Roman" w:cs="Times New Roman"/>
          <w:sz w:val="20"/>
          <w:szCs w:val="20"/>
          <w:lang w:val="en-US"/>
        </w:rPr>
        <w:t>HA .</w:t>
      </w:r>
      <w:proofErr w:type="gramEnd"/>
      <w:r w:rsidR="005F29D3" w:rsidRPr="009B38FB">
        <w:rPr>
          <w:rFonts w:ascii="Times New Roman" w:hAnsi="Times New Roman" w:cs="Times New Roman"/>
          <w:sz w:val="20"/>
          <w:szCs w:val="20"/>
          <w:lang w:val="en-US"/>
        </w:rPr>
        <w:t xml:space="preserve"> (A) Unstained live control; (B) Untreated lymphocyte control (Co); (C) HMW-HA at a concentration of 50 ng/mL; (D) HMW-HA at a concentration of 100 ng/mL; (E) HMW-HA at a concentration of 200 ng/mL. Graphs F and G represent, respectively, the percentages of lymphocytes viability (F) and apoptosis (G) after cell incubation with different concentrations of HMW-HA.</w:t>
      </w:r>
    </w:p>
    <w:p w14:paraId="345D19FA" w14:textId="701C4987" w:rsidR="007B67AD" w:rsidRPr="009B38FB" w:rsidRDefault="007B67AD" w:rsidP="007B67AD">
      <w:pPr>
        <w:jc w:val="both"/>
        <w:rPr>
          <w:lang w:val="en-US"/>
        </w:rPr>
      </w:pPr>
    </w:p>
    <w:bookmarkEnd w:id="0"/>
    <w:p w14:paraId="3B8D3CAA" w14:textId="77777777" w:rsidR="007B67AD" w:rsidRPr="009B38FB" w:rsidRDefault="007B67AD" w:rsidP="00D268EA">
      <w:pPr>
        <w:jc w:val="both"/>
        <w:rPr>
          <w:lang w:val="en-US"/>
        </w:rPr>
      </w:pPr>
    </w:p>
    <w:sectPr w:rsidR="007B67AD" w:rsidRPr="009B38FB" w:rsidSect="009B38FB">
      <w:pgSz w:w="11906" w:h="16838"/>
      <w:pgMar w:top="1134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876"/>
    <w:rsid w:val="00124914"/>
    <w:rsid w:val="00190F44"/>
    <w:rsid w:val="001C449B"/>
    <w:rsid w:val="00206876"/>
    <w:rsid w:val="002A4B16"/>
    <w:rsid w:val="003923D5"/>
    <w:rsid w:val="00404EF5"/>
    <w:rsid w:val="004221DB"/>
    <w:rsid w:val="00492E47"/>
    <w:rsid w:val="005119FA"/>
    <w:rsid w:val="00582533"/>
    <w:rsid w:val="005C1812"/>
    <w:rsid w:val="005F29D3"/>
    <w:rsid w:val="006070DC"/>
    <w:rsid w:val="0068728C"/>
    <w:rsid w:val="007413C2"/>
    <w:rsid w:val="007936C0"/>
    <w:rsid w:val="007B67AD"/>
    <w:rsid w:val="007D02BC"/>
    <w:rsid w:val="0082141A"/>
    <w:rsid w:val="009A3761"/>
    <w:rsid w:val="009B38FB"/>
    <w:rsid w:val="009F7EEC"/>
    <w:rsid w:val="00A00F9B"/>
    <w:rsid w:val="00AA7808"/>
    <w:rsid w:val="00AC073B"/>
    <w:rsid w:val="00B728BD"/>
    <w:rsid w:val="00BF516C"/>
    <w:rsid w:val="00C10332"/>
    <w:rsid w:val="00C376C8"/>
    <w:rsid w:val="00CE0D48"/>
    <w:rsid w:val="00D268EA"/>
    <w:rsid w:val="00D806B0"/>
    <w:rsid w:val="00DE6BC8"/>
    <w:rsid w:val="00EA265F"/>
    <w:rsid w:val="00F95D46"/>
    <w:rsid w:val="00FF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E8CFB"/>
  <w15:chartTrackingRefBased/>
  <w15:docId w15:val="{E15C0E7E-1B03-40D3-8E02-ABF05A536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876"/>
  </w:style>
  <w:style w:type="paragraph" w:styleId="Heading1">
    <w:name w:val="heading 1"/>
    <w:basedOn w:val="Normal"/>
    <w:next w:val="Normal"/>
    <w:link w:val="Heading1Char"/>
    <w:uiPriority w:val="9"/>
    <w:qFormat/>
    <w:rsid w:val="002068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8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8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8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8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8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8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8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8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8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8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8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8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8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8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8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8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8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8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8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8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8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8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8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8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8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8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8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87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221D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221DB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mailto:romao.veiga@unesp.br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4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Romao Veiga</dc:creator>
  <cp:keywords/>
  <dc:description/>
  <cp:lastModifiedBy>Rathinagiriswaran Balachandran</cp:lastModifiedBy>
  <cp:revision>24</cp:revision>
  <dcterms:created xsi:type="dcterms:W3CDTF">2026-02-03T14:42:00Z</dcterms:created>
  <dcterms:modified xsi:type="dcterms:W3CDTF">2026-10-03T12:31:00Z</dcterms:modified>
</cp:coreProperties>
</file>