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0C5" w:rsidRPr="00384856" w:rsidRDefault="00D350C5" w:rsidP="00D350C5">
      <w:pPr>
        <w:pStyle w:val="berschrift1"/>
        <w:numPr>
          <w:ilvl w:val="0"/>
          <w:numId w:val="0"/>
        </w:numPr>
        <w:ind w:left="360" w:hanging="360"/>
      </w:pPr>
      <w:r w:rsidRPr="00384856">
        <w:t>Appendix</w:t>
      </w:r>
    </w:p>
    <w:p w:rsidR="00D350C5" w:rsidRPr="00384856" w:rsidRDefault="00D350C5" w:rsidP="00D350C5">
      <w:pPr>
        <w:pStyle w:val="berschrift2"/>
        <w:numPr>
          <w:ilvl w:val="0"/>
          <w:numId w:val="0"/>
        </w:numPr>
      </w:pPr>
      <w:r w:rsidRPr="00384856">
        <w:t>A.1: Supplementary information on model implementation</w:t>
      </w:r>
    </w:p>
    <w:p w:rsidR="00D350C5" w:rsidRPr="00384856" w:rsidRDefault="00D350C5" w:rsidP="00D350C5">
      <w:pPr>
        <w:pStyle w:val="berschrift3"/>
        <w:numPr>
          <w:ilvl w:val="0"/>
          <w:numId w:val="0"/>
        </w:numPr>
        <w:ind w:left="1224" w:hanging="504"/>
      </w:pPr>
      <w:r w:rsidRPr="00384856">
        <w:t>Baseline Calibration</w:t>
      </w:r>
    </w:p>
    <w:p w:rsidR="00D350C5" w:rsidRPr="00384856" w:rsidRDefault="00D350C5" w:rsidP="00D350C5">
      <w:r w:rsidRPr="00384856">
        <w:t xml:space="preserve">The implementation of the Baseline entails assumptions about population and settlement developments </w:t>
      </w:r>
      <w:r w:rsidRPr="00384856">
        <w:rPr>
          <w:rFonts w:ascii="Calibri" w:hAnsi="Calibri" w:cs="Calibri"/>
        </w:rPr>
        <w:t>(</w:t>
      </w:r>
      <w:proofErr w:type="spellStart"/>
      <w:r w:rsidRPr="00384856">
        <w:rPr>
          <w:rFonts w:ascii="Calibri" w:hAnsi="Calibri" w:cs="Calibri"/>
        </w:rPr>
        <w:t>Hanika</w:t>
      </w:r>
      <w:proofErr w:type="spellEnd"/>
      <w:r w:rsidRPr="00384856">
        <w:rPr>
          <w:rFonts w:ascii="Calibri" w:hAnsi="Calibri" w:cs="Calibri"/>
        </w:rPr>
        <w:t xml:space="preserve"> 2005, 2010)</w:t>
      </w:r>
      <w:r w:rsidRPr="00384856">
        <w:t xml:space="preserve">, economic growth (1.65% p.a.; </w:t>
      </w:r>
      <w:proofErr w:type="spellStart"/>
      <w:r w:rsidRPr="00384856">
        <w:rPr>
          <w:rFonts w:ascii="Calibri" w:hAnsi="Calibri" w:cs="Calibri"/>
        </w:rPr>
        <w:t>Schiman</w:t>
      </w:r>
      <w:proofErr w:type="spellEnd"/>
      <w:r w:rsidRPr="00384856">
        <w:rPr>
          <w:rFonts w:ascii="Calibri" w:hAnsi="Calibri" w:cs="Calibri"/>
        </w:rPr>
        <w:t xml:space="preserve"> and </w:t>
      </w:r>
      <w:proofErr w:type="spellStart"/>
      <w:r w:rsidRPr="00384856">
        <w:rPr>
          <w:rFonts w:ascii="Calibri" w:hAnsi="Calibri" w:cs="Calibri"/>
        </w:rPr>
        <w:t>Orischnig</w:t>
      </w:r>
      <w:proofErr w:type="spellEnd"/>
      <w:r w:rsidRPr="00384856">
        <w:rPr>
          <w:rFonts w:ascii="Calibri" w:hAnsi="Calibri" w:cs="Calibri"/>
        </w:rPr>
        <w:t xml:space="preserve"> 2012)</w:t>
      </w:r>
      <w:r w:rsidRPr="00384856">
        <w:t>, climate policy (via an exogenous CO</w:t>
      </w:r>
      <w:r w:rsidRPr="00384856">
        <w:rPr>
          <w:vertAlign w:val="subscript"/>
        </w:rPr>
        <w:t>2</w:t>
      </w:r>
      <w:r w:rsidRPr="00384856">
        <w:t xml:space="preserve"> price of 41 €/t; </w:t>
      </w:r>
      <w:r w:rsidRPr="00384856">
        <w:rPr>
          <w:rFonts w:ascii="Calibri" w:hAnsi="Calibri" w:cs="Calibri"/>
        </w:rPr>
        <w:t>IEA 2010)</w:t>
      </w:r>
      <w:r w:rsidRPr="00384856">
        <w:t xml:space="preserve">, as well as the energy </w:t>
      </w:r>
      <w:r w:rsidRPr="00384856">
        <w:rPr>
          <w:rFonts w:ascii="Calibri" w:hAnsi="Calibri" w:cs="Calibri"/>
        </w:rPr>
        <w:t>(IEA 2010)</w:t>
      </w:r>
      <w:r w:rsidRPr="00384856">
        <w:t xml:space="preserve"> and agricultural sector (see </w:t>
      </w:r>
      <w:proofErr w:type="spellStart"/>
      <w:r w:rsidRPr="00384856">
        <w:rPr>
          <w:rFonts w:ascii="Calibri" w:hAnsi="Calibri" w:cs="Times New Roman"/>
          <w:szCs w:val="24"/>
        </w:rPr>
        <w:t>König</w:t>
      </w:r>
      <w:proofErr w:type="spellEnd"/>
      <w:r w:rsidRPr="00384856">
        <w:rPr>
          <w:rFonts w:ascii="Calibri" w:hAnsi="Calibri" w:cs="Times New Roman"/>
          <w:szCs w:val="24"/>
        </w:rPr>
        <w:t xml:space="preserve"> et al. 2015</w:t>
      </w:r>
      <w:r w:rsidRPr="00384856">
        <w:t xml:space="preserve"> for more details).</w:t>
      </w:r>
    </w:p>
    <w:p w:rsidR="00D350C5" w:rsidRPr="00384856" w:rsidRDefault="00D350C5" w:rsidP="00D350C5">
      <w:pPr>
        <w:pStyle w:val="berschrift3"/>
        <w:numPr>
          <w:ilvl w:val="0"/>
          <w:numId w:val="0"/>
        </w:numPr>
        <w:ind w:left="1224" w:hanging="504"/>
      </w:pPr>
      <w:r w:rsidRPr="00384856">
        <w:t>Climate change scenario</w:t>
      </w:r>
    </w:p>
    <w:p w:rsidR="00D350C5" w:rsidRPr="00384856" w:rsidRDefault="00D350C5" w:rsidP="00D350C5">
      <w:r w:rsidRPr="00384856">
        <w:t xml:space="preserve">We implement a “mid-range” climate scenario of a multi-model ensemble from the ENSEMBLES and the CMIP projects, downscaled to Austria (for details, see </w:t>
      </w:r>
      <w:proofErr w:type="spellStart"/>
      <w:r w:rsidRPr="00384856">
        <w:rPr>
          <w:rFonts w:ascii="Calibri" w:hAnsi="Calibri" w:cs="Calibri"/>
        </w:rPr>
        <w:t>Formayer</w:t>
      </w:r>
      <w:proofErr w:type="spellEnd"/>
      <w:r w:rsidRPr="00384856">
        <w:rPr>
          <w:rFonts w:ascii="Calibri" w:hAnsi="Calibri" w:cs="Calibri"/>
        </w:rPr>
        <w:t xml:space="preserve"> et al. 2015</w:t>
      </w:r>
      <w:r w:rsidRPr="00384856">
        <w:t xml:space="preserve">). The localized climate scenario is generated from the Regional Circulation Model COSMO CLM </w:t>
      </w:r>
      <w:r w:rsidRPr="00384856">
        <w:rPr>
          <w:rFonts w:ascii="Calibri" w:hAnsi="Calibri" w:cs="Calibri"/>
        </w:rPr>
        <w:t>(</w:t>
      </w:r>
      <w:proofErr w:type="spellStart"/>
      <w:r w:rsidRPr="00384856">
        <w:rPr>
          <w:rFonts w:ascii="Calibri" w:hAnsi="Calibri" w:cs="Calibri"/>
        </w:rPr>
        <w:t>Meissner</w:t>
      </w:r>
      <w:proofErr w:type="spellEnd"/>
      <w:r w:rsidRPr="00384856">
        <w:rPr>
          <w:rFonts w:ascii="Calibri" w:hAnsi="Calibri" w:cs="Calibri"/>
        </w:rPr>
        <w:t xml:space="preserve"> et al. 2009)</w:t>
      </w:r>
      <w:r w:rsidRPr="00384856">
        <w:t xml:space="preserve"> forced with the Global Circulation Model ECHAM5. As shown in the Austrian Assessment Report 2014 </w:t>
      </w:r>
      <w:r w:rsidRPr="00384856">
        <w:rPr>
          <w:rFonts w:ascii="Calibri" w:hAnsi="Calibri" w:cs="Calibri"/>
        </w:rPr>
        <w:t>(Austrian Panel on Climate Change 2014)</w:t>
      </w:r>
      <w:r w:rsidRPr="00384856">
        <w:t>, the difference in climate signals between the different emission scenarios is very small until mid-century and only becomes more significant towards the end of the 21</w:t>
      </w:r>
      <w:r w:rsidRPr="00384856">
        <w:rPr>
          <w:vertAlign w:val="superscript"/>
        </w:rPr>
        <w:t>st</w:t>
      </w:r>
      <w:r w:rsidRPr="00384856">
        <w:t xml:space="preserve"> century. The focus on the A1B scenario is therefore no serious limitation of the current approach.</w:t>
      </w:r>
    </w:p>
    <w:p w:rsidR="00D350C5" w:rsidRPr="00384856" w:rsidRDefault="00D350C5" w:rsidP="00D350C5">
      <w:pPr>
        <w:pStyle w:val="berschrift3"/>
        <w:numPr>
          <w:ilvl w:val="0"/>
          <w:numId w:val="0"/>
        </w:numPr>
        <w:ind w:left="1224" w:hanging="504"/>
      </w:pPr>
      <w:r w:rsidRPr="00384856">
        <w:t>Modeling of impact chains in remaining impact fields</w:t>
      </w:r>
    </w:p>
    <w:p w:rsidR="00D350C5" w:rsidRPr="00384856" w:rsidRDefault="00D350C5" w:rsidP="00D350C5">
      <w:r w:rsidRPr="00384856">
        <w:t xml:space="preserve">Supplementary to Table </w:t>
      </w:r>
      <w:r w:rsidRPr="00384856">
        <w:rPr>
          <w:noProof/>
        </w:rPr>
        <w:t>1</w:t>
      </w:r>
      <w:r w:rsidRPr="00384856">
        <w:t>, where the modeling of (bio)physical impacts is described for the impact fields Agriculture, Forestry, and Catastrophe Management, Table A.</w:t>
      </w:r>
      <w:r w:rsidRPr="00384856">
        <w:rPr>
          <w:noProof/>
        </w:rPr>
        <w:t>1</w:t>
      </w:r>
      <w:r w:rsidRPr="00384856">
        <w:t xml:space="preserve"> provides the same information for the remaining impact fields that are included in the model. For further details we refer to </w:t>
      </w:r>
      <w:r w:rsidRPr="00384856">
        <w:rPr>
          <w:rFonts w:ascii="Calibri" w:hAnsi="Calibri" w:cs="Calibri"/>
        </w:rPr>
        <w:t>(</w:t>
      </w:r>
      <w:proofErr w:type="spellStart"/>
      <w:r w:rsidRPr="00384856">
        <w:rPr>
          <w:rFonts w:ascii="Calibri" w:hAnsi="Calibri" w:cs="Calibri"/>
        </w:rPr>
        <w:t>Bachner</w:t>
      </w:r>
      <w:proofErr w:type="spellEnd"/>
      <w:r w:rsidRPr="00384856">
        <w:rPr>
          <w:rFonts w:ascii="Calibri" w:hAnsi="Calibri" w:cs="Calibri"/>
        </w:rPr>
        <w:t xml:space="preserve"> et al. 2015a; </w:t>
      </w:r>
      <w:proofErr w:type="spellStart"/>
      <w:r w:rsidRPr="00384856">
        <w:rPr>
          <w:rFonts w:ascii="Calibri" w:hAnsi="Calibri" w:cs="Calibri"/>
        </w:rPr>
        <w:t>Steininger</w:t>
      </w:r>
      <w:proofErr w:type="spellEnd"/>
      <w:r w:rsidRPr="00384856">
        <w:rPr>
          <w:rFonts w:ascii="Calibri" w:hAnsi="Calibri" w:cs="Calibri"/>
        </w:rPr>
        <w:t xml:space="preserve"> et al. 2015)</w:t>
      </w:r>
      <w:r w:rsidRPr="00384856">
        <w:t>.</w:t>
      </w:r>
    </w:p>
    <w:p w:rsidR="00AC4C57" w:rsidRPr="00384856" w:rsidRDefault="00AC4C57" w:rsidP="00AC4C57">
      <w:pPr>
        <w:pStyle w:val="Beschriftung"/>
        <w:keepNext/>
      </w:pPr>
      <w:bookmarkStart w:id="0" w:name="_Ref525146133"/>
      <w:bookmarkStart w:id="1" w:name="_Ref525147617"/>
      <w:bookmarkStart w:id="2" w:name="_Ref439946524"/>
      <w:r w:rsidRPr="00384856">
        <w:lastRenderedPageBreak/>
        <w:t>Table A.</w:t>
      </w:r>
      <w:r w:rsidRPr="00384856">
        <w:rPr>
          <w:noProof/>
        </w:rPr>
        <w:t>1</w:t>
      </w:r>
      <w:bookmarkEnd w:id="0"/>
      <w:r w:rsidRPr="00384856">
        <w:t>: Coverage of impact chains, and (bio-)physical impact models used for the remaining impact fields</w:t>
      </w:r>
      <w:bookmarkEnd w:id="1"/>
    </w:p>
    <w:tbl>
      <w:tblPr>
        <w:tblStyle w:val="Tabellenraster"/>
        <w:tblW w:w="955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98"/>
        <w:gridCol w:w="3690"/>
        <w:gridCol w:w="3870"/>
      </w:tblGrid>
      <w:tr w:rsidR="00AC4C57" w:rsidRPr="00384856" w:rsidTr="00564ACA">
        <w:trPr>
          <w:trHeight w:val="537"/>
          <w:tblHeader/>
        </w:trPr>
        <w:tc>
          <w:tcPr>
            <w:tcW w:w="1998" w:type="dxa"/>
            <w:vMerge w:val="restart"/>
            <w:vAlign w:val="bottom"/>
          </w:tcPr>
          <w:p w:rsidR="00AC4C57" w:rsidRPr="00384856" w:rsidRDefault="00AC4C57" w:rsidP="00564ACA">
            <w:pPr>
              <w:keepNext/>
              <w:spacing w:line="360" w:lineRule="auto"/>
              <w:rPr>
                <w:b/>
                <w:sz w:val="21"/>
                <w:szCs w:val="21"/>
              </w:rPr>
            </w:pPr>
            <w:r w:rsidRPr="00384856">
              <w:rPr>
                <w:b/>
                <w:sz w:val="21"/>
                <w:szCs w:val="21"/>
              </w:rPr>
              <w:t>Impact field</w:t>
            </w:r>
          </w:p>
        </w:tc>
        <w:tc>
          <w:tcPr>
            <w:tcW w:w="3690" w:type="dxa"/>
            <w:vMerge w:val="restart"/>
            <w:vAlign w:val="bottom"/>
          </w:tcPr>
          <w:p w:rsidR="00AC4C57" w:rsidRPr="00384856" w:rsidRDefault="00AC4C57" w:rsidP="00564ACA">
            <w:pPr>
              <w:keepNext/>
              <w:spacing w:line="360" w:lineRule="auto"/>
              <w:rPr>
                <w:b/>
                <w:sz w:val="21"/>
                <w:szCs w:val="21"/>
              </w:rPr>
            </w:pPr>
            <w:r w:rsidRPr="00384856">
              <w:rPr>
                <w:b/>
                <w:sz w:val="21"/>
                <w:szCs w:val="21"/>
              </w:rPr>
              <w:t>Impact chains</w:t>
            </w:r>
          </w:p>
        </w:tc>
        <w:tc>
          <w:tcPr>
            <w:tcW w:w="3870" w:type="dxa"/>
            <w:vMerge w:val="restart"/>
            <w:vAlign w:val="bottom"/>
          </w:tcPr>
          <w:p w:rsidR="00AC4C57" w:rsidRPr="00384856" w:rsidRDefault="00AC4C57" w:rsidP="00564ACA">
            <w:pPr>
              <w:keepNext/>
              <w:spacing w:line="360" w:lineRule="auto"/>
              <w:rPr>
                <w:b/>
                <w:sz w:val="21"/>
                <w:szCs w:val="21"/>
              </w:rPr>
            </w:pPr>
            <w:r w:rsidRPr="00384856">
              <w:rPr>
                <w:b/>
                <w:sz w:val="21"/>
                <w:szCs w:val="21"/>
              </w:rPr>
              <w:t>(Bio)physical impact model</w:t>
            </w:r>
          </w:p>
        </w:tc>
      </w:tr>
      <w:tr w:rsidR="00AC4C57" w:rsidRPr="00384856" w:rsidTr="00564ACA">
        <w:trPr>
          <w:trHeight w:val="509"/>
          <w:tblHeader/>
        </w:trPr>
        <w:tc>
          <w:tcPr>
            <w:tcW w:w="1998" w:type="dxa"/>
            <w:vMerge/>
            <w:vAlign w:val="bottom"/>
            <w:hideMark/>
          </w:tcPr>
          <w:p w:rsidR="00AC4C57" w:rsidRPr="00384856" w:rsidRDefault="00AC4C57" w:rsidP="00564ACA">
            <w:pPr>
              <w:keepNext/>
              <w:spacing w:line="360" w:lineRule="auto"/>
              <w:rPr>
                <w:sz w:val="21"/>
                <w:szCs w:val="21"/>
              </w:rPr>
            </w:pPr>
          </w:p>
        </w:tc>
        <w:tc>
          <w:tcPr>
            <w:tcW w:w="3690" w:type="dxa"/>
            <w:vMerge/>
            <w:vAlign w:val="bottom"/>
            <w:hideMark/>
          </w:tcPr>
          <w:p w:rsidR="00AC4C57" w:rsidRPr="00384856" w:rsidRDefault="00AC4C57" w:rsidP="00564ACA">
            <w:pPr>
              <w:keepNext/>
              <w:spacing w:line="360" w:lineRule="auto"/>
              <w:rPr>
                <w:sz w:val="21"/>
                <w:szCs w:val="21"/>
              </w:rPr>
            </w:pPr>
          </w:p>
        </w:tc>
        <w:tc>
          <w:tcPr>
            <w:tcW w:w="3870" w:type="dxa"/>
            <w:vMerge/>
            <w:vAlign w:val="bottom"/>
            <w:hideMark/>
          </w:tcPr>
          <w:p w:rsidR="00AC4C57" w:rsidRPr="00384856" w:rsidRDefault="00AC4C57" w:rsidP="00564ACA">
            <w:pPr>
              <w:keepNext/>
              <w:spacing w:line="360" w:lineRule="auto"/>
              <w:rPr>
                <w:sz w:val="21"/>
                <w:szCs w:val="21"/>
              </w:rPr>
            </w:pP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Electricity</w:t>
            </w:r>
          </w:p>
        </w:tc>
        <w:tc>
          <w:tcPr>
            <w:tcW w:w="3690" w:type="dxa"/>
            <w:hideMark/>
          </w:tcPr>
          <w:p w:rsidR="00AC4C57" w:rsidRPr="00384856" w:rsidRDefault="00AC4C57" w:rsidP="00AC4C57">
            <w:pPr>
              <w:spacing w:line="288" w:lineRule="auto"/>
              <w:jc w:val="left"/>
              <w:rPr>
                <w:sz w:val="21"/>
                <w:szCs w:val="21"/>
              </w:rPr>
            </w:pPr>
            <w:r w:rsidRPr="00384856">
              <w:rPr>
                <w:sz w:val="21"/>
                <w:szCs w:val="21"/>
              </w:rPr>
              <w:t xml:space="preserve">Change in hydro, wind and solar electricity generation; Lower availability of cooling water for thermal and nuclear power plants, change in generation mix and/or reduction in system reliability </w:t>
            </w:r>
          </w:p>
        </w:tc>
        <w:tc>
          <w:tcPr>
            <w:tcW w:w="3870" w:type="dxa"/>
            <w:hideMark/>
          </w:tcPr>
          <w:p w:rsidR="00AC4C57" w:rsidRPr="00384856" w:rsidRDefault="00AC4C57" w:rsidP="00AC4C57">
            <w:pPr>
              <w:spacing w:line="288" w:lineRule="auto"/>
              <w:jc w:val="left"/>
              <w:rPr>
                <w:sz w:val="21"/>
                <w:szCs w:val="21"/>
              </w:rPr>
            </w:pPr>
            <w:r w:rsidRPr="00384856">
              <w:rPr>
                <w:sz w:val="21"/>
                <w:szCs w:val="21"/>
              </w:rPr>
              <w:t xml:space="preserve">Simulations with dynamic electricity sector dispatch optimization model for electricity and heating </w:t>
            </w:r>
            <w:proofErr w:type="spellStart"/>
            <w:r w:rsidRPr="00384856">
              <w:rPr>
                <w:sz w:val="21"/>
                <w:szCs w:val="21"/>
              </w:rPr>
              <w:t>HiREPS</w:t>
            </w:r>
            <w:proofErr w:type="spellEnd"/>
            <w:r w:rsidRPr="00384856">
              <w:rPr>
                <w:sz w:val="21"/>
                <w:szCs w:val="21"/>
              </w:rPr>
              <w:t xml:space="preserve"> </w:t>
            </w:r>
            <w:r w:rsidRPr="00D350C5">
              <w:rPr>
                <w:rFonts w:ascii="Calibri" w:hAnsi="Calibri"/>
              </w:rPr>
              <w:t>(</w:t>
            </w:r>
            <w:proofErr w:type="spellStart"/>
            <w:r w:rsidRPr="00D350C5">
              <w:rPr>
                <w:rFonts w:ascii="Calibri" w:hAnsi="Calibri"/>
              </w:rPr>
              <w:t>Totschnig</w:t>
            </w:r>
            <w:proofErr w:type="spellEnd"/>
            <w:r w:rsidRPr="00D350C5">
              <w:rPr>
                <w:rFonts w:ascii="Calibri" w:hAnsi="Calibri"/>
              </w:rPr>
              <w:t xml:space="preserve"> et al. 2013b, a; </w:t>
            </w:r>
            <w:proofErr w:type="spellStart"/>
            <w:r w:rsidRPr="00D350C5">
              <w:rPr>
                <w:rFonts w:ascii="Calibri" w:hAnsi="Calibri"/>
              </w:rPr>
              <w:t>Kranzl</w:t>
            </w:r>
            <w:proofErr w:type="spellEnd"/>
            <w:r w:rsidRPr="00D350C5">
              <w:rPr>
                <w:rFonts w:ascii="Calibri" w:hAnsi="Calibri"/>
              </w:rPr>
              <w:t xml:space="preserve"> et al. 2014, 2015)</w:t>
            </w: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Buildings: Heating and Cooling</w:t>
            </w:r>
          </w:p>
        </w:tc>
        <w:tc>
          <w:tcPr>
            <w:tcW w:w="3690" w:type="dxa"/>
            <w:hideMark/>
          </w:tcPr>
          <w:p w:rsidR="00AC4C57" w:rsidRPr="00384856" w:rsidRDefault="00AC4C57" w:rsidP="00AC4C57">
            <w:pPr>
              <w:spacing w:line="288" w:lineRule="auto"/>
              <w:jc w:val="left"/>
              <w:rPr>
                <w:sz w:val="21"/>
                <w:szCs w:val="21"/>
              </w:rPr>
            </w:pPr>
            <w:r w:rsidRPr="00384856">
              <w:rPr>
                <w:sz w:val="21"/>
                <w:szCs w:val="21"/>
              </w:rPr>
              <w:t>Increased cooling energy demand in summer, decreased heating energy demand in winter</w:t>
            </w:r>
          </w:p>
        </w:tc>
        <w:tc>
          <w:tcPr>
            <w:tcW w:w="3870" w:type="dxa"/>
            <w:hideMark/>
          </w:tcPr>
          <w:p w:rsidR="00AC4C57" w:rsidRPr="00384856" w:rsidRDefault="00AC4C57" w:rsidP="00AC4C57">
            <w:pPr>
              <w:spacing w:line="288" w:lineRule="auto"/>
              <w:jc w:val="left"/>
              <w:rPr>
                <w:sz w:val="21"/>
                <w:szCs w:val="21"/>
              </w:rPr>
            </w:pPr>
            <w:r w:rsidRPr="00384856">
              <w:rPr>
                <w:sz w:val="21"/>
                <w:szCs w:val="21"/>
              </w:rPr>
              <w:t>Simulations with dynamic bottom-up building stock, heating and cooling model for Austria Invert/EE-Lab (</w:t>
            </w:r>
            <w:r w:rsidRPr="00384856">
              <w:rPr>
                <w:rFonts w:ascii="Calibri" w:hAnsi="Calibri" w:cs="Calibri"/>
                <w:sz w:val="21"/>
              </w:rPr>
              <w:t>(</w:t>
            </w:r>
            <w:proofErr w:type="spellStart"/>
            <w:r w:rsidRPr="00384856">
              <w:rPr>
                <w:rFonts w:ascii="Calibri" w:hAnsi="Calibri" w:cs="Calibri"/>
                <w:sz w:val="21"/>
              </w:rPr>
              <w:t>Kranzl</w:t>
            </w:r>
            <w:proofErr w:type="spellEnd"/>
            <w:r w:rsidRPr="00384856">
              <w:rPr>
                <w:rFonts w:ascii="Calibri" w:hAnsi="Calibri" w:cs="Calibri"/>
                <w:sz w:val="21"/>
              </w:rPr>
              <w:t xml:space="preserve"> et al. 2015)</w:t>
            </w:r>
            <w:r w:rsidRPr="00384856">
              <w:rPr>
                <w:sz w:val="21"/>
                <w:szCs w:val="21"/>
              </w:rPr>
              <w:t xml:space="preserve"> based on </w:t>
            </w:r>
            <w:r w:rsidRPr="00D350C5">
              <w:rPr>
                <w:rFonts w:ascii="Calibri" w:hAnsi="Calibri" w:cs="Times New Roman"/>
                <w:sz w:val="21"/>
                <w:szCs w:val="24"/>
              </w:rPr>
              <w:t xml:space="preserve">(Müller et al. 2010; </w:t>
            </w:r>
            <w:proofErr w:type="spellStart"/>
            <w:r w:rsidRPr="00D350C5">
              <w:rPr>
                <w:rFonts w:ascii="Calibri" w:hAnsi="Calibri" w:cs="Times New Roman"/>
                <w:sz w:val="21"/>
                <w:szCs w:val="24"/>
              </w:rPr>
              <w:t>Kranzl</w:t>
            </w:r>
            <w:proofErr w:type="spellEnd"/>
            <w:r w:rsidRPr="00D350C5">
              <w:rPr>
                <w:rFonts w:ascii="Calibri" w:hAnsi="Calibri" w:cs="Times New Roman"/>
                <w:sz w:val="21"/>
                <w:szCs w:val="24"/>
              </w:rPr>
              <w:t xml:space="preserve"> et al. 2013, 2014; Müller 2015)</w:t>
            </w:r>
            <w:r w:rsidRPr="00384856">
              <w:rPr>
                <w:sz w:val="21"/>
                <w:szCs w:val="21"/>
              </w:rPr>
              <w:t>)</w:t>
            </w: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Tourism</w:t>
            </w:r>
          </w:p>
        </w:tc>
        <w:tc>
          <w:tcPr>
            <w:tcW w:w="3690" w:type="dxa"/>
            <w:hideMark/>
          </w:tcPr>
          <w:p w:rsidR="00AC4C57" w:rsidRPr="00384856" w:rsidRDefault="00AC4C57" w:rsidP="00AC4C57">
            <w:pPr>
              <w:spacing w:line="288" w:lineRule="auto"/>
              <w:jc w:val="left"/>
              <w:rPr>
                <w:sz w:val="21"/>
                <w:szCs w:val="21"/>
              </w:rPr>
            </w:pPr>
            <w:r w:rsidRPr="00384856">
              <w:rPr>
                <w:sz w:val="21"/>
                <w:szCs w:val="21"/>
              </w:rPr>
              <w:t>Changes in winter and summer tourism demand</w:t>
            </w:r>
          </w:p>
        </w:tc>
        <w:tc>
          <w:tcPr>
            <w:tcW w:w="3870" w:type="dxa"/>
            <w:hideMark/>
          </w:tcPr>
          <w:p w:rsidR="00AC4C57" w:rsidRPr="00384856" w:rsidRDefault="00AC4C57" w:rsidP="00AC4C57">
            <w:pPr>
              <w:spacing w:line="288" w:lineRule="auto"/>
              <w:jc w:val="left"/>
              <w:rPr>
                <w:sz w:val="21"/>
                <w:szCs w:val="21"/>
              </w:rPr>
            </w:pPr>
            <w:r w:rsidRPr="00384856">
              <w:rPr>
                <w:sz w:val="21"/>
                <w:szCs w:val="21"/>
              </w:rPr>
              <w:t xml:space="preserve">Regression analysis for overnight stays at NUTS3 level by season; costing based on regression and tourism satellite accounts </w:t>
            </w:r>
            <w:r w:rsidRPr="00D350C5">
              <w:rPr>
                <w:rFonts w:ascii="Calibri" w:hAnsi="Calibri" w:cs="Times New Roman"/>
                <w:sz w:val="21"/>
                <w:szCs w:val="24"/>
              </w:rPr>
              <w:t>(</w:t>
            </w:r>
            <w:proofErr w:type="spellStart"/>
            <w:r w:rsidRPr="00D350C5">
              <w:rPr>
                <w:rFonts w:ascii="Calibri" w:hAnsi="Calibri" w:cs="Times New Roman"/>
                <w:sz w:val="21"/>
                <w:szCs w:val="24"/>
              </w:rPr>
              <w:t>Köberl</w:t>
            </w:r>
            <w:proofErr w:type="spellEnd"/>
            <w:r w:rsidRPr="00D350C5">
              <w:rPr>
                <w:rFonts w:ascii="Calibri" w:hAnsi="Calibri" w:cs="Times New Roman"/>
                <w:sz w:val="21"/>
                <w:szCs w:val="24"/>
              </w:rPr>
              <w:t xml:space="preserve"> et al. 2015)</w:t>
            </w: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Water Supply and Sanitation</w:t>
            </w:r>
          </w:p>
        </w:tc>
        <w:tc>
          <w:tcPr>
            <w:tcW w:w="3690" w:type="dxa"/>
            <w:hideMark/>
          </w:tcPr>
          <w:p w:rsidR="00AC4C57" w:rsidRPr="00384856" w:rsidRDefault="00AC4C57" w:rsidP="00AC4C57">
            <w:pPr>
              <w:spacing w:line="288" w:lineRule="auto"/>
              <w:jc w:val="left"/>
              <w:rPr>
                <w:sz w:val="21"/>
                <w:szCs w:val="21"/>
              </w:rPr>
            </w:pPr>
            <w:r w:rsidRPr="00384856">
              <w:rPr>
                <w:sz w:val="21"/>
                <w:szCs w:val="21"/>
              </w:rPr>
              <w:t>Water supply: Lower yield of springs and drying cracks in the soil; lower ground- and surface water recharge; turbidity of spring water; change of withdrawal.</w:t>
            </w:r>
          </w:p>
          <w:p w:rsidR="00AC4C57" w:rsidRPr="00384856" w:rsidRDefault="00AC4C57" w:rsidP="00AC4C57">
            <w:pPr>
              <w:spacing w:line="288" w:lineRule="auto"/>
              <w:jc w:val="left"/>
              <w:rPr>
                <w:sz w:val="21"/>
                <w:szCs w:val="21"/>
              </w:rPr>
            </w:pPr>
            <w:r w:rsidRPr="00384856">
              <w:rPr>
                <w:sz w:val="21"/>
                <w:szCs w:val="21"/>
              </w:rPr>
              <w:t>Sanitation: Increase of waste water volume; increase of sewer flooding; sewer sedimentation during dry weather</w:t>
            </w:r>
          </w:p>
        </w:tc>
        <w:tc>
          <w:tcPr>
            <w:tcW w:w="3870" w:type="dxa"/>
            <w:hideMark/>
          </w:tcPr>
          <w:p w:rsidR="00AC4C57" w:rsidRPr="00384856" w:rsidRDefault="00AC4C57" w:rsidP="00AC4C57">
            <w:pPr>
              <w:spacing w:line="288" w:lineRule="auto"/>
              <w:jc w:val="left"/>
              <w:rPr>
                <w:sz w:val="21"/>
                <w:szCs w:val="21"/>
              </w:rPr>
            </w:pPr>
            <w:r w:rsidRPr="00384856">
              <w:rPr>
                <w:sz w:val="21"/>
                <w:szCs w:val="21"/>
              </w:rPr>
              <w:t xml:space="preserve">Extrapolation of past trends from existing data and mark-up for climate change impacts </w:t>
            </w:r>
            <w:r w:rsidRPr="00384856">
              <w:rPr>
                <w:rFonts w:ascii="Calibri" w:hAnsi="Calibri" w:cs="Calibri"/>
                <w:sz w:val="21"/>
              </w:rPr>
              <w:t>(</w:t>
            </w:r>
            <w:proofErr w:type="spellStart"/>
            <w:r w:rsidRPr="00384856">
              <w:rPr>
                <w:rFonts w:ascii="Calibri" w:hAnsi="Calibri" w:cs="Calibri"/>
                <w:sz w:val="21"/>
              </w:rPr>
              <w:t>Neunteufel</w:t>
            </w:r>
            <w:proofErr w:type="spellEnd"/>
            <w:r w:rsidRPr="00384856">
              <w:rPr>
                <w:rFonts w:ascii="Calibri" w:hAnsi="Calibri" w:cs="Calibri"/>
                <w:sz w:val="21"/>
              </w:rPr>
              <w:t xml:space="preserve"> et al. 2015)</w:t>
            </w: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Transport</w:t>
            </w:r>
          </w:p>
        </w:tc>
        <w:tc>
          <w:tcPr>
            <w:tcW w:w="3690" w:type="dxa"/>
            <w:hideMark/>
          </w:tcPr>
          <w:p w:rsidR="00AC4C57" w:rsidRPr="00384856" w:rsidRDefault="00AC4C57" w:rsidP="00AC4C57">
            <w:pPr>
              <w:spacing w:line="288" w:lineRule="auto"/>
              <w:jc w:val="left"/>
              <w:rPr>
                <w:sz w:val="21"/>
                <w:szCs w:val="21"/>
              </w:rPr>
            </w:pPr>
            <w:r w:rsidRPr="00384856">
              <w:rPr>
                <w:sz w:val="21"/>
                <w:szCs w:val="21"/>
              </w:rPr>
              <w:t>Road damages due to increase in floods, landslides and mudflows</w:t>
            </w:r>
          </w:p>
        </w:tc>
        <w:tc>
          <w:tcPr>
            <w:tcW w:w="3870" w:type="dxa"/>
            <w:hideMark/>
          </w:tcPr>
          <w:p w:rsidR="00AC4C57" w:rsidRPr="00384856" w:rsidRDefault="00AC4C57" w:rsidP="00AC4C57">
            <w:pPr>
              <w:spacing w:line="288" w:lineRule="auto"/>
              <w:jc w:val="left"/>
              <w:rPr>
                <w:sz w:val="21"/>
                <w:szCs w:val="21"/>
              </w:rPr>
            </w:pPr>
            <w:r w:rsidRPr="00384856">
              <w:rPr>
                <w:sz w:val="21"/>
                <w:szCs w:val="21"/>
              </w:rPr>
              <w:t xml:space="preserve">Regression analysis on past damage events and costs </w:t>
            </w:r>
            <w:r w:rsidRPr="00384856">
              <w:rPr>
                <w:rFonts w:ascii="Calibri" w:hAnsi="Calibri" w:cs="Calibri"/>
                <w:sz w:val="21"/>
              </w:rPr>
              <w:t>(</w:t>
            </w:r>
            <w:proofErr w:type="spellStart"/>
            <w:r w:rsidRPr="00384856">
              <w:rPr>
                <w:rFonts w:ascii="Calibri" w:hAnsi="Calibri" w:cs="Calibri"/>
                <w:sz w:val="21"/>
              </w:rPr>
              <w:t>Bednar-Friedl</w:t>
            </w:r>
            <w:proofErr w:type="spellEnd"/>
            <w:r w:rsidRPr="00384856">
              <w:rPr>
                <w:rFonts w:ascii="Calibri" w:hAnsi="Calibri" w:cs="Calibri"/>
                <w:sz w:val="21"/>
              </w:rPr>
              <w:t xml:space="preserve"> et al. 2015)</w:t>
            </w: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Manufacturing and Trade</w:t>
            </w:r>
          </w:p>
        </w:tc>
        <w:tc>
          <w:tcPr>
            <w:tcW w:w="3690" w:type="dxa"/>
            <w:hideMark/>
          </w:tcPr>
          <w:p w:rsidR="00AC4C57" w:rsidRPr="00384856" w:rsidRDefault="00AC4C57" w:rsidP="00AC4C57">
            <w:pPr>
              <w:spacing w:line="288" w:lineRule="auto"/>
              <w:jc w:val="left"/>
              <w:rPr>
                <w:sz w:val="21"/>
                <w:szCs w:val="21"/>
              </w:rPr>
            </w:pPr>
            <w:r w:rsidRPr="00384856">
              <w:rPr>
                <w:sz w:val="21"/>
                <w:szCs w:val="21"/>
              </w:rPr>
              <w:t>Productivity losses of workers due to heat and humidity</w:t>
            </w:r>
          </w:p>
        </w:tc>
        <w:tc>
          <w:tcPr>
            <w:tcW w:w="3870" w:type="dxa"/>
            <w:hideMark/>
          </w:tcPr>
          <w:p w:rsidR="00AC4C57" w:rsidRPr="00384856" w:rsidRDefault="00AC4C57" w:rsidP="00AC4C57">
            <w:pPr>
              <w:spacing w:line="288" w:lineRule="auto"/>
              <w:jc w:val="left"/>
              <w:rPr>
                <w:sz w:val="21"/>
                <w:szCs w:val="21"/>
              </w:rPr>
            </w:pPr>
            <w:r w:rsidRPr="00384856">
              <w:rPr>
                <w:sz w:val="21"/>
                <w:szCs w:val="21"/>
              </w:rPr>
              <w:t>Statistical relationship between Wet Bulb Globe Temperature index and worker productivity (</w:t>
            </w:r>
            <w:r w:rsidRPr="00384856">
              <w:rPr>
                <w:rFonts w:ascii="Calibri" w:hAnsi="Calibri" w:cs="Calibri"/>
                <w:sz w:val="21"/>
              </w:rPr>
              <w:t xml:space="preserve">Urban and </w:t>
            </w:r>
            <w:proofErr w:type="spellStart"/>
            <w:r w:rsidRPr="00384856">
              <w:rPr>
                <w:rFonts w:ascii="Calibri" w:hAnsi="Calibri" w:cs="Calibri"/>
                <w:sz w:val="21"/>
              </w:rPr>
              <w:t>Steininger</w:t>
            </w:r>
            <w:proofErr w:type="spellEnd"/>
            <w:r w:rsidRPr="00384856">
              <w:rPr>
                <w:rFonts w:ascii="Calibri" w:hAnsi="Calibri" w:cs="Calibri"/>
                <w:sz w:val="21"/>
              </w:rPr>
              <w:t xml:space="preserve"> 2015</w:t>
            </w:r>
            <w:r w:rsidRPr="00384856">
              <w:rPr>
                <w:sz w:val="21"/>
                <w:szCs w:val="21"/>
              </w:rPr>
              <w:t xml:space="preserve"> based on </w:t>
            </w:r>
            <w:proofErr w:type="spellStart"/>
            <w:r w:rsidRPr="00384856">
              <w:rPr>
                <w:rFonts w:ascii="Calibri" w:hAnsi="Calibri" w:cs="Calibri"/>
                <w:sz w:val="21"/>
              </w:rPr>
              <w:t>Kjellstrom</w:t>
            </w:r>
            <w:proofErr w:type="spellEnd"/>
            <w:r w:rsidRPr="00384856">
              <w:rPr>
                <w:rFonts w:ascii="Calibri" w:hAnsi="Calibri" w:cs="Calibri"/>
                <w:sz w:val="21"/>
              </w:rPr>
              <w:t xml:space="preserve"> et al. 2009</w:t>
            </w:r>
            <w:r w:rsidRPr="00384856">
              <w:rPr>
                <w:sz w:val="21"/>
                <w:szCs w:val="21"/>
              </w:rPr>
              <w:t>)</w:t>
            </w:r>
          </w:p>
        </w:tc>
      </w:tr>
      <w:tr w:rsidR="00AC4C57" w:rsidRPr="00384856" w:rsidTr="00564ACA">
        <w:tc>
          <w:tcPr>
            <w:tcW w:w="1998" w:type="dxa"/>
            <w:hideMark/>
          </w:tcPr>
          <w:p w:rsidR="00AC4C57" w:rsidRPr="00384856" w:rsidRDefault="00AC4C57" w:rsidP="00AC4C57">
            <w:pPr>
              <w:spacing w:line="288" w:lineRule="auto"/>
              <w:jc w:val="left"/>
              <w:rPr>
                <w:sz w:val="21"/>
                <w:szCs w:val="21"/>
              </w:rPr>
            </w:pPr>
            <w:r w:rsidRPr="00384856">
              <w:rPr>
                <w:sz w:val="21"/>
                <w:szCs w:val="21"/>
              </w:rPr>
              <w:t>Cities and Urban Green</w:t>
            </w:r>
          </w:p>
        </w:tc>
        <w:tc>
          <w:tcPr>
            <w:tcW w:w="3690" w:type="dxa"/>
            <w:hideMark/>
          </w:tcPr>
          <w:p w:rsidR="00AC4C57" w:rsidRPr="00384856" w:rsidRDefault="00AC4C57" w:rsidP="00AC4C57">
            <w:pPr>
              <w:spacing w:line="288" w:lineRule="auto"/>
              <w:jc w:val="left"/>
              <w:rPr>
                <w:sz w:val="21"/>
                <w:szCs w:val="21"/>
              </w:rPr>
            </w:pPr>
            <w:r w:rsidRPr="00384856">
              <w:rPr>
                <w:sz w:val="21"/>
                <w:szCs w:val="21"/>
              </w:rPr>
              <w:t>Improved prevention against loss of climate comfort in urban environments by investments in and maintenance of parks</w:t>
            </w:r>
          </w:p>
        </w:tc>
        <w:tc>
          <w:tcPr>
            <w:tcW w:w="3870" w:type="dxa"/>
            <w:hideMark/>
          </w:tcPr>
          <w:p w:rsidR="00AC4C57" w:rsidRPr="00384856" w:rsidRDefault="00AC4C57" w:rsidP="00AC4C57">
            <w:pPr>
              <w:spacing w:line="288" w:lineRule="auto"/>
              <w:jc w:val="left"/>
              <w:rPr>
                <w:sz w:val="21"/>
                <w:szCs w:val="21"/>
              </w:rPr>
            </w:pPr>
            <w:r w:rsidRPr="00384856">
              <w:rPr>
                <w:sz w:val="21"/>
                <w:szCs w:val="21"/>
              </w:rPr>
              <w:t>Extrapolation of past trends from existing data and mark-up for climate change impacts (</w:t>
            </w:r>
            <w:proofErr w:type="spellStart"/>
            <w:r w:rsidRPr="00384856">
              <w:rPr>
                <w:rFonts w:ascii="Calibri" w:hAnsi="Calibri" w:cs="Calibri"/>
                <w:sz w:val="21"/>
              </w:rPr>
              <w:t>Loibl</w:t>
            </w:r>
            <w:proofErr w:type="spellEnd"/>
            <w:r w:rsidRPr="00384856">
              <w:rPr>
                <w:rFonts w:ascii="Calibri" w:hAnsi="Calibri" w:cs="Calibri"/>
                <w:sz w:val="21"/>
              </w:rPr>
              <w:t xml:space="preserve"> et al. 2015</w:t>
            </w:r>
            <w:r w:rsidRPr="00384856">
              <w:rPr>
                <w:sz w:val="21"/>
                <w:szCs w:val="21"/>
              </w:rPr>
              <w:t xml:space="preserve"> based on </w:t>
            </w:r>
            <w:r w:rsidRPr="00384856">
              <w:rPr>
                <w:rFonts w:ascii="Calibri" w:hAnsi="Calibri" w:cs="Calibri"/>
                <w:sz w:val="21"/>
              </w:rPr>
              <w:t>Gill et al. 2007</w:t>
            </w:r>
            <w:r w:rsidRPr="00384856">
              <w:rPr>
                <w:sz w:val="21"/>
                <w:szCs w:val="21"/>
              </w:rPr>
              <w:t>)</w:t>
            </w:r>
          </w:p>
        </w:tc>
      </w:tr>
      <w:bookmarkEnd w:id="2"/>
    </w:tbl>
    <w:p w:rsidR="00D350C5" w:rsidRPr="00384856" w:rsidRDefault="00D350C5" w:rsidP="00D350C5">
      <w:pPr>
        <w:spacing w:line="276" w:lineRule="auto"/>
        <w:jc w:val="left"/>
      </w:pPr>
      <w:r w:rsidRPr="00384856">
        <w:rPr>
          <w:b/>
          <w:bCs/>
        </w:rPr>
        <w:br w:type="page"/>
      </w:r>
    </w:p>
    <w:p w:rsidR="00D350C5" w:rsidRPr="00384856" w:rsidRDefault="00D350C5" w:rsidP="00D350C5">
      <w:pPr>
        <w:pStyle w:val="berschrift2"/>
        <w:numPr>
          <w:ilvl w:val="0"/>
          <w:numId w:val="0"/>
        </w:numPr>
      </w:pPr>
      <w:r w:rsidRPr="00384856">
        <w:lastRenderedPageBreak/>
        <w:t>A.2: Development of indicative adaptation pathway and calculation of annualized adaptation expenditures</w:t>
      </w:r>
    </w:p>
    <w:p w:rsidR="00D350C5" w:rsidRPr="00384856" w:rsidRDefault="00D350C5" w:rsidP="00D350C5">
      <w:r w:rsidRPr="00384856">
        <w:t xml:space="preserve">The construction of the indicative adaptation pathway (as presented in Figure </w:t>
      </w:r>
      <w:r w:rsidR="00650A13">
        <w:t>2</w:t>
      </w:r>
      <w:r w:rsidRPr="00384856">
        <w:t xml:space="preserve">) and the corresponding changes in annual costs (as presented in Table </w:t>
      </w:r>
      <w:r w:rsidRPr="00384856">
        <w:rPr>
          <w:noProof/>
        </w:rPr>
        <w:t>2</w:t>
      </w:r>
      <w:r w:rsidRPr="00384856">
        <w:t>) have been developed in a stepwise approach.</w:t>
      </w:r>
    </w:p>
    <w:p w:rsidR="00D350C5" w:rsidRPr="00384856" w:rsidRDefault="00D350C5" w:rsidP="00D350C5">
      <w:pPr>
        <w:pStyle w:val="berschrift3"/>
        <w:numPr>
          <w:ilvl w:val="0"/>
          <w:numId w:val="0"/>
        </w:numPr>
        <w:ind w:left="1224" w:hanging="504"/>
      </w:pPr>
      <w:r w:rsidRPr="00384856">
        <w:t>Details on step 1: Screening and analysis of current federal spending on adaptation</w:t>
      </w:r>
    </w:p>
    <w:p w:rsidR="00D350C5" w:rsidRPr="00384856" w:rsidRDefault="00D350C5" w:rsidP="00D350C5">
      <w:r w:rsidRPr="00384856">
        <w:t xml:space="preserve">In step one the current adaptation relevant expenditures have been extracted from the federal budget by a detailed screening of the federal the budget and its subdivisions. In line with international standards by </w:t>
      </w:r>
      <w:r w:rsidRPr="00384856">
        <w:rPr>
          <w:rFonts w:ascii="Calibri" w:hAnsi="Calibri" w:cs="Calibri"/>
        </w:rPr>
        <w:t>OECD DAC (2016)</w:t>
      </w:r>
      <w:r w:rsidRPr="00384856">
        <w:t xml:space="preserve"> and the </w:t>
      </w:r>
      <w:bookmarkStart w:id="3" w:name="_GoBack"/>
      <w:r w:rsidRPr="00384856">
        <w:rPr>
          <w:rFonts w:ascii="Calibri" w:hAnsi="Calibri"/>
        </w:rPr>
        <w:t>European</w:t>
      </w:r>
      <w:bookmarkEnd w:id="3"/>
      <w:r w:rsidRPr="00384856">
        <w:rPr>
          <w:rFonts w:ascii="Calibri" w:hAnsi="Calibri"/>
        </w:rPr>
        <w:t xml:space="preserve"> Commission (2016)</w:t>
      </w:r>
      <w:r w:rsidRPr="00384856">
        <w:t>, adaptation relevant expenditures include all expenditures that pursue climate change adaptation as a primary or a secondary goal. The federal government’s budget plan and realization reports were screened at the level of subdivisions (SD). Subdivisions SD 41 (transport, innovation and technology), SD 42 (agriculture, forestry and water management) and SD 43 (environment) were identified to be relevant for adaptation in the three impact fields: Agriculture, Forestry and Catastrophe Management. Based on the subdivision’s mission statement and the verbally announced targets of detailed budgets, those global and detailed budgets were identified that potentially include adaptation-relevant expenditures. Based on their budgetary importance, a number of global and detailed budgets were selected to be subjected to closer inspection, delivering adaptation relevant expenditures for each subdivision. In addition, interviews with representatives from administration have been carried out at various stages of the screening process, to ensure that the selected budgetary items are in fact adaptation relevant.</w:t>
      </w:r>
    </w:p>
    <w:p w:rsidR="00D350C5" w:rsidRPr="00384856" w:rsidRDefault="00D350C5" w:rsidP="00D350C5">
      <w:pPr>
        <w:pStyle w:val="berschrift3"/>
        <w:numPr>
          <w:ilvl w:val="0"/>
          <w:numId w:val="0"/>
        </w:numPr>
        <w:ind w:left="1224" w:hanging="504"/>
      </w:pPr>
      <w:r w:rsidRPr="00384856">
        <w:t>Details on step 2: Construction of adaptation pathway and attribution to investment and operating costs</w:t>
      </w:r>
    </w:p>
    <w:p w:rsidR="00D350C5" w:rsidRPr="00384856" w:rsidRDefault="00D350C5" w:rsidP="00D350C5">
      <w:r w:rsidRPr="00384856">
        <w:t xml:space="preserve">In step two the expenditure pathway over time – until 2050 – has been constructed. As a starting point we used the adaptation relevant expenditures from step one and as a point of reference we assumed that without additional adaptation (“business-as-usual”), adaptation relevant expenditures would grow at the same rate as GDP in the baseline scenario (i.e. 1.65% p.a., </w:t>
      </w:r>
      <w:proofErr w:type="spellStart"/>
      <w:r w:rsidRPr="00384856">
        <w:rPr>
          <w:rFonts w:ascii="Calibri" w:hAnsi="Calibri"/>
        </w:rPr>
        <w:t>Schiman</w:t>
      </w:r>
      <w:proofErr w:type="spellEnd"/>
      <w:r w:rsidRPr="00384856">
        <w:rPr>
          <w:rFonts w:ascii="Calibri" w:hAnsi="Calibri"/>
        </w:rPr>
        <w:t xml:space="preserve"> and </w:t>
      </w:r>
      <w:proofErr w:type="spellStart"/>
      <w:r w:rsidRPr="00384856">
        <w:rPr>
          <w:rFonts w:ascii="Calibri" w:hAnsi="Calibri"/>
        </w:rPr>
        <w:t>Orischnig</w:t>
      </w:r>
      <w:proofErr w:type="spellEnd"/>
      <w:r w:rsidRPr="00384856">
        <w:rPr>
          <w:rFonts w:ascii="Calibri" w:hAnsi="Calibri"/>
        </w:rPr>
        <w:t xml:space="preserve"> 2012)</w:t>
      </w:r>
      <w:r w:rsidRPr="00384856">
        <w:t xml:space="preserve">. We then </w:t>
      </w:r>
      <w:r w:rsidRPr="00384856">
        <w:lastRenderedPageBreak/>
        <w:t xml:space="preserve">constructed an indicative adaptation pathway, in which adaptation relevant expenditures grow more strongly than the rest of the economy to capture more ambitious and planned adaptation (compare Figure </w:t>
      </w:r>
      <w:r w:rsidR="00650A13">
        <w:t>2</w:t>
      </w:r>
      <w:r w:rsidRPr="00384856">
        <w:t>, in which the sum of adaptation relevant expenditures lies above the baseline 1.65% growth trajectory).</w:t>
      </w:r>
    </w:p>
    <w:p w:rsidR="00D350C5" w:rsidRPr="00384856" w:rsidRDefault="00D350C5" w:rsidP="00D350C5">
      <w:r w:rsidRPr="00384856">
        <w:t xml:space="preserve">The pathway is meant to be indicative and is not arbitrarily defined. It is based on expert judgment, recommendations on the useful timing and phasing of gray, green, and soft measures </w:t>
      </w:r>
      <w:r w:rsidRPr="00384856">
        <w:rPr>
          <w:rFonts w:ascii="Calibri" w:hAnsi="Calibri" w:cs="Calibri"/>
        </w:rPr>
        <w:t>(</w:t>
      </w:r>
      <w:proofErr w:type="spellStart"/>
      <w:r w:rsidRPr="00384856">
        <w:rPr>
          <w:rFonts w:ascii="Calibri" w:hAnsi="Calibri" w:cs="Calibri"/>
        </w:rPr>
        <w:t>Watkiss</w:t>
      </w:r>
      <w:proofErr w:type="spellEnd"/>
      <w:r w:rsidRPr="00384856">
        <w:rPr>
          <w:rFonts w:ascii="Calibri" w:hAnsi="Calibri" w:cs="Calibri"/>
        </w:rPr>
        <w:t xml:space="preserve"> et al. 2014)</w:t>
      </w:r>
      <w:r w:rsidRPr="00384856">
        <w:t xml:space="preserve">, and on the mid-term budget forecast for the Federal State of Austria </w:t>
      </w:r>
      <w:r w:rsidRPr="00384856">
        <w:rPr>
          <w:rFonts w:ascii="Calibri" w:hAnsi="Calibri" w:cs="Calibri"/>
        </w:rPr>
        <w:t>(BMF 2015)</w:t>
      </w:r>
      <w:r w:rsidRPr="00384856">
        <w:t xml:space="preserve">. Also, we divided the pathway into policy-relevant periods in which the expenditures for different types of measures (gray, green and soft) grow at different rates. These periods are current-2020, 2021-2030, 2031-2040 and 2041-2050. In general, the pathway is constructed such that until 2030 expenditures for soft measures and R&amp;D grow relatively strongly to build up adaptive capacity and the knowledge base. Expenditures on gray measures, such as flood protection, dominate in the period up to 2020. However, since in Austria the ongoing investment cycle in the refurbishment of the water and wastewater network is to be completed by 2020, the indicative scenario foresees a slight decline in this category in period 2020 to 2040, with a resurgence of investment from 2040 onwards. In the current budget, expenditures on soft measures, such as information provision and early warning systems, are small compared to other categories. Thus, we assume a relatively strong increase in this category in period 2020 to 2030 to increase adaptive capacity in the respective impact fields. Since the budgetary and structural limits of gray measures are expected to be reached by 2030, expenditures on gray measures are assumed to decline from 2030 onward, whereas expenditures on green measures, such as the expansion of retention areas, measures for rural development (Austrian </w:t>
      </w:r>
      <w:proofErr w:type="spellStart"/>
      <w:r w:rsidRPr="00384856">
        <w:t>Agri</w:t>
      </w:r>
      <w:proofErr w:type="spellEnd"/>
      <w:r w:rsidRPr="00384856">
        <w:t xml:space="preserve">-Environmental </w:t>
      </w:r>
      <w:proofErr w:type="spellStart"/>
      <w:r w:rsidRPr="00384856">
        <w:t>Programme</w:t>
      </w:r>
      <w:proofErr w:type="spellEnd"/>
      <w:r w:rsidRPr="00384856">
        <w:t xml:space="preserve"> “ÖPUL”), or forest management are assumed to increase by 2030. Expenditures on Research and Development contribute to all impact fields and we assume here that they increase up to 2030 and stay constant afterwards.</w:t>
      </w:r>
    </w:p>
    <w:p w:rsidR="00D350C5" w:rsidRPr="00384856" w:rsidRDefault="00D350C5" w:rsidP="00D350C5">
      <w:r w:rsidRPr="00384856">
        <w:lastRenderedPageBreak/>
        <w:t xml:space="preserve">In order to implement the costs of adaptation correctly into the CGE model, the differentiation between investment costs and operating costs was necessary in a next step. All expenditures for gray measures were allocated fully (100%) to investment costs, whereas green measures for Catastrophe Management were allocated by 65% to investment costs (these include investments when e.g. retention areas are created). Then the accumulation of the “investment capital stock” until 2050 was calculated (according to the development of the pathway of step 2 and assuming a depreciation rate of 2%). Also for the climate change Impact scenario, the development of the capital stock was calculated to then compute the difference in the capital stock in 2050 for the Adaptation scenario. The difference in the capital stock in 2050 determined the change in the necessary additional annual capital input (“flow” or depreciation) in 2050 for the different sectors which perform adaptation measures (see row “capital” in Table </w:t>
      </w:r>
      <w:r w:rsidRPr="00384856">
        <w:rPr>
          <w:noProof/>
        </w:rPr>
        <w:t>2</w:t>
      </w:r>
      <w:r w:rsidRPr="00384856">
        <w:t xml:space="preserve">). Also, the difference between the two scenarios’ adaptation capital stocks determined the in-year (2050) expenditure change for construction activities in those sectors that perform adaptation investments (see row “construction” in Table </w:t>
      </w:r>
      <w:r w:rsidRPr="00384856">
        <w:rPr>
          <w:noProof/>
        </w:rPr>
        <w:t>2</w:t>
      </w:r>
      <w:r w:rsidRPr="00384856">
        <w:t xml:space="preserve">). Non-investment expenditures are considered operating costs and each adaptation implementing sector has additional expenditures for labor, land and machinery. The additional expenses for R&amp;D and civil engineering and planning for soft measures are assumed to be fully covered by the government (see column “government consumption” in Table </w:t>
      </w:r>
      <w:r w:rsidRPr="00384856">
        <w:rPr>
          <w:noProof/>
        </w:rPr>
        <w:t>2</w:t>
      </w:r>
      <w:r w:rsidRPr="00384856">
        <w:t xml:space="preserve">). </w:t>
      </w:r>
    </w:p>
    <w:p w:rsidR="00D350C5" w:rsidRPr="00384856" w:rsidRDefault="00D350C5" w:rsidP="00225E12">
      <w:pPr>
        <w:rPr>
          <w:rFonts w:ascii="Arial" w:eastAsiaTheme="majorEastAsia" w:hAnsi="Arial" w:cs="Arial"/>
          <w:b/>
          <w:bCs/>
          <w:sz w:val="24"/>
          <w:szCs w:val="28"/>
        </w:rPr>
      </w:pPr>
      <w:r w:rsidRPr="00384856">
        <w:t xml:space="preserve">To summarize: In Agriculture, there is a shift towards more labor and machinery (mainly because of more green measures). In Forestry, adaptation leads to a shift in expenditure towards more machinery, capital, labor and construction. In the Water sector (as part </w:t>
      </w:r>
      <w:r>
        <w:t xml:space="preserve">of </w:t>
      </w:r>
      <w:r w:rsidRPr="00384856">
        <w:t>Catastrophe Management), there is a shift to</w:t>
      </w:r>
      <w:r>
        <w:t>wards</w:t>
      </w:r>
      <w:r w:rsidRPr="00384856">
        <w:t xml:space="preserve"> more expenditure for labor and capital, but a reduction in expenditures for construction (since necessary investments in water infrastructure decline slightly). The government spends more on labor</w:t>
      </w:r>
      <w:r>
        <w:t>-</w:t>
      </w:r>
      <w:r w:rsidRPr="00384856">
        <w:t xml:space="preserve">intensive R&amp;D as well as on civil engineering and planning. Regarding aggregate investment there are two opposing effects: investments for additional water infrastructure decline while investments for green measures in Forestry increase. </w:t>
      </w:r>
      <w:r w:rsidRPr="00384856">
        <w:br w:type="page"/>
      </w:r>
    </w:p>
    <w:p w:rsidR="00D350C5" w:rsidRPr="00384856" w:rsidRDefault="00D350C5" w:rsidP="00D350C5">
      <w:pPr>
        <w:pStyle w:val="berschrift2"/>
        <w:numPr>
          <w:ilvl w:val="0"/>
          <w:numId w:val="0"/>
        </w:numPr>
      </w:pPr>
      <w:r w:rsidRPr="00384856">
        <w:lastRenderedPageBreak/>
        <w:t>A.3: Modeling assumptions for impact cost reduction due to adaptation (benefit of adaptation)</w:t>
      </w:r>
    </w:p>
    <w:p w:rsidR="00D350C5" w:rsidRPr="00384856" w:rsidRDefault="00D350C5" w:rsidP="00D350C5">
      <w:r w:rsidRPr="00384856">
        <w:t xml:space="preserve">In a final step, the benefits of adaptation measures were calculated. For the impact field Catastrophe Management we used benefit-cost-ratios (BCR) from the literature </w:t>
      </w:r>
      <w:r w:rsidRPr="00384856">
        <w:rPr>
          <w:rFonts w:ascii="Calibri" w:hAnsi="Calibri"/>
        </w:rPr>
        <w:t>(</w:t>
      </w:r>
      <w:proofErr w:type="spellStart"/>
      <w:r w:rsidRPr="00384856">
        <w:rPr>
          <w:rFonts w:ascii="Calibri" w:hAnsi="Calibri"/>
        </w:rPr>
        <w:t>Kuik</w:t>
      </w:r>
      <w:proofErr w:type="spellEnd"/>
      <w:r w:rsidRPr="00384856">
        <w:rPr>
          <w:rFonts w:ascii="Calibri" w:hAnsi="Calibri"/>
        </w:rPr>
        <w:t xml:space="preserve"> et al. 2016)</w:t>
      </w:r>
      <w:r w:rsidRPr="00384856">
        <w:t xml:space="preserve">, specified separately for gray, green and soft, and applied them to the costs of adaptation, that were derived from the constructed pathway in 2050. Note that we did not assume the full costs of the indicative pathway translating into direct benefits, since the costs as presented in the pathway are adaptation </w:t>
      </w:r>
      <w:r w:rsidRPr="00384856">
        <w:rPr>
          <w:i/>
        </w:rPr>
        <w:t>relevant</w:t>
      </w:r>
      <w:r w:rsidRPr="00384856">
        <w:t xml:space="preserve">, but not pure adaptation costs in the narrow sense. We thus only applied the BCRs from the literature to 25% of flood related long run capital expenditures, 25% of flood related green measure expenditures, 10% of urban water management expenditures and 10% of R&amp;D, which lead to an overall BCR for flood prevention measures of 3.4 (see Table </w:t>
      </w:r>
      <w:r w:rsidRPr="00384856">
        <w:rPr>
          <w:noProof/>
        </w:rPr>
        <w:t>3</w:t>
      </w:r>
      <w:r w:rsidRPr="00384856">
        <w:t xml:space="preserve"> for details and upper and lower bounds).</w:t>
      </w:r>
    </w:p>
    <w:p w:rsidR="00D350C5" w:rsidRPr="00384856" w:rsidRDefault="00D350C5" w:rsidP="00D350C5">
      <w:pPr>
        <w:rPr>
          <w:rFonts w:eastAsia="Times New Roman" w:cs="Arial"/>
          <w:color w:val="000000"/>
          <w:sz w:val="21"/>
          <w:szCs w:val="21"/>
          <w:lang w:eastAsia="de-AT"/>
        </w:rPr>
      </w:pPr>
      <w:r w:rsidRPr="00384856">
        <w:t xml:space="preserve">For the impact field Agriculture we applied numbers from the literature </w:t>
      </w:r>
      <w:r w:rsidRPr="00384856">
        <w:rPr>
          <w:rFonts w:ascii="Calibri" w:hAnsi="Calibri" w:cs="Calibri"/>
          <w:sz w:val="21"/>
          <w:szCs w:val="24"/>
        </w:rPr>
        <w:t>(</w:t>
      </w:r>
      <w:proofErr w:type="spellStart"/>
      <w:r w:rsidRPr="00384856">
        <w:rPr>
          <w:rFonts w:ascii="Calibri" w:hAnsi="Calibri" w:cs="Calibri"/>
          <w:sz w:val="21"/>
          <w:szCs w:val="24"/>
        </w:rPr>
        <w:t>Mitter</w:t>
      </w:r>
      <w:proofErr w:type="spellEnd"/>
      <w:r w:rsidRPr="00384856">
        <w:rPr>
          <w:rFonts w:ascii="Calibri" w:hAnsi="Calibri" w:cs="Calibri"/>
          <w:sz w:val="21"/>
          <w:szCs w:val="24"/>
        </w:rPr>
        <w:t xml:space="preserve"> et al. 2015a; </w:t>
      </w:r>
      <w:proofErr w:type="spellStart"/>
      <w:r w:rsidRPr="00384856">
        <w:rPr>
          <w:rFonts w:ascii="Calibri" w:hAnsi="Calibri" w:cs="Calibri"/>
          <w:sz w:val="21"/>
          <w:szCs w:val="24"/>
        </w:rPr>
        <w:t>Schönhart</w:t>
      </w:r>
      <w:proofErr w:type="spellEnd"/>
      <w:r w:rsidRPr="00384856">
        <w:rPr>
          <w:rFonts w:ascii="Calibri" w:hAnsi="Calibri" w:cs="Calibri"/>
          <w:sz w:val="21"/>
          <w:szCs w:val="24"/>
        </w:rPr>
        <w:t xml:space="preserve"> et al. 2016)</w:t>
      </w:r>
      <w:r w:rsidRPr="00384856">
        <w:rPr>
          <w:rFonts w:eastAsia="Times New Roman" w:cs="Arial"/>
          <w:color w:val="000000"/>
          <w:sz w:val="21"/>
          <w:szCs w:val="21"/>
          <w:lang w:eastAsia="de-AT"/>
        </w:rPr>
        <w:t>, stating that by changing management practices and a warmer climate the productivity of the agricultural crop production can be increased by +10% (an increase of +4.4% to overall agricultural production). To account for the costs of changing management we subtracted the sum of adaptation costs from annual agricultural output (</w:t>
      </w:r>
      <w:r w:rsidRPr="00384856">
        <w:t xml:space="preserve">see Table </w:t>
      </w:r>
      <w:r w:rsidRPr="00384856">
        <w:rPr>
          <w:noProof/>
        </w:rPr>
        <w:t>3</w:t>
      </w:r>
      <w:r w:rsidRPr="00384856">
        <w:t xml:space="preserve"> for details and upper and lower bounds)</w:t>
      </w:r>
      <w:r w:rsidRPr="00384856">
        <w:rPr>
          <w:rFonts w:eastAsia="Times New Roman" w:cs="Arial"/>
          <w:color w:val="000000"/>
          <w:sz w:val="21"/>
          <w:szCs w:val="21"/>
          <w:lang w:eastAsia="de-AT"/>
        </w:rPr>
        <w:t>.</w:t>
      </w:r>
    </w:p>
    <w:p w:rsidR="00D350C5" w:rsidRPr="00384856" w:rsidRDefault="00D350C5" w:rsidP="00D350C5">
      <w:r w:rsidRPr="00384856">
        <w:rPr>
          <w:rFonts w:eastAsia="Times New Roman" w:cs="Arial"/>
          <w:color w:val="000000"/>
          <w:sz w:val="21"/>
          <w:szCs w:val="21"/>
          <w:lang w:eastAsia="de-AT"/>
        </w:rPr>
        <w:t>For the impact field Forestry</w:t>
      </w:r>
      <w:r>
        <w:rPr>
          <w:rFonts w:eastAsia="Times New Roman" w:cs="Arial"/>
          <w:color w:val="000000"/>
          <w:sz w:val="21"/>
          <w:szCs w:val="21"/>
          <w:lang w:eastAsia="de-AT"/>
        </w:rPr>
        <w:t>,</w:t>
      </w:r>
      <w:r w:rsidRPr="00384856">
        <w:rPr>
          <w:rFonts w:eastAsia="Times New Roman" w:cs="Arial"/>
          <w:color w:val="000000"/>
          <w:sz w:val="21"/>
          <w:szCs w:val="21"/>
          <w:lang w:eastAsia="de-AT"/>
        </w:rPr>
        <w:t xml:space="preserve"> we carried out expert interviews </w:t>
      </w:r>
      <w:r w:rsidRPr="00384856">
        <w:rPr>
          <w:rFonts w:ascii="Calibri" w:hAnsi="Calibri"/>
          <w:sz w:val="21"/>
        </w:rPr>
        <w:t>(</w:t>
      </w:r>
      <w:proofErr w:type="spellStart"/>
      <w:r w:rsidRPr="00384856">
        <w:rPr>
          <w:rFonts w:ascii="Calibri" w:hAnsi="Calibri"/>
          <w:sz w:val="21"/>
        </w:rPr>
        <w:t>Lexer</w:t>
      </w:r>
      <w:proofErr w:type="spellEnd"/>
      <w:r w:rsidRPr="00384856">
        <w:rPr>
          <w:rFonts w:ascii="Calibri" w:hAnsi="Calibri"/>
          <w:sz w:val="21"/>
        </w:rPr>
        <w:t xml:space="preserve"> 2017)</w:t>
      </w:r>
      <w:r w:rsidRPr="00384856">
        <w:rPr>
          <w:rFonts w:eastAsia="Times New Roman" w:cs="Arial"/>
          <w:color w:val="000000"/>
          <w:sz w:val="21"/>
          <w:szCs w:val="21"/>
          <w:lang w:eastAsia="de-AT"/>
        </w:rPr>
        <w:t xml:space="preserve"> and followed the literature </w:t>
      </w:r>
      <w:r w:rsidRPr="00D350C5">
        <w:rPr>
          <w:rFonts w:ascii="Calibri" w:hAnsi="Calibri" w:cs="Times New Roman"/>
          <w:sz w:val="21"/>
          <w:szCs w:val="24"/>
        </w:rPr>
        <w:t>(</w:t>
      </w:r>
      <w:proofErr w:type="spellStart"/>
      <w:r w:rsidRPr="00D350C5">
        <w:rPr>
          <w:rFonts w:ascii="Calibri" w:hAnsi="Calibri" w:cs="Times New Roman"/>
          <w:sz w:val="21"/>
          <w:szCs w:val="24"/>
        </w:rPr>
        <w:t>Kolström</w:t>
      </w:r>
      <w:proofErr w:type="spellEnd"/>
      <w:r w:rsidRPr="00D350C5">
        <w:rPr>
          <w:rFonts w:ascii="Calibri" w:hAnsi="Calibri" w:cs="Times New Roman"/>
          <w:sz w:val="21"/>
          <w:szCs w:val="24"/>
        </w:rPr>
        <w:t xml:space="preserve"> et al. 2011)</w:t>
      </w:r>
      <w:r>
        <w:rPr>
          <w:rFonts w:eastAsia="Times New Roman" w:cs="Arial"/>
          <w:color w:val="000000"/>
          <w:sz w:val="21"/>
          <w:szCs w:val="21"/>
          <w:lang w:eastAsia="de-AT"/>
        </w:rPr>
        <w:t>.</w:t>
      </w:r>
      <w:r w:rsidRPr="00384856">
        <w:rPr>
          <w:rFonts w:eastAsia="Times New Roman" w:cs="Arial"/>
          <w:color w:val="000000"/>
          <w:sz w:val="21"/>
          <w:szCs w:val="21"/>
          <w:lang w:eastAsia="de-AT"/>
        </w:rPr>
        <w:t xml:space="preserve"> </w:t>
      </w:r>
      <w:r>
        <w:rPr>
          <w:rFonts w:eastAsia="Times New Roman" w:cs="Arial"/>
          <w:color w:val="000000"/>
          <w:sz w:val="21"/>
          <w:szCs w:val="21"/>
          <w:lang w:eastAsia="de-AT"/>
        </w:rPr>
        <w:t xml:space="preserve">The consensus thereof is that </w:t>
      </w:r>
      <w:r w:rsidRPr="00384856">
        <w:rPr>
          <w:rFonts w:eastAsia="Times New Roman" w:cs="Arial"/>
          <w:color w:val="000000"/>
          <w:sz w:val="21"/>
          <w:szCs w:val="21"/>
          <w:lang w:eastAsia="de-AT"/>
        </w:rPr>
        <w:t>educational measures against bark beetles, more intensive tending and thinning of forests, better infrastructure in forests, as well as genetics can reduce climate change induced damages to forests by 30-40% (</w:t>
      </w:r>
      <w:r w:rsidRPr="00384856">
        <w:t xml:space="preserve">see Table </w:t>
      </w:r>
      <w:r w:rsidRPr="00384856">
        <w:rPr>
          <w:noProof/>
        </w:rPr>
        <w:t>3</w:t>
      </w:r>
      <w:r w:rsidRPr="00384856">
        <w:t xml:space="preserve"> for details and upper and lower bounds).</w:t>
      </w:r>
    </w:p>
    <w:p w:rsidR="00D350C5" w:rsidRPr="00384856" w:rsidRDefault="00D350C5" w:rsidP="00D350C5"/>
    <w:p w:rsidR="00D350C5" w:rsidRPr="00384856" w:rsidRDefault="00D350C5" w:rsidP="00D350C5"/>
    <w:p w:rsidR="00D350C5" w:rsidRPr="00384856" w:rsidRDefault="00D350C5" w:rsidP="00D350C5"/>
    <w:p w:rsidR="00D350C5" w:rsidRPr="00384856" w:rsidRDefault="00D350C5" w:rsidP="00D350C5">
      <w:pPr>
        <w:pStyle w:val="berschrift2"/>
        <w:numPr>
          <w:ilvl w:val="0"/>
          <w:numId w:val="0"/>
        </w:numPr>
      </w:pPr>
      <w:r w:rsidRPr="00384856">
        <w:lastRenderedPageBreak/>
        <w:t>A.4: Macroeconomic results for the Impact and Adaptation scenarios</w:t>
      </w:r>
    </w:p>
    <w:p w:rsidR="00D350C5" w:rsidRPr="00384856" w:rsidRDefault="00D350C5" w:rsidP="00D350C5">
      <w:r w:rsidRPr="00384856">
        <w:t xml:space="preserve">Supplementary to section 4.1, where the macroeconomic results are expressed as deviations of the Adaptation scenario from the climate change Impact scenario, we provide here the results for the two scenarios separately. Note that both the impact scenario and the adaptation scenario include climate change impacts in all impact fields as described in Table </w:t>
      </w:r>
      <w:r w:rsidRPr="00384856">
        <w:rPr>
          <w:noProof/>
        </w:rPr>
        <w:t>1</w:t>
      </w:r>
      <w:r w:rsidRPr="00384856">
        <w:t xml:space="preserve"> and Table A.</w:t>
      </w:r>
      <w:r w:rsidRPr="00384856">
        <w:rPr>
          <w:noProof/>
        </w:rPr>
        <w:t>1</w:t>
      </w:r>
      <w:r w:rsidRPr="00384856">
        <w:t>.</w:t>
      </w:r>
    </w:p>
    <w:p w:rsidR="00D350C5" w:rsidRPr="00384856" w:rsidRDefault="00D350C5" w:rsidP="00D350C5">
      <w:r w:rsidRPr="00384856">
        <w:t>Table A.</w:t>
      </w:r>
      <w:r w:rsidRPr="00384856">
        <w:rPr>
          <w:noProof/>
        </w:rPr>
        <w:t>2</w:t>
      </w:r>
      <w:r w:rsidRPr="00384856">
        <w:t xml:space="preserve"> therefore gives the results for GDP, welfare, and unemployment in the “Impact” column for the Impact scenario relative to the Baseline scenario (i.e. with socio-economic change (SSP2) but without climate change), both for the year 2050. The “Adaptation” column provides the results for the Adaptation scenario with adaptation in Agriculture, Forestry, and Catastrophe Management, again relative to the Baseline scenario in 2050. When taking the difference between these two columns, we obtain the result of adaptation, which is shown in Figure </w:t>
      </w:r>
      <w:r w:rsidR="00650A13">
        <w:t>3</w:t>
      </w:r>
      <w:r w:rsidRPr="00384856">
        <w:t xml:space="preserve"> in the main text.</w:t>
      </w:r>
    </w:p>
    <w:p w:rsidR="00AC4C57" w:rsidRPr="00384856" w:rsidRDefault="00AC4C57" w:rsidP="00AC4C57">
      <w:pPr>
        <w:pStyle w:val="Beschriftung"/>
        <w:keepNext/>
        <w:keepLines/>
      </w:pPr>
      <w:bookmarkStart w:id="4" w:name="_Ref525147721"/>
      <w:r w:rsidRPr="00384856">
        <w:lastRenderedPageBreak/>
        <w:t>Table A.</w:t>
      </w:r>
      <w:r w:rsidRPr="00384856">
        <w:rPr>
          <w:noProof/>
        </w:rPr>
        <w:t>2</w:t>
      </w:r>
      <w:bookmarkEnd w:id="4"/>
      <w:r w:rsidRPr="00384856">
        <w:t xml:space="preserve">: Macroeconomic results for the Climate Change Impact scenario and the Climate Change Impact with Adaptation scenario (with adaptation in Agriculture, Forestry, and Catastrophe Management), both relative to the reference scenario without climate change in 2050. Results are displayed by impact field and in total (net effect across all impact fields) </w:t>
      </w:r>
      <w:r w:rsidRPr="00384856">
        <w:rPr>
          <w:rFonts w:ascii="Calibri" w:hAnsi="Calibri"/>
        </w:rPr>
        <w:t xml:space="preserve">(Source: </w:t>
      </w:r>
      <w:proofErr w:type="spellStart"/>
      <w:r w:rsidRPr="00384856">
        <w:rPr>
          <w:rFonts w:ascii="Calibri" w:hAnsi="Calibri"/>
        </w:rPr>
        <w:t>Bachner</w:t>
      </w:r>
      <w:proofErr w:type="spellEnd"/>
      <w:r w:rsidRPr="00384856">
        <w:rPr>
          <w:rFonts w:ascii="Calibri" w:hAnsi="Calibri"/>
        </w:rPr>
        <w:t xml:space="preserve"> et al. 2015)</w:t>
      </w:r>
      <w:r w:rsidRPr="00384856">
        <w:t>.</w:t>
      </w:r>
    </w:p>
    <w:tbl>
      <w:tblPr>
        <w:tblW w:w="935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18"/>
        <w:gridCol w:w="1323"/>
        <w:gridCol w:w="1323"/>
        <w:gridCol w:w="1323"/>
        <w:gridCol w:w="1323"/>
        <w:gridCol w:w="1323"/>
        <w:gridCol w:w="1323"/>
      </w:tblGrid>
      <w:tr w:rsidR="00AC4C57" w:rsidRPr="00384856" w:rsidTr="00564ACA">
        <w:trPr>
          <w:trHeight w:val="300"/>
          <w:tblHeader/>
        </w:trPr>
        <w:tc>
          <w:tcPr>
            <w:tcW w:w="1418" w:type="dxa"/>
            <w:tcBorders>
              <w:top w:val="single" w:sz="12" w:space="0" w:color="auto"/>
              <w:bottom w:val="nil"/>
            </w:tcBorders>
            <w:shd w:val="clear" w:color="auto" w:fill="auto"/>
            <w:noWrap/>
            <w:vAlign w:val="bottom"/>
          </w:tcPr>
          <w:p w:rsidR="00AC4C57" w:rsidRPr="00384856" w:rsidRDefault="00AC4C57" w:rsidP="00564ACA">
            <w:pPr>
              <w:keepNext/>
              <w:keepLines/>
              <w:spacing w:after="0" w:line="360" w:lineRule="auto"/>
              <w:rPr>
                <w:sz w:val="21"/>
                <w:szCs w:val="21"/>
              </w:rPr>
            </w:pPr>
          </w:p>
        </w:tc>
        <w:tc>
          <w:tcPr>
            <w:tcW w:w="2646" w:type="dxa"/>
            <w:gridSpan w:val="2"/>
            <w:tcBorders>
              <w:top w:val="single" w:sz="12" w:space="0" w:color="auto"/>
              <w:bottom w:val="nil"/>
            </w:tcBorders>
            <w:shd w:val="clear" w:color="auto" w:fill="auto"/>
            <w:noWrap/>
            <w:vAlign w:val="center"/>
          </w:tcPr>
          <w:p w:rsidR="00AC4C57" w:rsidRPr="00384856" w:rsidRDefault="00AC4C57" w:rsidP="00564ACA">
            <w:pPr>
              <w:keepNext/>
              <w:keepLines/>
              <w:spacing w:after="0" w:line="360" w:lineRule="auto"/>
              <w:jc w:val="center"/>
              <w:rPr>
                <w:b/>
                <w:sz w:val="21"/>
                <w:szCs w:val="21"/>
              </w:rPr>
            </w:pPr>
            <w:r w:rsidRPr="00384856">
              <w:rPr>
                <w:b/>
                <w:sz w:val="21"/>
                <w:szCs w:val="21"/>
              </w:rPr>
              <w:t>GDP 2050</w:t>
            </w:r>
          </w:p>
        </w:tc>
        <w:tc>
          <w:tcPr>
            <w:tcW w:w="2646" w:type="dxa"/>
            <w:gridSpan w:val="2"/>
            <w:tcBorders>
              <w:top w:val="single" w:sz="12" w:space="0" w:color="auto"/>
              <w:bottom w:val="nil"/>
            </w:tcBorders>
            <w:shd w:val="clear" w:color="auto" w:fill="auto"/>
            <w:noWrap/>
            <w:vAlign w:val="center"/>
          </w:tcPr>
          <w:p w:rsidR="00AC4C57" w:rsidRPr="00384856" w:rsidRDefault="00AC4C57" w:rsidP="00564ACA">
            <w:pPr>
              <w:keepNext/>
              <w:keepLines/>
              <w:spacing w:after="0" w:line="360" w:lineRule="auto"/>
              <w:jc w:val="center"/>
              <w:rPr>
                <w:b/>
                <w:sz w:val="21"/>
                <w:szCs w:val="21"/>
              </w:rPr>
            </w:pPr>
            <w:r w:rsidRPr="00384856">
              <w:rPr>
                <w:b/>
                <w:sz w:val="21"/>
                <w:szCs w:val="21"/>
              </w:rPr>
              <w:t>Welfare 2050</w:t>
            </w:r>
          </w:p>
        </w:tc>
        <w:tc>
          <w:tcPr>
            <w:tcW w:w="2646" w:type="dxa"/>
            <w:gridSpan w:val="2"/>
            <w:tcBorders>
              <w:top w:val="single" w:sz="12" w:space="0" w:color="auto"/>
              <w:bottom w:val="nil"/>
            </w:tcBorders>
            <w:vAlign w:val="center"/>
          </w:tcPr>
          <w:p w:rsidR="00AC4C57" w:rsidRPr="00384856" w:rsidRDefault="00AC4C57" w:rsidP="00564ACA">
            <w:pPr>
              <w:keepNext/>
              <w:keepLines/>
              <w:spacing w:after="0" w:line="360" w:lineRule="auto"/>
              <w:jc w:val="center"/>
              <w:rPr>
                <w:b/>
                <w:sz w:val="21"/>
                <w:szCs w:val="21"/>
              </w:rPr>
            </w:pPr>
            <w:r w:rsidRPr="00384856">
              <w:rPr>
                <w:b/>
                <w:sz w:val="21"/>
                <w:szCs w:val="21"/>
              </w:rPr>
              <w:t>Unemployment rate 2050</w:t>
            </w:r>
          </w:p>
        </w:tc>
      </w:tr>
      <w:tr w:rsidR="00AC4C57" w:rsidRPr="00384856" w:rsidTr="00564ACA">
        <w:trPr>
          <w:trHeight w:val="300"/>
          <w:tblHeader/>
        </w:trPr>
        <w:tc>
          <w:tcPr>
            <w:tcW w:w="1418" w:type="dxa"/>
            <w:tcBorders>
              <w:top w:val="nil"/>
              <w:bottom w:val="single" w:sz="12" w:space="0" w:color="auto"/>
            </w:tcBorders>
            <w:shd w:val="clear" w:color="auto" w:fill="auto"/>
            <w:noWrap/>
            <w:vAlign w:val="bottom"/>
            <w:hideMark/>
          </w:tcPr>
          <w:p w:rsidR="00AC4C57" w:rsidRPr="00384856" w:rsidRDefault="00AC4C57" w:rsidP="00564ACA">
            <w:pPr>
              <w:keepNext/>
              <w:keepLines/>
              <w:spacing w:after="0" w:line="360" w:lineRule="auto"/>
              <w:rPr>
                <w:b/>
                <w:sz w:val="21"/>
                <w:szCs w:val="21"/>
              </w:rPr>
            </w:pPr>
            <w:r w:rsidRPr="00384856">
              <w:rPr>
                <w:b/>
                <w:sz w:val="21"/>
                <w:szCs w:val="21"/>
              </w:rPr>
              <w:t>Impact field</w:t>
            </w:r>
          </w:p>
        </w:tc>
        <w:tc>
          <w:tcPr>
            <w:tcW w:w="1323" w:type="dxa"/>
            <w:tcBorders>
              <w:top w:val="nil"/>
              <w:bottom w:val="single" w:sz="12" w:space="0" w:color="auto"/>
            </w:tcBorders>
            <w:shd w:val="clear" w:color="auto" w:fill="auto"/>
            <w:noWrap/>
            <w:vAlign w:val="center"/>
          </w:tcPr>
          <w:p w:rsidR="00AC4C57" w:rsidRPr="00384856" w:rsidRDefault="00AC4C57" w:rsidP="00564ACA">
            <w:pPr>
              <w:keepNext/>
              <w:keepLines/>
              <w:spacing w:after="0" w:line="360" w:lineRule="auto"/>
              <w:jc w:val="right"/>
              <w:rPr>
                <w:b/>
                <w:sz w:val="21"/>
                <w:szCs w:val="21"/>
              </w:rPr>
            </w:pPr>
            <w:r w:rsidRPr="00384856">
              <w:rPr>
                <w:b/>
                <w:sz w:val="21"/>
                <w:szCs w:val="21"/>
              </w:rPr>
              <w:t>Impact</w:t>
            </w:r>
          </w:p>
        </w:tc>
        <w:tc>
          <w:tcPr>
            <w:tcW w:w="1323" w:type="dxa"/>
            <w:tcBorders>
              <w:top w:val="nil"/>
              <w:bottom w:val="single" w:sz="12" w:space="0" w:color="auto"/>
            </w:tcBorders>
            <w:shd w:val="clear" w:color="auto" w:fill="auto"/>
            <w:noWrap/>
            <w:vAlign w:val="center"/>
          </w:tcPr>
          <w:p w:rsidR="00AC4C57" w:rsidRPr="00384856" w:rsidRDefault="00AC4C57" w:rsidP="00564ACA">
            <w:pPr>
              <w:keepNext/>
              <w:keepLines/>
              <w:spacing w:after="0" w:line="360" w:lineRule="auto"/>
              <w:jc w:val="right"/>
              <w:rPr>
                <w:b/>
                <w:sz w:val="21"/>
                <w:szCs w:val="21"/>
              </w:rPr>
            </w:pPr>
            <w:r w:rsidRPr="00384856">
              <w:rPr>
                <w:b/>
                <w:sz w:val="21"/>
                <w:szCs w:val="21"/>
              </w:rPr>
              <w:t>Adaptation*</w:t>
            </w:r>
          </w:p>
        </w:tc>
        <w:tc>
          <w:tcPr>
            <w:tcW w:w="1323" w:type="dxa"/>
            <w:tcBorders>
              <w:top w:val="nil"/>
              <w:bottom w:val="single" w:sz="12" w:space="0" w:color="auto"/>
            </w:tcBorders>
            <w:shd w:val="clear" w:color="auto" w:fill="auto"/>
            <w:noWrap/>
            <w:vAlign w:val="center"/>
          </w:tcPr>
          <w:p w:rsidR="00AC4C57" w:rsidRPr="00384856" w:rsidRDefault="00AC4C57" w:rsidP="00564ACA">
            <w:pPr>
              <w:keepNext/>
              <w:keepLines/>
              <w:spacing w:after="0" w:line="360" w:lineRule="auto"/>
              <w:jc w:val="right"/>
              <w:rPr>
                <w:b/>
                <w:sz w:val="21"/>
                <w:szCs w:val="21"/>
              </w:rPr>
            </w:pPr>
            <w:r w:rsidRPr="00384856">
              <w:rPr>
                <w:b/>
                <w:sz w:val="21"/>
                <w:szCs w:val="21"/>
              </w:rPr>
              <w:t>Impact</w:t>
            </w:r>
          </w:p>
        </w:tc>
        <w:tc>
          <w:tcPr>
            <w:tcW w:w="1323" w:type="dxa"/>
            <w:tcBorders>
              <w:top w:val="nil"/>
              <w:bottom w:val="single" w:sz="12" w:space="0" w:color="auto"/>
            </w:tcBorders>
            <w:vAlign w:val="center"/>
          </w:tcPr>
          <w:p w:rsidR="00AC4C57" w:rsidRPr="00384856" w:rsidRDefault="00AC4C57" w:rsidP="00564ACA">
            <w:pPr>
              <w:keepNext/>
              <w:keepLines/>
              <w:spacing w:after="0" w:line="360" w:lineRule="auto"/>
              <w:jc w:val="right"/>
              <w:rPr>
                <w:b/>
                <w:sz w:val="21"/>
                <w:szCs w:val="21"/>
              </w:rPr>
            </w:pPr>
            <w:r w:rsidRPr="00384856">
              <w:rPr>
                <w:b/>
                <w:sz w:val="21"/>
                <w:szCs w:val="21"/>
              </w:rPr>
              <w:t>Adaptation*</w:t>
            </w:r>
          </w:p>
        </w:tc>
        <w:tc>
          <w:tcPr>
            <w:tcW w:w="1323" w:type="dxa"/>
            <w:tcBorders>
              <w:top w:val="nil"/>
              <w:bottom w:val="single" w:sz="12" w:space="0" w:color="auto"/>
            </w:tcBorders>
            <w:vAlign w:val="center"/>
          </w:tcPr>
          <w:p w:rsidR="00AC4C57" w:rsidRPr="00384856" w:rsidRDefault="00AC4C57" w:rsidP="00564ACA">
            <w:pPr>
              <w:keepNext/>
              <w:keepLines/>
              <w:spacing w:after="0" w:line="360" w:lineRule="auto"/>
              <w:jc w:val="right"/>
              <w:rPr>
                <w:b/>
                <w:sz w:val="21"/>
                <w:szCs w:val="21"/>
              </w:rPr>
            </w:pPr>
            <w:r w:rsidRPr="00384856">
              <w:rPr>
                <w:b/>
                <w:sz w:val="21"/>
                <w:szCs w:val="21"/>
              </w:rPr>
              <w:t>Impact</w:t>
            </w:r>
          </w:p>
        </w:tc>
        <w:tc>
          <w:tcPr>
            <w:tcW w:w="1323" w:type="dxa"/>
            <w:tcBorders>
              <w:top w:val="nil"/>
              <w:bottom w:val="single" w:sz="12" w:space="0" w:color="auto"/>
            </w:tcBorders>
            <w:vAlign w:val="center"/>
          </w:tcPr>
          <w:p w:rsidR="00AC4C57" w:rsidRPr="00384856" w:rsidRDefault="00AC4C57" w:rsidP="00564ACA">
            <w:pPr>
              <w:keepNext/>
              <w:keepLines/>
              <w:spacing w:after="0" w:line="360" w:lineRule="auto"/>
              <w:jc w:val="right"/>
              <w:rPr>
                <w:b/>
                <w:sz w:val="21"/>
                <w:szCs w:val="21"/>
              </w:rPr>
            </w:pPr>
            <w:r w:rsidRPr="00384856">
              <w:rPr>
                <w:b/>
                <w:sz w:val="21"/>
                <w:szCs w:val="21"/>
              </w:rPr>
              <w:t>Adaptation*</w:t>
            </w:r>
          </w:p>
        </w:tc>
      </w:tr>
      <w:tr w:rsidR="00AC4C57" w:rsidRPr="00384856" w:rsidTr="00564ACA">
        <w:trPr>
          <w:trHeight w:val="300"/>
        </w:trPr>
        <w:tc>
          <w:tcPr>
            <w:tcW w:w="1418" w:type="dxa"/>
            <w:tcBorders>
              <w:top w:val="single" w:sz="12" w:space="0" w:color="auto"/>
              <w:bottom w:val="nil"/>
            </w:tcBorders>
            <w:shd w:val="clear" w:color="auto" w:fill="auto"/>
            <w:vAlign w:val="center"/>
          </w:tcPr>
          <w:p w:rsidR="00AC4C57" w:rsidRPr="00384856" w:rsidRDefault="00AC4C57" w:rsidP="00564ACA">
            <w:pPr>
              <w:keepNext/>
              <w:keepLines/>
              <w:spacing w:after="0" w:line="360" w:lineRule="auto"/>
              <w:jc w:val="left"/>
              <w:rPr>
                <w:rFonts w:eastAsia="Times New Roman" w:cstheme="minorHAnsi"/>
                <w:sz w:val="21"/>
                <w:szCs w:val="21"/>
                <w:lang w:eastAsia="de-AT"/>
              </w:rPr>
            </w:pPr>
            <w:r w:rsidRPr="00384856">
              <w:rPr>
                <w:rFonts w:eastAsia="Times New Roman" w:cstheme="minorHAnsi"/>
                <w:sz w:val="21"/>
                <w:szCs w:val="21"/>
                <w:lang w:eastAsia="de-AT"/>
              </w:rPr>
              <w:t>Agriculture</w:t>
            </w:r>
          </w:p>
        </w:tc>
        <w:tc>
          <w:tcPr>
            <w:tcW w:w="1323" w:type="dxa"/>
            <w:tcBorders>
              <w:top w:val="single" w:sz="12" w:space="0" w:color="auto"/>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+0.08%</w:t>
            </w:r>
          </w:p>
        </w:tc>
        <w:tc>
          <w:tcPr>
            <w:tcW w:w="1323" w:type="dxa"/>
            <w:tcBorders>
              <w:top w:val="single" w:sz="12" w:space="0" w:color="auto"/>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+0.16%</w:t>
            </w:r>
          </w:p>
        </w:tc>
        <w:tc>
          <w:tcPr>
            <w:tcW w:w="1323" w:type="dxa"/>
            <w:tcBorders>
              <w:top w:val="single" w:sz="12" w:space="0" w:color="auto"/>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+0.03%</w:t>
            </w:r>
          </w:p>
        </w:tc>
        <w:tc>
          <w:tcPr>
            <w:tcW w:w="1323" w:type="dxa"/>
            <w:tcBorders>
              <w:top w:val="single" w:sz="12" w:space="0" w:color="auto"/>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+0.09%</w:t>
            </w:r>
          </w:p>
        </w:tc>
        <w:tc>
          <w:tcPr>
            <w:tcW w:w="1323" w:type="dxa"/>
            <w:tcBorders>
              <w:top w:val="single" w:sz="12" w:space="0" w:color="auto"/>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+0.05%</w:t>
            </w:r>
          </w:p>
        </w:tc>
        <w:tc>
          <w:tcPr>
            <w:tcW w:w="1323" w:type="dxa"/>
            <w:tcBorders>
              <w:top w:val="single" w:sz="12" w:space="0" w:color="auto"/>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+0.04%</w:t>
            </w:r>
          </w:p>
        </w:tc>
      </w:tr>
      <w:tr w:rsidR="00AC4C57" w:rsidRPr="00384856" w:rsidTr="00564ACA">
        <w:trPr>
          <w:trHeight w:val="300"/>
        </w:trPr>
        <w:tc>
          <w:tcPr>
            <w:tcW w:w="1418" w:type="dxa"/>
            <w:tcBorders>
              <w:top w:val="nil"/>
              <w:bottom w:val="nil"/>
            </w:tcBorders>
            <w:shd w:val="clear" w:color="auto" w:fill="auto"/>
            <w:vAlign w:val="center"/>
          </w:tcPr>
          <w:p w:rsidR="00AC4C57" w:rsidRPr="00384856" w:rsidRDefault="00AC4C57" w:rsidP="00564ACA">
            <w:pPr>
              <w:keepNext/>
              <w:keepLines/>
              <w:spacing w:after="0" w:line="360" w:lineRule="auto"/>
              <w:jc w:val="left"/>
              <w:rPr>
                <w:rFonts w:eastAsia="Times New Roman" w:cstheme="minorHAnsi"/>
                <w:sz w:val="21"/>
                <w:szCs w:val="21"/>
                <w:lang w:eastAsia="de-AT"/>
              </w:rPr>
            </w:pPr>
            <w:r w:rsidRPr="00384856">
              <w:rPr>
                <w:rFonts w:eastAsia="Times New Roman" w:cstheme="minorHAnsi"/>
                <w:sz w:val="21"/>
                <w:szCs w:val="21"/>
                <w:lang w:eastAsia="de-AT"/>
              </w:rPr>
              <w:t>Forestry</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-0.08%</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-0.05%</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-0.10%</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-0.07%</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+0.06%</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0.00%</w:t>
            </w:r>
          </w:p>
        </w:tc>
      </w:tr>
      <w:tr w:rsidR="00AC4C57" w:rsidRPr="00384856" w:rsidTr="00564ACA">
        <w:trPr>
          <w:trHeight w:val="300"/>
        </w:trPr>
        <w:tc>
          <w:tcPr>
            <w:tcW w:w="1418" w:type="dxa"/>
            <w:tcBorders>
              <w:top w:val="nil"/>
              <w:bottom w:val="single" w:sz="4" w:space="0" w:color="auto"/>
            </w:tcBorders>
            <w:shd w:val="clear" w:color="auto" w:fill="auto"/>
            <w:vAlign w:val="center"/>
          </w:tcPr>
          <w:p w:rsidR="00AC4C57" w:rsidRPr="00384856" w:rsidRDefault="00AC4C57" w:rsidP="00564ACA">
            <w:pPr>
              <w:keepNext/>
              <w:keepLines/>
              <w:spacing w:after="0" w:line="360" w:lineRule="auto"/>
              <w:jc w:val="left"/>
              <w:rPr>
                <w:rFonts w:eastAsia="Times New Roman" w:cstheme="minorHAnsi"/>
                <w:sz w:val="21"/>
                <w:szCs w:val="21"/>
                <w:lang w:eastAsia="de-AT"/>
              </w:rPr>
            </w:pPr>
            <w:r w:rsidRPr="00384856">
              <w:rPr>
                <w:rFonts w:eastAsia="Times New Roman" w:cstheme="minorHAnsi"/>
                <w:sz w:val="21"/>
                <w:szCs w:val="21"/>
                <w:lang w:eastAsia="de-AT"/>
              </w:rPr>
              <w:t>Catastrophe Management</w:t>
            </w:r>
          </w:p>
        </w:tc>
        <w:tc>
          <w:tcPr>
            <w:tcW w:w="1323" w:type="dxa"/>
            <w:tcBorders>
              <w:top w:val="nil"/>
              <w:bottom w:val="single" w:sz="4" w:space="0" w:color="auto"/>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c>
          <w:tcPr>
            <w:tcW w:w="1323" w:type="dxa"/>
            <w:tcBorders>
              <w:top w:val="nil"/>
              <w:bottom w:val="single" w:sz="4" w:space="0" w:color="auto"/>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c>
          <w:tcPr>
            <w:tcW w:w="1323" w:type="dxa"/>
            <w:tcBorders>
              <w:top w:val="nil"/>
              <w:bottom w:val="single" w:sz="4" w:space="0" w:color="auto"/>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-0.24%</w:t>
            </w:r>
          </w:p>
        </w:tc>
        <w:tc>
          <w:tcPr>
            <w:tcW w:w="1323" w:type="dxa"/>
            <w:tcBorders>
              <w:top w:val="nil"/>
              <w:bottom w:val="single" w:sz="4" w:space="0" w:color="auto"/>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-0.13%</w:t>
            </w:r>
          </w:p>
        </w:tc>
        <w:tc>
          <w:tcPr>
            <w:tcW w:w="1323" w:type="dxa"/>
            <w:tcBorders>
              <w:top w:val="nil"/>
              <w:bottom w:val="single" w:sz="4" w:space="0" w:color="auto"/>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+0.02%</w:t>
            </w:r>
          </w:p>
        </w:tc>
        <w:tc>
          <w:tcPr>
            <w:tcW w:w="1323" w:type="dxa"/>
            <w:tcBorders>
              <w:top w:val="nil"/>
              <w:bottom w:val="single" w:sz="4" w:space="0" w:color="auto"/>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0.02%</w:t>
            </w:r>
          </w:p>
        </w:tc>
      </w:tr>
      <w:tr w:rsidR="00AC4C57" w:rsidRPr="00384856" w:rsidTr="00564ACA">
        <w:trPr>
          <w:trHeight w:val="300"/>
        </w:trPr>
        <w:tc>
          <w:tcPr>
            <w:tcW w:w="1418" w:type="dxa"/>
            <w:tcBorders>
              <w:top w:val="single" w:sz="4" w:space="0" w:color="auto"/>
              <w:bottom w:val="nil"/>
            </w:tcBorders>
            <w:shd w:val="clear" w:color="auto" w:fill="auto"/>
            <w:vAlign w:val="center"/>
          </w:tcPr>
          <w:p w:rsidR="00AC4C57" w:rsidRPr="00384856" w:rsidRDefault="00AC4C57" w:rsidP="00564ACA">
            <w:pPr>
              <w:keepNext/>
              <w:keepLines/>
              <w:spacing w:after="0" w:line="360" w:lineRule="auto"/>
              <w:jc w:val="left"/>
              <w:rPr>
                <w:rFonts w:eastAsia="Times New Roman" w:cstheme="minorHAnsi"/>
                <w:sz w:val="21"/>
                <w:szCs w:val="21"/>
                <w:lang w:eastAsia="de-AT"/>
              </w:rPr>
            </w:pPr>
            <w:r w:rsidRPr="00384856">
              <w:rPr>
                <w:rFonts w:eastAsia="Times New Roman" w:cstheme="minorHAnsi"/>
                <w:sz w:val="21"/>
                <w:szCs w:val="21"/>
                <w:lang w:eastAsia="de-AT"/>
              </w:rPr>
              <w:t>Electricity</w:t>
            </w:r>
          </w:p>
        </w:tc>
        <w:tc>
          <w:tcPr>
            <w:tcW w:w="1323" w:type="dxa"/>
            <w:tcBorders>
              <w:top w:val="single" w:sz="4" w:space="0" w:color="auto"/>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-0.08%</w:t>
            </w:r>
          </w:p>
        </w:tc>
        <w:tc>
          <w:tcPr>
            <w:tcW w:w="1323" w:type="dxa"/>
            <w:tcBorders>
              <w:top w:val="single" w:sz="4" w:space="0" w:color="auto"/>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-0.08%</w:t>
            </w:r>
          </w:p>
        </w:tc>
        <w:tc>
          <w:tcPr>
            <w:tcW w:w="1323" w:type="dxa"/>
            <w:tcBorders>
              <w:top w:val="single" w:sz="4" w:space="0" w:color="auto"/>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-0.09%</w:t>
            </w:r>
          </w:p>
        </w:tc>
        <w:tc>
          <w:tcPr>
            <w:tcW w:w="1323" w:type="dxa"/>
            <w:tcBorders>
              <w:top w:val="single" w:sz="4" w:space="0" w:color="auto"/>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-0.09%</w:t>
            </w:r>
          </w:p>
        </w:tc>
        <w:tc>
          <w:tcPr>
            <w:tcW w:w="1323" w:type="dxa"/>
            <w:tcBorders>
              <w:top w:val="single" w:sz="4" w:space="0" w:color="auto"/>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+0.04%</w:t>
            </w:r>
          </w:p>
        </w:tc>
        <w:tc>
          <w:tcPr>
            <w:tcW w:w="1323" w:type="dxa"/>
            <w:tcBorders>
              <w:top w:val="single" w:sz="4" w:space="0" w:color="auto"/>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+0.04%</w:t>
            </w:r>
          </w:p>
        </w:tc>
      </w:tr>
      <w:tr w:rsidR="00AC4C57" w:rsidRPr="00384856" w:rsidTr="00564ACA">
        <w:trPr>
          <w:trHeight w:val="300"/>
        </w:trPr>
        <w:tc>
          <w:tcPr>
            <w:tcW w:w="1418" w:type="dxa"/>
            <w:tcBorders>
              <w:top w:val="nil"/>
              <w:bottom w:val="nil"/>
            </w:tcBorders>
            <w:shd w:val="clear" w:color="auto" w:fill="auto"/>
            <w:vAlign w:val="center"/>
          </w:tcPr>
          <w:p w:rsidR="00AC4C57" w:rsidRPr="00384856" w:rsidRDefault="00AC4C57" w:rsidP="00564ACA">
            <w:pPr>
              <w:keepNext/>
              <w:keepLines/>
              <w:spacing w:after="0" w:line="360" w:lineRule="auto"/>
              <w:jc w:val="left"/>
              <w:rPr>
                <w:rFonts w:eastAsia="Times New Roman" w:cstheme="minorHAnsi"/>
                <w:sz w:val="21"/>
                <w:szCs w:val="21"/>
                <w:lang w:eastAsia="de-AT"/>
              </w:rPr>
            </w:pPr>
            <w:r w:rsidRPr="00384856">
              <w:rPr>
                <w:rFonts w:eastAsia="Times New Roman" w:cstheme="minorHAnsi"/>
                <w:sz w:val="21"/>
                <w:szCs w:val="21"/>
                <w:lang w:eastAsia="de-AT"/>
              </w:rPr>
              <w:t>Buildings: Heating and cooling</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+0.03%</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+0.03%</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r>
      <w:tr w:rsidR="00AC4C57" w:rsidRPr="00384856" w:rsidTr="00564ACA">
        <w:trPr>
          <w:trHeight w:val="300"/>
        </w:trPr>
        <w:tc>
          <w:tcPr>
            <w:tcW w:w="1418" w:type="dxa"/>
            <w:tcBorders>
              <w:top w:val="nil"/>
              <w:bottom w:val="nil"/>
            </w:tcBorders>
            <w:shd w:val="clear" w:color="auto" w:fill="auto"/>
            <w:vAlign w:val="center"/>
          </w:tcPr>
          <w:p w:rsidR="00AC4C57" w:rsidRPr="00384856" w:rsidRDefault="00AC4C57" w:rsidP="00564ACA">
            <w:pPr>
              <w:keepNext/>
              <w:keepLines/>
              <w:spacing w:after="0" w:line="360" w:lineRule="auto"/>
              <w:jc w:val="left"/>
              <w:rPr>
                <w:rFonts w:eastAsia="Times New Roman" w:cstheme="minorHAnsi"/>
                <w:sz w:val="21"/>
                <w:szCs w:val="21"/>
                <w:lang w:eastAsia="de-AT"/>
              </w:rPr>
            </w:pPr>
            <w:r w:rsidRPr="00384856">
              <w:rPr>
                <w:rFonts w:eastAsia="Times New Roman" w:cstheme="minorHAnsi"/>
                <w:sz w:val="21"/>
                <w:szCs w:val="21"/>
                <w:lang w:eastAsia="de-AT"/>
              </w:rPr>
              <w:t>Tourism</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-0.06%</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-0.06%</w:t>
            </w:r>
          </w:p>
        </w:tc>
        <w:tc>
          <w:tcPr>
            <w:tcW w:w="1323" w:type="dxa"/>
            <w:tcBorders>
              <w:top w:val="nil"/>
              <w:bottom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-0.07%</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-0.07%</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+0.04%</w:t>
            </w:r>
          </w:p>
        </w:tc>
        <w:tc>
          <w:tcPr>
            <w:tcW w:w="1323" w:type="dxa"/>
            <w:tcBorders>
              <w:top w:val="nil"/>
              <w:bottom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+0.04%</w:t>
            </w:r>
          </w:p>
        </w:tc>
      </w:tr>
      <w:tr w:rsidR="00AC4C57" w:rsidRPr="00384856" w:rsidTr="00564ACA">
        <w:trPr>
          <w:trHeight w:val="300"/>
        </w:trPr>
        <w:tc>
          <w:tcPr>
            <w:tcW w:w="1418" w:type="dxa"/>
            <w:tcBorders>
              <w:top w:val="nil"/>
            </w:tcBorders>
            <w:shd w:val="clear" w:color="auto" w:fill="auto"/>
            <w:vAlign w:val="bottom"/>
          </w:tcPr>
          <w:p w:rsidR="00AC4C57" w:rsidRPr="00384856" w:rsidRDefault="00AC4C57" w:rsidP="00564ACA">
            <w:pPr>
              <w:keepNext/>
              <w:keepLines/>
              <w:spacing w:after="0" w:line="360" w:lineRule="auto"/>
              <w:jc w:val="left"/>
              <w:rPr>
                <w:rFonts w:eastAsia="Times New Roman" w:cstheme="minorHAnsi"/>
                <w:color w:val="000000"/>
                <w:sz w:val="21"/>
                <w:szCs w:val="21"/>
                <w:lang w:eastAsia="de-AT"/>
              </w:rPr>
            </w:pPr>
            <w:r w:rsidRPr="00384856">
              <w:rPr>
                <w:rFonts w:eastAsia="Times New Roman" w:cstheme="minorHAnsi"/>
                <w:color w:val="000000"/>
                <w:sz w:val="21"/>
                <w:szCs w:val="21"/>
                <w:lang w:eastAsia="de-AT"/>
              </w:rPr>
              <w:t>Remaining impact fields</w:t>
            </w:r>
            <w:r w:rsidRPr="00384856">
              <w:rPr>
                <w:rFonts w:eastAsia="Times New Roman" w:cstheme="minorHAnsi"/>
                <w:color w:val="000000"/>
                <w:sz w:val="21"/>
                <w:szCs w:val="21"/>
                <w:lang w:eastAsia="de-AT"/>
              </w:rPr>
              <w:sym w:font="Symbol" w:char="F0B0"/>
            </w:r>
          </w:p>
        </w:tc>
        <w:tc>
          <w:tcPr>
            <w:tcW w:w="1323" w:type="dxa"/>
            <w:tcBorders>
              <w:top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-0.02%</w:t>
            </w:r>
          </w:p>
        </w:tc>
        <w:tc>
          <w:tcPr>
            <w:tcW w:w="1323" w:type="dxa"/>
            <w:tcBorders>
              <w:top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-0.02%</w:t>
            </w:r>
          </w:p>
        </w:tc>
        <w:tc>
          <w:tcPr>
            <w:tcW w:w="1323" w:type="dxa"/>
            <w:tcBorders>
              <w:top w:val="nil"/>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-0.03%</w:t>
            </w:r>
          </w:p>
        </w:tc>
        <w:tc>
          <w:tcPr>
            <w:tcW w:w="1323" w:type="dxa"/>
            <w:tcBorders>
              <w:top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-0.03%</w:t>
            </w:r>
          </w:p>
        </w:tc>
        <w:tc>
          <w:tcPr>
            <w:tcW w:w="1323" w:type="dxa"/>
            <w:tcBorders>
              <w:top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c>
          <w:tcPr>
            <w:tcW w:w="1323" w:type="dxa"/>
            <w:tcBorders>
              <w:top w:val="nil"/>
            </w:tcBorders>
          </w:tcPr>
          <w:p w:rsidR="00AC4C57" w:rsidRPr="00384856" w:rsidRDefault="00AC4C57" w:rsidP="00564ACA">
            <w:pPr>
              <w:keepNext/>
              <w:keepLines/>
              <w:spacing w:after="0" w:line="360" w:lineRule="auto"/>
              <w:jc w:val="right"/>
              <w:rPr>
                <w:rFonts w:ascii="Calibri" w:eastAsia="Times New Roman" w:hAnsi="Calibri" w:cs="Calibri"/>
                <w:color w:val="000000"/>
                <w:sz w:val="21"/>
                <w:szCs w:val="21"/>
                <w:lang w:eastAsia="de-AT"/>
              </w:rPr>
            </w:pPr>
            <w:r w:rsidRPr="00384856">
              <w:rPr>
                <w:rFonts w:ascii="Calibri" w:eastAsia="Times New Roman" w:hAnsi="Calibri" w:cs="Calibri"/>
                <w:color w:val="000000"/>
                <w:sz w:val="21"/>
                <w:szCs w:val="21"/>
                <w:lang w:eastAsia="de-AT"/>
              </w:rPr>
              <w:t>+0.01%</w:t>
            </w:r>
          </w:p>
        </w:tc>
      </w:tr>
      <w:tr w:rsidR="00AC4C57" w:rsidRPr="00384856" w:rsidTr="00564ACA">
        <w:trPr>
          <w:trHeight w:val="300"/>
        </w:trPr>
        <w:tc>
          <w:tcPr>
            <w:tcW w:w="1418" w:type="dxa"/>
            <w:tcBorders>
              <w:bottom w:val="single" w:sz="12" w:space="0" w:color="auto"/>
            </w:tcBorders>
            <w:shd w:val="clear" w:color="auto" w:fill="auto"/>
            <w:vAlign w:val="bottom"/>
          </w:tcPr>
          <w:p w:rsidR="00AC4C57" w:rsidRPr="00384856" w:rsidRDefault="00AC4C57" w:rsidP="00564ACA">
            <w:pPr>
              <w:keepNext/>
              <w:keepLines/>
              <w:spacing w:after="0" w:line="360" w:lineRule="auto"/>
              <w:jc w:val="left"/>
              <w:rPr>
                <w:rFonts w:eastAsia="Times New Roman" w:cstheme="minorHAnsi"/>
                <w:b/>
                <w:color w:val="000000"/>
                <w:sz w:val="21"/>
                <w:szCs w:val="21"/>
                <w:lang w:eastAsia="de-AT"/>
              </w:rPr>
            </w:pPr>
            <w:r w:rsidRPr="00384856">
              <w:rPr>
                <w:rFonts w:eastAsia="Times New Roman" w:cstheme="minorHAnsi"/>
                <w:b/>
                <w:color w:val="000000"/>
                <w:sz w:val="21"/>
                <w:szCs w:val="21"/>
                <w:lang w:eastAsia="de-AT"/>
              </w:rPr>
              <w:t>Total</w:t>
            </w:r>
          </w:p>
        </w:tc>
        <w:tc>
          <w:tcPr>
            <w:tcW w:w="1323" w:type="dxa"/>
            <w:tcBorders>
              <w:bottom w:val="single" w:sz="12" w:space="0" w:color="auto"/>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b/>
                <w:color w:val="000000"/>
                <w:sz w:val="21"/>
                <w:szCs w:val="21"/>
                <w:lang w:eastAsia="de-AT"/>
              </w:rPr>
            </w:pPr>
            <w:r w:rsidRPr="00384856">
              <w:rPr>
                <w:rFonts w:ascii="Calibri" w:eastAsia="Times New Roman" w:hAnsi="Calibri" w:cs="Calibri"/>
                <w:b/>
                <w:color w:val="000000"/>
                <w:sz w:val="21"/>
                <w:szCs w:val="21"/>
                <w:lang w:eastAsia="de-AT"/>
              </w:rPr>
              <w:t>-0.15%</w:t>
            </w:r>
          </w:p>
        </w:tc>
        <w:tc>
          <w:tcPr>
            <w:tcW w:w="1323" w:type="dxa"/>
            <w:tcBorders>
              <w:bottom w:val="single" w:sz="12" w:space="0" w:color="auto"/>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b/>
                <w:color w:val="000000"/>
                <w:sz w:val="21"/>
                <w:szCs w:val="21"/>
                <w:lang w:eastAsia="de-AT"/>
              </w:rPr>
            </w:pPr>
            <w:r w:rsidRPr="00384856">
              <w:rPr>
                <w:rFonts w:ascii="Calibri" w:eastAsia="Times New Roman" w:hAnsi="Calibri" w:cs="Calibri"/>
                <w:b/>
                <w:color w:val="000000"/>
                <w:sz w:val="21"/>
                <w:szCs w:val="21"/>
                <w:lang w:eastAsia="de-AT"/>
              </w:rPr>
              <w:t>-0.06%</w:t>
            </w:r>
          </w:p>
        </w:tc>
        <w:tc>
          <w:tcPr>
            <w:tcW w:w="1323" w:type="dxa"/>
            <w:tcBorders>
              <w:bottom w:val="single" w:sz="12" w:space="0" w:color="auto"/>
            </w:tcBorders>
            <w:shd w:val="clear" w:color="auto" w:fill="auto"/>
            <w:noWrap/>
          </w:tcPr>
          <w:p w:rsidR="00AC4C57" w:rsidRPr="00384856" w:rsidRDefault="00AC4C57" w:rsidP="00564ACA">
            <w:pPr>
              <w:keepNext/>
              <w:keepLines/>
              <w:spacing w:after="0" w:line="360" w:lineRule="auto"/>
              <w:jc w:val="right"/>
              <w:rPr>
                <w:rFonts w:ascii="Calibri" w:eastAsia="Times New Roman" w:hAnsi="Calibri" w:cs="Calibri"/>
                <w:b/>
                <w:color w:val="000000"/>
                <w:sz w:val="21"/>
                <w:szCs w:val="21"/>
                <w:lang w:eastAsia="de-AT"/>
              </w:rPr>
            </w:pPr>
            <w:r w:rsidRPr="00384856">
              <w:rPr>
                <w:rFonts w:ascii="Calibri" w:eastAsia="Times New Roman" w:hAnsi="Calibri" w:cs="Calibri"/>
                <w:b/>
                <w:color w:val="000000"/>
                <w:sz w:val="21"/>
                <w:szCs w:val="21"/>
                <w:lang w:eastAsia="de-AT"/>
              </w:rPr>
              <w:t>-0.48%</w:t>
            </w:r>
          </w:p>
        </w:tc>
        <w:tc>
          <w:tcPr>
            <w:tcW w:w="1323" w:type="dxa"/>
            <w:tcBorders>
              <w:bottom w:val="single" w:sz="12" w:space="0" w:color="auto"/>
            </w:tcBorders>
          </w:tcPr>
          <w:p w:rsidR="00AC4C57" w:rsidRPr="00384856" w:rsidRDefault="00AC4C57" w:rsidP="00564ACA">
            <w:pPr>
              <w:keepNext/>
              <w:keepLines/>
              <w:spacing w:after="0" w:line="360" w:lineRule="auto"/>
              <w:jc w:val="right"/>
              <w:rPr>
                <w:rFonts w:ascii="Calibri" w:eastAsia="Times New Roman" w:hAnsi="Calibri" w:cs="Calibri"/>
                <w:b/>
                <w:color w:val="000000"/>
                <w:sz w:val="21"/>
                <w:szCs w:val="21"/>
                <w:lang w:eastAsia="de-AT"/>
              </w:rPr>
            </w:pPr>
            <w:r w:rsidRPr="00384856">
              <w:rPr>
                <w:rFonts w:ascii="Calibri" w:eastAsia="Times New Roman" w:hAnsi="Calibri" w:cs="Calibri"/>
                <w:b/>
                <w:color w:val="000000"/>
                <w:sz w:val="21"/>
                <w:szCs w:val="21"/>
                <w:lang w:eastAsia="de-AT"/>
              </w:rPr>
              <w:t>-0.27%</w:t>
            </w:r>
          </w:p>
        </w:tc>
        <w:tc>
          <w:tcPr>
            <w:tcW w:w="1323" w:type="dxa"/>
            <w:tcBorders>
              <w:bottom w:val="single" w:sz="12" w:space="0" w:color="auto"/>
            </w:tcBorders>
          </w:tcPr>
          <w:p w:rsidR="00AC4C57" w:rsidRPr="00384856" w:rsidRDefault="00AC4C57" w:rsidP="00564ACA">
            <w:pPr>
              <w:keepNext/>
              <w:keepLines/>
              <w:spacing w:after="0" w:line="360" w:lineRule="auto"/>
              <w:jc w:val="right"/>
              <w:rPr>
                <w:rFonts w:ascii="Calibri" w:eastAsia="Times New Roman" w:hAnsi="Calibri" w:cs="Calibri"/>
                <w:b/>
                <w:color w:val="000000"/>
                <w:sz w:val="21"/>
                <w:szCs w:val="21"/>
                <w:lang w:eastAsia="de-AT"/>
              </w:rPr>
            </w:pPr>
            <w:r w:rsidRPr="00384856">
              <w:rPr>
                <w:rFonts w:ascii="Calibri" w:eastAsia="Times New Roman" w:hAnsi="Calibri" w:cs="Calibri"/>
                <w:b/>
                <w:color w:val="000000"/>
                <w:sz w:val="21"/>
                <w:szCs w:val="21"/>
                <w:lang w:eastAsia="de-AT"/>
              </w:rPr>
              <w:t>+0.20%</w:t>
            </w:r>
          </w:p>
        </w:tc>
        <w:tc>
          <w:tcPr>
            <w:tcW w:w="1323" w:type="dxa"/>
            <w:tcBorders>
              <w:bottom w:val="single" w:sz="12" w:space="0" w:color="auto"/>
            </w:tcBorders>
          </w:tcPr>
          <w:p w:rsidR="00AC4C57" w:rsidRPr="00384856" w:rsidRDefault="00AC4C57" w:rsidP="00564ACA">
            <w:pPr>
              <w:keepNext/>
              <w:keepLines/>
              <w:spacing w:after="0" w:line="360" w:lineRule="auto"/>
              <w:jc w:val="right"/>
              <w:rPr>
                <w:rFonts w:ascii="Calibri" w:eastAsia="Times New Roman" w:hAnsi="Calibri" w:cs="Calibri"/>
                <w:b/>
                <w:color w:val="000000"/>
                <w:sz w:val="21"/>
                <w:szCs w:val="21"/>
                <w:lang w:eastAsia="de-AT"/>
              </w:rPr>
            </w:pPr>
            <w:r w:rsidRPr="00384856">
              <w:rPr>
                <w:rFonts w:ascii="Calibri" w:eastAsia="Times New Roman" w:hAnsi="Calibri" w:cs="Calibri"/>
                <w:b/>
                <w:color w:val="000000"/>
                <w:sz w:val="21"/>
                <w:szCs w:val="21"/>
                <w:lang w:eastAsia="de-AT"/>
              </w:rPr>
              <w:t>+3.63%</w:t>
            </w:r>
          </w:p>
        </w:tc>
      </w:tr>
    </w:tbl>
    <w:p w:rsidR="00AC4C57" w:rsidRPr="00384856" w:rsidRDefault="00AC4C57" w:rsidP="00AC4C57">
      <w:pPr>
        <w:keepNext/>
        <w:keepLines/>
        <w:spacing w:after="0" w:line="360" w:lineRule="auto"/>
        <w:jc w:val="left"/>
      </w:pPr>
      <w:r w:rsidRPr="00384856">
        <w:sym w:font="Symbol" w:char="F0B0"/>
      </w:r>
      <w:r w:rsidRPr="00384856">
        <w:t xml:space="preserve"> Remaining impact fields comprise Water Supply and Sanitation, Transport infrastructure, Manufacturing and Trade, Cities and Urban Green.</w:t>
      </w:r>
      <w:r w:rsidRPr="00384856">
        <w:tab/>
      </w:r>
      <w:r w:rsidRPr="00384856">
        <w:br/>
        <w:t>* Adaptation only in the following impact fields: Agriculture, Forestry, Catastrophe Management.</w:t>
      </w:r>
    </w:p>
    <w:p w:rsidR="00D350C5" w:rsidRPr="00384856" w:rsidRDefault="00D350C5" w:rsidP="00D350C5">
      <w:pPr>
        <w:keepNext/>
        <w:keepLines/>
        <w:spacing w:after="0" w:line="360" w:lineRule="auto"/>
        <w:jc w:val="left"/>
      </w:pPr>
      <w:r w:rsidRPr="00384856">
        <w:tab/>
      </w:r>
      <w:r w:rsidRPr="00384856">
        <w:br/>
      </w:r>
    </w:p>
    <w:p w:rsidR="004B61ED" w:rsidRDefault="004B61ED">
      <w:pPr>
        <w:spacing w:line="276" w:lineRule="auto"/>
        <w:jc w:val="left"/>
      </w:pPr>
      <w:r>
        <w:br w:type="page"/>
      </w:r>
    </w:p>
    <w:p w:rsidR="00863751" w:rsidRPr="00863751" w:rsidRDefault="00863751" w:rsidP="004B61ED">
      <w:pPr>
        <w:spacing w:line="276" w:lineRule="auto"/>
        <w:ind w:left="567" w:hanging="567"/>
        <w:jc w:val="left"/>
        <w:rPr>
          <w:b/>
          <w:lang w:val="de-AT"/>
        </w:rPr>
      </w:pPr>
      <w:r w:rsidRPr="00863751">
        <w:rPr>
          <w:b/>
          <w:lang w:val="de-AT"/>
        </w:rPr>
        <w:lastRenderedPageBreak/>
        <w:t>References:</w:t>
      </w:r>
    </w:p>
    <w:p w:rsidR="004B61ED" w:rsidRPr="00863751" w:rsidRDefault="004B61ED" w:rsidP="004B61ED">
      <w:pPr>
        <w:spacing w:line="276" w:lineRule="auto"/>
        <w:ind w:left="567" w:hanging="567"/>
        <w:jc w:val="left"/>
        <w:rPr>
          <w:lang w:val="de-AT"/>
        </w:rPr>
      </w:pPr>
      <w:r w:rsidRPr="00863751">
        <w:rPr>
          <w:lang w:val="de-AT"/>
        </w:rPr>
        <w:t xml:space="preserve">Austrian Panel on </w:t>
      </w:r>
      <w:proofErr w:type="spellStart"/>
      <w:r w:rsidRPr="00863751">
        <w:rPr>
          <w:lang w:val="de-AT"/>
        </w:rPr>
        <w:t>Climate</w:t>
      </w:r>
      <w:proofErr w:type="spellEnd"/>
      <w:r w:rsidRPr="00863751">
        <w:rPr>
          <w:lang w:val="de-AT"/>
        </w:rPr>
        <w:t xml:space="preserve"> Change (</w:t>
      </w:r>
      <w:proofErr w:type="spellStart"/>
      <w:r w:rsidRPr="00863751">
        <w:rPr>
          <w:lang w:val="de-AT"/>
        </w:rPr>
        <w:t>ed</w:t>
      </w:r>
      <w:proofErr w:type="spellEnd"/>
      <w:r w:rsidRPr="00863751">
        <w:rPr>
          <w:lang w:val="de-AT"/>
        </w:rPr>
        <w:t xml:space="preserve">) (2014) Österreichischer Sachstandsbericht Klimawandel 2014. Austrian </w:t>
      </w:r>
      <w:proofErr w:type="spellStart"/>
      <w:r w:rsidRPr="00863751">
        <w:rPr>
          <w:lang w:val="de-AT"/>
        </w:rPr>
        <w:t>assessment</w:t>
      </w:r>
      <w:proofErr w:type="spellEnd"/>
      <w:r w:rsidRPr="00863751">
        <w:rPr>
          <w:lang w:val="de-AT"/>
        </w:rPr>
        <w:t xml:space="preserve"> </w:t>
      </w:r>
      <w:proofErr w:type="spellStart"/>
      <w:r w:rsidRPr="00863751">
        <w:rPr>
          <w:lang w:val="de-AT"/>
        </w:rPr>
        <w:t>report</w:t>
      </w:r>
      <w:proofErr w:type="spellEnd"/>
      <w:r w:rsidRPr="00863751">
        <w:rPr>
          <w:lang w:val="de-AT"/>
        </w:rPr>
        <w:t xml:space="preserve"> 2014 (AAR14). Verlag der Österreichischen Akademie der Wissenschaften, Wien</w:t>
      </w:r>
    </w:p>
    <w:p w:rsidR="004B61ED" w:rsidRPr="00863751" w:rsidRDefault="004B61ED" w:rsidP="004B61ED">
      <w:pPr>
        <w:spacing w:line="276" w:lineRule="auto"/>
        <w:ind w:left="567" w:hanging="567"/>
        <w:jc w:val="left"/>
        <w:rPr>
          <w:lang w:val="de-AT"/>
        </w:rPr>
      </w:pPr>
      <w:proofErr w:type="spellStart"/>
      <w:r>
        <w:t>Bachner</w:t>
      </w:r>
      <w:proofErr w:type="spellEnd"/>
      <w:r>
        <w:t xml:space="preserve"> G, </w:t>
      </w:r>
      <w:proofErr w:type="spellStart"/>
      <w:r>
        <w:t>Bednar-Friedl</w:t>
      </w:r>
      <w:proofErr w:type="spellEnd"/>
      <w:r>
        <w:t xml:space="preserve"> B, </w:t>
      </w:r>
      <w:proofErr w:type="spellStart"/>
      <w:r>
        <w:t>Nabernegg</w:t>
      </w:r>
      <w:proofErr w:type="spellEnd"/>
      <w:r>
        <w:t xml:space="preserve"> S, </w:t>
      </w:r>
      <w:proofErr w:type="spellStart"/>
      <w:r>
        <w:t>Steininger</w:t>
      </w:r>
      <w:proofErr w:type="spellEnd"/>
      <w:r>
        <w:t xml:space="preserve"> KW (2015) Macroeconomic Evaluation of Climate Change in Austria: A Comparison Across Impact Fields and Total Effects.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w:t>
      </w:r>
      <w:r w:rsidRPr="00863751">
        <w:rPr>
          <w:lang w:val="de-AT"/>
        </w:rPr>
        <w:t>Springer, Berlin, pp 415–440</w:t>
      </w:r>
    </w:p>
    <w:p w:rsidR="004B61ED" w:rsidRPr="00863751" w:rsidRDefault="004B61ED" w:rsidP="004B61ED">
      <w:pPr>
        <w:spacing w:line="276" w:lineRule="auto"/>
        <w:ind w:left="567" w:hanging="567"/>
        <w:jc w:val="left"/>
        <w:rPr>
          <w:lang w:val="de-AT"/>
        </w:rPr>
      </w:pPr>
      <w:r w:rsidRPr="00863751">
        <w:rPr>
          <w:lang w:val="de-AT"/>
        </w:rPr>
        <w:t xml:space="preserve">Bednar-Friedl B, </w:t>
      </w:r>
      <w:proofErr w:type="spellStart"/>
      <w:r w:rsidRPr="00863751">
        <w:rPr>
          <w:lang w:val="de-AT"/>
        </w:rPr>
        <w:t>Wolkinger</w:t>
      </w:r>
      <w:proofErr w:type="spellEnd"/>
      <w:r w:rsidRPr="00863751">
        <w:rPr>
          <w:lang w:val="de-AT"/>
        </w:rPr>
        <w:t xml:space="preserve"> B, König M, et al (2015) Transport. In: Steininger KW, König M, Bednar-Friedl B, et al. </w:t>
      </w:r>
      <w:r>
        <w:t>(</w:t>
      </w:r>
      <w:proofErr w:type="spellStart"/>
      <w:r>
        <w:t>eds</w:t>
      </w:r>
      <w:proofErr w:type="spellEnd"/>
      <w:r>
        <w:t xml:space="preserve">) Economic Evaluation of Climate Change Impacts. Development of a Cross-sectoral Framework and Results for Austria. </w:t>
      </w:r>
      <w:r w:rsidRPr="00863751">
        <w:rPr>
          <w:lang w:val="de-AT"/>
        </w:rPr>
        <w:t>Springer International Publishing, Cham, pp 279–300</w:t>
      </w:r>
    </w:p>
    <w:p w:rsidR="004B61ED" w:rsidRDefault="004B61ED" w:rsidP="004B61ED">
      <w:pPr>
        <w:spacing w:line="276" w:lineRule="auto"/>
        <w:ind w:left="567" w:hanging="567"/>
        <w:jc w:val="left"/>
      </w:pPr>
      <w:r w:rsidRPr="00863751">
        <w:rPr>
          <w:lang w:val="de-AT"/>
        </w:rPr>
        <w:t xml:space="preserve">BMF (2015) Strategiebericht zum Bundesfinanzrahmengesetz 2016-2019 gemäß § 14 BHG 2013. </w:t>
      </w:r>
      <w:proofErr w:type="spellStart"/>
      <w:r>
        <w:t>Bundesministerium</w:t>
      </w:r>
      <w:proofErr w:type="spellEnd"/>
      <w:r>
        <w:t xml:space="preserve"> </w:t>
      </w:r>
      <w:proofErr w:type="spellStart"/>
      <w:r>
        <w:t>für</w:t>
      </w:r>
      <w:proofErr w:type="spellEnd"/>
      <w:r>
        <w:t xml:space="preserve"> </w:t>
      </w:r>
      <w:proofErr w:type="spellStart"/>
      <w:r>
        <w:t>Finanzen</w:t>
      </w:r>
      <w:proofErr w:type="spellEnd"/>
      <w:r>
        <w:t>, Vienna</w:t>
      </w:r>
    </w:p>
    <w:p w:rsidR="004B61ED" w:rsidRDefault="004B61ED" w:rsidP="004B61ED">
      <w:pPr>
        <w:spacing w:line="276" w:lineRule="auto"/>
        <w:ind w:left="567" w:hanging="567"/>
        <w:jc w:val="left"/>
      </w:pPr>
      <w:r>
        <w:t>European Commission (2016) Tracking climate expenditures. The common methodology for tracking and monitoring climate expenditure under the European Structural and Investment Funds (2014-2020). Brussels, Belgium</w:t>
      </w:r>
    </w:p>
    <w:p w:rsidR="004B61ED" w:rsidRDefault="004B61ED" w:rsidP="004B61ED">
      <w:pPr>
        <w:spacing w:line="276" w:lineRule="auto"/>
        <w:ind w:left="567" w:hanging="567"/>
        <w:jc w:val="left"/>
      </w:pPr>
      <w:proofErr w:type="spellStart"/>
      <w:r>
        <w:t>Formayer</w:t>
      </w:r>
      <w:proofErr w:type="spellEnd"/>
      <w:r>
        <w:t xml:space="preserve"> H, </w:t>
      </w:r>
      <w:proofErr w:type="spellStart"/>
      <w:r>
        <w:t>Nadeem</w:t>
      </w:r>
      <w:proofErr w:type="spellEnd"/>
      <w:r>
        <w:t xml:space="preserve"> I, Anders I (2015) Climate change scenario: from climate model ensemble to local indicators.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Springer International Publishing, Cham, </w:t>
      </w:r>
      <w:proofErr w:type="spellStart"/>
      <w:r>
        <w:t>pp</w:t>
      </w:r>
      <w:proofErr w:type="spellEnd"/>
      <w:r>
        <w:t xml:space="preserve"> 55–74</w:t>
      </w:r>
    </w:p>
    <w:p w:rsidR="004B61ED" w:rsidRPr="00863751" w:rsidRDefault="004B61ED" w:rsidP="004B61ED">
      <w:pPr>
        <w:spacing w:line="276" w:lineRule="auto"/>
        <w:ind w:left="567" w:hanging="567"/>
        <w:jc w:val="left"/>
        <w:rPr>
          <w:lang w:val="de-AT"/>
        </w:rPr>
      </w:pPr>
      <w:r>
        <w:t xml:space="preserve">Gill S, Handley J, </w:t>
      </w:r>
      <w:proofErr w:type="spellStart"/>
      <w:r>
        <w:t>Ennos</w:t>
      </w:r>
      <w:proofErr w:type="spellEnd"/>
      <w:r>
        <w:t xml:space="preserve"> R, </w:t>
      </w:r>
      <w:proofErr w:type="spellStart"/>
      <w:r>
        <w:t>Pauleit</w:t>
      </w:r>
      <w:proofErr w:type="spellEnd"/>
      <w:r>
        <w:t xml:space="preserve"> S (2007) Adapting cities for climate change: the role of the green infrastructure. </w:t>
      </w:r>
      <w:proofErr w:type="spellStart"/>
      <w:r w:rsidRPr="00863751">
        <w:rPr>
          <w:lang w:val="de-AT"/>
        </w:rPr>
        <w:t>Built</w:t>
      </w:r>
      <w:proofErr w:type="spellEnd"/>
      <w:r w:rsidRPr="00863751">
        <w:rPr>
          <w:lang w:val="de-AT"/>
        </w:rPr>
        <w:t xml:space="preserve"> </w:t>
      </w:r>
      <w:proofErr w:type="spellStart"/>
      <w:r w:rsidRPr="00863751">
        <w:rPr>
          <w:lang w:val="de-AT"/>
        </w:rPr>
        <w:t>Environ</w:t>
      </w:r>
      <w:proofErr w:type="spellEnd"/>
      <w:r w:rsidRPr="00863751">
        <w:rPr>
          <w:lang w:val="de-AT"/>
        </w:rPr>
        <w:t xml:space="preserve"> 30:97–115</w:t>
      </w:r>
    </w:p>
    <w:p w:rsidR="004B61ED" w:rsidRPr="00863751" w:rsidRDefault="004B61ED" w:rsidP="004B61ED">
      <w:pPr>
        <w:spacing w:line="276" w:lineRule="auto"/>
        <w:ind w:left="567" w:hanging="567"/>
        <w:jc w:val="left"/>
        <w:rPr>
          <w:lang w:val="de-AT"/>
        </w:rPr>
      </w:pPr>
      <w:proofErr w:type="spellStart"/>
      <w:r w:rsidRPr="00863751">
        <w:rPr>
          <w:lang w:val="de-AT"/>
        </w:rPr>
        <w:t>Hanika</w:t>
      </w:r>
      <w:proofErr w:type="spellEnd"/>
      <w:r w:rsidRPr="00863751">
        <w:rPr>
          <w:lang w:val="de-AT"/>
        </w:rPr>
        <w:t xml:space="preserve"> A (2010) Kleinräumige Bevölkerungsprognose für Österreich 2010–2030 mit Ausblick bis 2050 (“ÖROK-Prognosen”) Teil 1: Endbericht zur Bevölkerungsprognose. ÖROK, Vienna</w:t>
      </w:r>
    </w:p>
    <w:p w:rsidR="004B61ED" w:rsidRDefault="004B61ED" w:rsidP="004B61ED">
      <w:pPr>
        <w:spacing w:line="276" w:lineRule="auto"/>
        <w:ind w:left="567" w:hanging="567"/>
        <w:jc w:val="left"/>
      </w:pPr>
      <w:proofErr w:type="spellStart"/>
      <w:r w:rsidRPr="00863751">
        <w:rPr>
          <w:lang w:val="de-AT"/>
        </w:rPr>
        <w:t>Hanika</w:t>
      </w:r>
      <w:proofErr w:type="spellEnd"/>
      <w:r w:rsidRPr="00863751">
        <w:rPr>
          <w:lang w:val="de-AT"/>
        </w:rPr>
        <w:t xml:space="preserve"> A (2005) ÖROK-Prognosen 2001–2031; Teil 2 Haushalte und Wohnungsbedarf nach Regionen und Bezirken Österreichs. </w:t>
      </w:r>
      <w:r>
        <w:t>ÖROK, Vienna</w:t>
      </w:r>
    </w:p>
    <w:p w:rsidR="004B61ED" w:rsidRDefault="004B61ED" w:rsidP="004B61ED">
      <w:pPr>
        <w:spacing w:line="276" w:lineRule="auto"/>
        <w:ind w:left="567" w:hanging="567"/>
        <w:jc w:val="left"/>
      </w:pPr>
      <w:r>
        <w:t>IEA (2010) World Energy Outlook 2010. International Energy Agency, Paris, France</w:t>
      </w:r>
    </w:p>
    <w:p w:rsidR="004B61ED" w:rsidRDefault="004B61ED" w:rsidP="004B61ED">
      <w:pPr>
        <w:spacing w:line="276" w:lineRule="auto"/>
        <w:ind w:left="567" w:hanging="567"/>
        <w:jc w:val="left"/>
      </w:pPr>
      <w:proofErr w:type="spellStart"/>
      <w:r>
        <w:t>Kjellstrom</w:t>
      </w:r>
      <w:proofErr w:type="spellEnd"/>
      <w:r>
        <w:t xml:space="preserve"> T, </w:t>
      </w:r>
      <w:proofErr w:type="spellStart"/>
      <w:r>
        <w:t>Kovats</w:t>
      </w:r>
      <w:proofErr w:type="spellEnd"/>
      <w:r>
        <w:t xml:space="preserve"> RS, Lloyd SJ, et al (2009) The direct impact of climate change on regional labor productivity. Archives of Environmental and Occupational Health 64:217–227. </w:t>
      </w:r>
      <w:proofErr w:type="spellStart"/>
      <w:r>
        <w:t>doi</w:t>
      </w:r>
      <w:proofErr w:type="spellEnd"/>
      <w:r>
        <w:t>: 10.1080/19338240903352776</w:t>
      </w:r>
    </w:p>
    <w:p w:rsidR="004B61ED" w:rsidRDefault="004B61ED" w:rsidP="004B61ED">
      <w:pPr>
        <w:spacing w:line="276" w:lineRule="auto"/>
        <w:ind w:left="567" w:hanging="567"/>
        <w:jc w:val="left"/>
      </w:pPr>
      <w:proofErr w:type="spellStart"/>
      <w:r>
        <w:t>Köberl</w:t>
      </w:r>
      <w:proofErr w:type="spellEnd"/>
      <w:r>
        <w:t xml:space="preserve"> J, </w:t>
      </w:r>
      <w:proofErr w:type="spellStart"/>
      <w:r>
        <w:t>Prettenthaler</w:t>
      </w:r>
      <w:proofErr w:type="spellEnd"/>
      <w:r>
        <w:t xml:space="preserve"> F, </w:t>
      </w:r>
      <w:proofErr w:type="spellStart"/>
      <w:r>
        <w:t>Nabernegg</w:t>
      </w:r>
      <w:proofErr w:type="spellEnd"/>
      <w:r>
        <w:t xml:space="preserve"> S, </w:t>
      </w:r>
      <w:proofErr w:type="spellStart"/>
      <w:r>
        <w:t>Schinko</w:t>
      </w:r>
      <w:proofErr w:type="spellEnd"/>
      <w:r>
        <w:t xml:space="preserve"> T (2015) Tourism.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Springer, Cham, </w:t>
      </w:r>
      <w:proofErr w:type="spellStart"/>
      <w:r>
        <w:t>pp</w:t>
      </w:r>
      <w:proofErr w:type="spellEnd"/>
      <w:r>
        <w:t xml:space="preserve"> 367–388</w:t>
      </w:r>
    </w:p>
    <w:p w:rsidR="004B61ED" w:rsidRDefault="004B61ED" w:rsidP="004B61ED">
      <w:pPr>
        <w:spacing w:line="276" w:lineRule="auto"/>
        <w:ind w:left="567" w:hanging="567"/>
        <w:jc w:val="left"/>
      </w:pPr>
      <w:proofErr w:type="spellStart"/>
      <w:r>
        <w:lastRenderedPageBreak/>
        <w:t>Kolström</w:t>
      </w:r>
      <w:proofErr w:type="spellEnd"/>
      <w:r>
        <w:t xml:space="preserve"> M, Lindner M, </w:t>
      </w:r>
      <w:proofErr w:type="spellStart"/>
      <w:r>
        <w:t>Vilén</w:t>
      </w:r>
      <w:proofErr w:type="spellEnd"/>
      <w:r>
        <w:t xml:space="preserve"> T, et al (2011) Reviewing the Science and Implementation of Climate Change Adaptation Measures in European Forestry. Forests 2:961–982. </w:t>
      </w:r>
      <w:proofErr w:type="spellStart"/>
      <w:r>
        <w:t>doi</w:t>
      </w:r>
      <w:proofErr w:type="spellEnd"/>
      <w:r>
        <w:t>: 10.3390/f2040961</w:t>
      </w:r>
    </w:p>
    <w:p w:rsidR="004B61ED" w:rsidRDefault="004B61ED" w:rsidP="004B61ED">
      <w:pPr>
        <w:spacing w:line="276" w:lineRule="auto"/>
        <w:ind w:left="567" w:hanging="567"/>
        <w:jc w:val="left"/>
      </w:pPr>
      <w:proofErr w:type="spellStart"/>
      <w:r>
        <w:t>König</w:t>
      </w:r>
      <w:proofErr w:type="spellEnd"/>
      <w:r>
        <w:t xml:space="preserve"> M, </w:t>
      </w:r>
      <w:proofErr w:type="spellStart"/>
      <w:r>
        <w:t>Loibl</w:t>
      </w:r>
      <w:proofErr w:type="spellEnd"/>
      <w:r>
        <w:t xml:space="preserve"> W, Haas W, </w:t>
      </w:r>
      <w:proofErr w:type="spellStart"/>
      <w:r>
        <w:t>Kranzl</w:t>
      </w:r>
      <w:proofErr w:type="spellEnd"/>
      <w:r>
        <w:t xml:space="preserve"> L (2015) Shared-Socio-Economic Pathways. </w:t>
      </w:r>
      <w:r w:rsidRPr="00863751">
        <w:rPr>
          <w:lang w:val="de-AT"/>
        </w:rPr>
        <w:t xml:space="preserve">In: Steininger KW, König M, Bednar-Friedl B, et al. </w:t>
      </w:r>
      <w:r>
        <w:t>(</w:t>
      </w:r>
      <w:proofErr w:type="spellStart"/>
      <w:r>
        <w:t>eds</w:t>
      </w:r>
      <w:proofErr w:type="spellEnd"/>
      <w:r>
        <w:t xml:space="preserve">) Economic Evaluation of Climate Change Impacts. Springer International Publishing, Cham, </w:t>
      </w:r>
      <w:proofErr w:type="spellStart"/>
      <w:r>
        <w:t>pp</w:t>
      </w:r>
      <w:proofErr w:type="spellEnd"/>
      <w:r>
        <w:t xml:space="preserve"> 75–99</w:t>
      </w:r>
    </w:p>
    <w:p w:rsidR="004B61ED" w:rsidRDefault="004B61ED" w:rsidP="004B61ED">
      <w:pPr>
        <w:spacing w:line="276" w:lineRule="auto"/>
        <w:ind w:left="567" w:hanging="567"/>
        <w:jc w:val="left"/>
      </w:pPr>
      <w:proofErr w:type="spellStart"/>
      <w:r>
        <w:t>Kranzl</w:t>
      </w:r>
      <w:proofErr w:type="spellEnd"/>
      <w:r>
        <w:t xml:space="preserve"> L, Hummel M, Müller A, Steinbach J (2013) Renewable heating: Perspectives and the impact of policy instruments. Energy Policy 59:44–58. </w:t>
      </w:r>
      <w:proofErr w:type="spellStart"/>
      <w:r>
        <w:t>doi</w:t>
      </w:r>
      <w:proofErr w:type="spellEnd"/>
      <w:r>
        <w:t>: 10.1016/j.enpol.2013.03.050</w:t>
      </w:r>
    </w:p>
    <w:p w:rsidR="004B61ED" w:rsidRDefault="004B61ED" w:rsidP="004B61ED">
      <w:pPr>
        <w:spacing w:line="276" w:lineRule="auto"/>
        <w:ind w:left="567" w:hanging="567"/>
        <w:jc w:val="left"/>
      </w:pPr>
      <w:proofErr w:type="spellStart"/>
      <w:r>
        <w:t>Kranzl</w:t>
      </w:r>
      <w:proofErr w:type="spellEnd"/>
      <w:r>
        <w:t xml:space="preserve"> L, </w:t>
      </w:r>
      <w:proofErr w:type="spellStart"/>
      <w:r>
        <w:t>Matzenberger</w:t>
      </w:r>
      <w:proofErr w:type="spellEnd"/>
      <w:r>
        <w:t xml:space="preserve"> J, </w:t>
      </w:r>
      <w:proofErr w:type="spellStart"/>
      <w:r>
        <w:t>Totschnig</w:t>
      </w:r>
      <w:proofErr w:type="spellEnd"/>
      <w:r>
        <w:t xml:space="preserve"> G, et al (2014) Power through resilience of energy system. Vienna</w:t>
      </w:r>
    </w:p>
    <w:p w:rsidR="004B61ED" w:rsidRDefault="004B61ED" w:rsidP="004B61ED">
      <w:pPr>
        <w:spacing w:line="276" w:lineRule="auto"/>
        <w:ind w:left="567" w:hanging="567"/>
        <w:jc w:val="left"/>
      </w:pPr>
      <w:proofErr w:type="spellStart"/>
      <w:r>
        <w:t>Kranzl</w:t>
      </w:r>
      <w:proofErr w:type="spellEnd"/>
      <w:r>
        <w:t xml:space="preserve"> L, </w:t>
      </w:r>
      <w:proofErr w:type="spellStart"/>
      <w:r>
        <w:t>Totschnig</w:t>
      </w:r>
      <w:proofErr w:type="spellEnd"/>
      <w:r>
        <w:t xml:space="preserve"> G, Müller A, et al (2015) Electricity.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Springer International Publishing, Cham, </w:t>
      </w:r>
      <w:proofErr w:type="spellStart"/>
      <w:r>
        <w:t>pp</w:t>
      </w:r>
      <w:proofErr w:type="spellEnd"/>
      <w:r>
        <w:t xml:space="preserve"> 257–278</w:t>
      </w:r>
    </w:p>
    <w:p w:rsidR="004B61ED" w:rsidRDefault="004B61ED" w:rsidP="004B61ED">
      <w:pPr>
        <w:spacing w:line="276" w:lineRule="auto"/>
        <w:ind w:left="567" w:hanging="567"/>
        <w:jc w:val="left"/>
      </w:pPr>
      <w:proofErr w:type="spellStart"/>
      <w:r>
        <w:t>Kuik</w:t>
      </w:r>
      <w:proofErr w:type="spellEnd"/>
      <w:r>
        <w:t xml:space="preserve"> O, </w:t>
      </w:r>
      <w:proofErr w:type="spellStart"/>
      <w:r>
        <w:t>Scussolini</w:t>
      </w:r>
      <w:proofErr w:type="spellEnd"/>
      <w:r>
        <w:t xml:space="preserve"> P, </w:t>
      </w:r>
      <w:proofErr w:type="spellStart"/>
      <w:r>
        <w:t>Mechler</w:t>
      </w:r>
      <w:proofErr w:type="spellEnd"/>
      <w:r>
        <w:t xml:space="preserve"> R, et al (2016) Assessing the economic case for adaptation to extreme events at different scales</w:t>
      </w:r>
    </w:p>
    <w:p w:rsidR="004B61ED" w:rsidRDefault="004B61ED" w:rsidP="004B61ED">
      <w:pPr>
        <w:spacing w:line="276" w:lineRule="auto"/>
        <w:ind w:left="567" w:hanging="567"/>
        <w:jc w:val="left"/>
      </w:pPr>
      <w:proofErr w:type="spellStart"/>
      <w:r>
        <w:t>Lexer</w:t>
      </w:r>
      <w:proofErr w:type="spellEnd"/>
      <w:r>
        <w:t xml:space="preserve"> MJ (2017) Interview on climate change adaptation measures in Austria’s forests. Conducted during the project PACINAS.</w:t>
      </w:r>
    </w:p>
    <w:p w:rsidR="004B61ED" w:rsidRDefault="004B61ED" w:rsidP="004B61ED">
      <w:pPr>
        <w:spacing w:line="276" w:lineRule="auto"/>
        <w:ind w:left="567" w:hanging="567"/>
        <w:jc w:val="left"/>
      </w:pPr>
      <w:proofErr w:type="spellStart"/>
      <w:r>
        <w:t>Loibl</w:t>
      </w:r>
      <w:proofErr w:type="spellEnd"/>
      <w:r>
        <w:t xml:space="preserve"> W, </w:t>
      </w:r>
      <w:proofErr w:type="spellStart"/>
      <w:r>
        <w:t>Tötzer</w:t>
      </w:r>
      <w:proofErr w:type="spellEnd"/>
      <w:r>
        <w:t xml:space="preserve"> T, </w:t>
      </w:r>
      <w:proofErr w:type="spellStart"/>
      <w:r>
        <w:t>Köstl</w:t>
      </w:r>
      <w:proofErr w:type="spellEnd"/>
      <w:r>
        <w:t xml:space="preserve"> M, et al (2015) Cities and urban green.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Springer, Berlin, </w:t>
      </w:r>
      <w:proofErr w:type="spellStart"/>
      <w:r>
        <w:t>pp</w:t>
      </w:r>
      <w:proofErr w:type="spellEnd"/>
      <w:r>
        <w:t xml:space="preserve"> 323–348</w:t>
      </w:r>
    </w:p>
    <w:p w:rsidR="004B61ED" w:rsidRDefault="004B61ED" w:rsidP="004B61ED">
      <w:pPr>
        <w:spacing w:line="276" w:lineRule="auto"/>
        <w:ind w:left="567" w:hanging="567"/>
        <w:jc w:val="left"/>
      </w:pPr>
      <w:proofErr w:type="spellStart"/>
      <w:r>
        <w:t>Meissner</w:t>
      </w:r>
      <w:proofErr w:type="spellEnd"/>
      <w:r>
        <w:t xml:space="preserve"> CS, </w:t>
      </w:r>
      <w:proofErr w:type="spellStart"/>
      <w:r>
        <w:t>Panitz</w:t>
      </w:r>
      <w:proofErr w:type="spellEnd"/>
      <w:r>
        <w:t xml:space="preserve"> H-JF, </w:t>
      </w:r>
      <w:proofErr w:type="spellStart"/>
      <w:r>
        <w:t>Kottmeier</w:t>
      </w:r>
      <w:proofErr w:type="spellEnd"/>
      <w:r>
        <w:t xml:space="preserve"> C (2009) High-resolution sensitivity studies with the regional climate model COSMO-CLM. </w:t>
      </w:r>
      <w:proofErr w:type="spellStart"/>
      <w:r>
        <w:t>Meteorologische</w:t>
      </w:r>
      <w:proofErr w:type="spellEnd"/>
      <w:r>
        <w:t xml:space="preserve"> </w:t>
      </w:r>
      <w:proofErr w:type="spellStart"/>
      <w:r>
        <w:t>Zeitschrift</w:t>
      </w:r>
      <w:proofErr w:type="spellEnd"/>
      <w:r>
        <w:t xml:space="preserve"> 18:543–557. </w:t>
      </w:r>
      <w:proofErr w:type="spellStart"/>
      <w:r>
        <w:t>doi</w:t>
      </w:r>
      <w:proofErr w:type="spellEnd"/>
      <w:r>
        <w:t>: 10.1127/0941-2948/2009/0400</w:t>
      </w:r>
    </w:p>
    <w:p w:rsidR="004B61ED" w:rsidRDefault="004B61ED" w:rsidP="004B61ED">
      <w:pPr>
        <w:spacing w:line="276" w:lineRule="auto"/>
        <w:ind w:left="567" w:hanging="567"/>
        <w:jc w:val="left"/>
      </w:pPr>
      <w:proofErr w:type="spellStart"/>
      <w:r>
        <w:t>Mitter</w:t>
      </w:r>
      <w:proofErr w:type="spellEnd"/>
      <w:r>
        <w:t xml:space="preserve"> H, </w:t>
      </w:r>
      <w:proofErr w:type="spellStart"/>
      <w:r>
        <w:t>Heumesser</w:t>
      </w:r>
      <w:proofErr w:type="spellEnd"/>
      <w:r>
        <w:t xml:space="preserve"> C, </w:t>
      </w:r>
      <w:proofErr w:type="spellStart"/>
      <w:r>
        <w:t>Schmid</w:t>
      </w:r>
      <w:proofErr w:type="spellEnd"/>
      <w:r>
        <w:t xml:space="preserve"> E (2015) Spatial modeling of robust crop production portfolios to assess agricultural vulnerability and adaptation to climate change. Land Use Policy 46:75–90. </w:t>
      </w:r>
      <w:proofErr w:type="spellStart"/>
      <w:r>
        <w:t>doi</w:t>
      </w:r>
      <w:proofErr w:type="spellEnd"/>
      <w:r>
        <w:t>: 10.1016/j.landusepol.2015.01.010</w:t>
      </w:r>
    </w:p>
    <w:p w:rsidR="004B61ED" w:rsidRPr="00863751" w:rsidRDefault="004B61ED" w:rsidP="004B61ED">
      <w:pPr>
        <w:spacing w:line="276" w:lineRule="auto"/>
        <w:ind w:left="567" w:hanging="567"/>
        <w:jc w:val="left"/>
        <w:rPr>
          <w:lang w:val="de-AT"/>
        </w:rPr>
      </w:pPr>
      <w:r>
        <w:t xml:space="preserve">Müller A (2015) Energy demand assessment for space conditioning and domestic hot water: a case study for the Austrian building stock. </w:t>
      </w:r>
      <w:r w:rsidRPr="00863751">
        <w:rPr>
          <w:lang w:val="de-AT"/>
        </w:rPr>
        <w:t xml:space="preserve">Vienna University </w:t>
      </w:r>
      <w:proofErr w:type="spellStart"/>
      <w:r w:rsidRPr="00863751">
        <w:rPr>
          <w:lang w:val="de-AT"/>
        </w:rPr>
        <w:t>of</w:t>
      </w:r>
      <w:proofErr w:type="spellEnd"/>
      <w:r w:rsidRPr="00863751">
        <w:rPr>
          <w:lang w:val="de-AT"/>
        </w:rPr>
        <w:t xml:space="preserve"> Technology</w:t>
      </w:r>
    </w:p>
    <w:p w:rsidR="004B61ED" w:rsidRDefault="004B61ED" w:rsidP="004B61ED">
      <w:pPr>
        <w:spacing w:line="276" w:lineRule="auto"/>
        <w:ind w:left="567" w:hanging="567"/>
        <w:jc w:val="left"/>
      </w:pPr>
      <w:r w:rsidRPr="00863751">
        <w:rPr>
          <w:lang w:val="de-AT"/>
        </w:rPr>
        <w:t xml:space="preserve">Müller A, </w:t>
      </w:r>
      <w:proofErr w:type="spellStart"/>
      <w:r w:rsidRPr="00863751">
        <w:rPr>
          <w:lang w:val="de-AT"/>
        </w:rPr>
        <w:t>Biermayr</w:t>
      </w:r>
      <w:proofErr w:type="spellEnd"/>
      <w:r w:rsidRPr="00863751">
        <w:rPr>
          <w:lang w:val="de-AT"/>
        </w:rPr>
        <w:t xml:space="preserve"> P, </w:t>
      </w:r>
      <w:proofErr w:type="spellStart"/>
      <w:r w:rsidRPr="00863751">
        <w:rPr>
          <w:lang w:val="de-AT"/>
        </w:rPr>
        <w:t>Kranzl</w:t>
      </w:r>
      <w:proofErr w:type="spellEnd"/>
      <w:r w:rsidRPr="00863751">
        <w:rPr>
          <w:lang w:val="de-AT"/>
        </w:rPr>
        <w:t xml:space="preserve"> L, et al (2010) Heizen 2050: Systeme zur Wärmebereitstellung und Raumklimatisierung im österreichischen Gebäudebestand: Technologische Anforderungen bis zum Jahr 2050. </w:t>
      </w:r>
      <w:r>
        <w:t>Vienna University of Technology, Vienna</w:t>
      </w:r>
    </w:p>
    <w:p w:rsidR="004B61ED" w:rsidRDefault="004B61ED" w:rsidP="004B61ED">
      <w:pPr>
        <w:spacing w:line="276" w:lineRule="auto"/>
        <w:ind w:left="567" w:hanging="567"/>
        <w:jc w:val="left"/>
      </w:pPr>
      <w:proofErr w:type="spellStart"/>
      <w:r>
        <w:t>Neunteufel</w:t>
      </w:r>
      <w:proofErr w:type="spellEnd"/>
      <w:r>
        <w:t xml:space="preserve"> R, </w:t>
      </w:r>
      <w:proofErr w:type="spellStart"/>
      <w:r>
        <w:t>Perfler</w:t>
      </w:r>
      <w:proofErr w:type="spellEnd"/>
      <w:r>
        <w:t xml:space="preserve"> R, Schwarz D, et al (2015) Water supply and sanitation.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w:t>
      </w:r>
      <w:proofErr w:type="spellStart"/>
      <w:r>
        <w:t>pp</w:t>
      </w:r>
      <w:proofErr w:type="spellEnd"/>
      <w:r>
        <w:t xml:space="preserve"> 215–234</w:t>
      </w:r>
    </w:p>
    <w:p w:rsidR="004B61ED" w:rsidRDefault="004B61ED" w:rsidP="004B61ED">
      <w:pPr>
        <w:spacing w:line="276" w:lineRule="auto"/>
        <w:ind w:left="567" w:hanging="567"/>
        <w:jc w:val="left"/>
      </w:pPr>
      <w:r>
        <w:t xml:space="preserve">OECD DAC (Development Assistance </w:t>
      </w:r>
      <w:proofErr w:type="spellStart"/>
      <w:r>
        <w:t>Commitee</w:t>
      </w:r>
      <w:proofErr w:type="spellEnd"/>
      <w:r>
        <w:t>) (2016) OECD DAC Rio Markers for Climate - Handbook</w:t>
      </w:r>
    </w:p>
    <w:p w:rsidR="004B61ED" w:rsidRDefault="004B61ED" w:rsidP="004B61ED">
      <w:pPr>
        <w:spacing w:line="276" w:lineRule="auto"/>
        <w:ind w:left="567" w:hanging="567"/>
        <w:jc w:val="left"/>
      </w:pPr>
      <w:proofErr w:type="spellStart"/>
      <w:r>
        <w:lastRenderedPageBreak/>
        <w:t>Schiman</w:t>
      </w:r>
      <w:proofErr w:type="spellEnd"/>
      <w:r>
        <w:t xml:space="preserve"> S, </w:t>
      </w:r>
      <w:proofErr w:type="spellStart"/>
      <w:r>
        <w:t>Orischnig</w:t>
      </w:r>
      <w:proofErr w:type="spellEnd"/>
      <w:r>
        <w:t xml:space="preserve"> T (2012) Coping with potential impacts of ageing on public ﬁnances in Austria; the Demography-based Economic Long-Term Model for Austria’s Public Finances (DELTA-BUDGET) assumption report. Austrian Federal Ministry of Finance, Vienna, Austria</w:t>
      </w:r>
    </w:p>
    <w:p w:rsidR="004B61ED" w:rsidRDefault="004B61ED" w:rsidP="004B61ED">
      <w:pPr>
        <w:spacing w:line="276" w:lineRule="auto"/>
        <w:ind w:left="567" w:hanging="567"/>
        <w:jc w:val="left"/>
      </w:pPr>
      <w:proofErr w:type="spellStart"/>
      <w:r>
        <w:t>Schönhart</w:t>
      </w:r>
      <w:proofErr w:type="spellEnd"/>
      <w:r>
        <w:t xml:space="preserve"> M, </w:t>
      </w:r>
      <w:proofErr w:type="spellStart"/>
      <w:r>
        <w:t>Schauppenlehner</w:t>
      </w:r>
      <w:proofErr w:type="spellEnd"/>
      <w:r>
        <w:t xml:space="preserve"> T, </w:t>
      </w:r>
      <w:proofErr w:type="spellStart"/>
      <w:r>
        <w:t>Kuttner</w:t>
      </w:r>
      <w:proofErr w:type="spellEnd"/>
      <w:r>
        <w:t xml:space="preserve"> M, et al (2016) Climate change impacts on farm production, landscape appearance, and the environment: Policy scenario results from an integrated field-farm-landscape model in Austria. Agricultural Systems 145:39–50. </w:t>
      </w:r>
      <w:proofErr w:type="spellStart"/>
      <w:r>
        <w:t>doi</w:t>
      </w:r>
      <w:proofErr w:type="spellEnd"/>
      <w:r>
        <w:t>: 10.1016/j.agsy.2016.02.008</w:t>
      </w:r>
    </w:p>
    <w:p w:rsidR="004B61ED" w:rsidRDefault="004B61ED" w:rsidP="004B61ED">
      <w:pPr>
        <w:spacing w:line="276" w:lineRule="auto"/>
        <w:ind w:left="567" w:hanging="567"/>
        <w:jc w:val="left"/>
      </w:pPr>
      <w:proofErr w:type="spellStart"/>
      <w:r>
        <w:t>Steininger</w:t>
      </w:r>
      <w:proofErr w:type="spellEnd"/>
      <w:r>
        <w:t xml:space="preserve"> KW, </w:t>
      </w:r>
      <w:proofErr w:type="spellStart"/>
      <w:r>
        <w:t>König</w:t>
      </w:r>
      <w:proofErr w:type="spellEnd"/>
      <w:r>
        <w:t xml:space="preserve"> M, </w:t>
      </w:r>
      <w:proofErr w:type="spellStart"/>
      <w:r>
        <w:t>Bednar-Friedl</w:t>
      </w:r>
      <w:proofErr w:type="spellEnd"/>
      <w:r>
        <w:t xml:space="preserve"> B, et al (</w:t>
      </w:r>
      <w:proofErr w:type="spellStart"/>
      <w:r>
        <w:t>eds</w:t>
      </w:r>
      <w:proofErr w:type="spellEnd"/>
      <w:r>
        <w:t>) (2015) Economic Evaluation of Climate Change Impacts. Development of a Cross-Sectoral Framework and Results for Austria. Springer, Berlin</w:t>
      </w:r>
    </w:p>
    <w:p w:rsidR="004B61ED" w:rsidRPr="00863751" w:rsidRDefault="004B61ED" w:rsidP="004B61ED">
      <w:pPr>
        <w:spacing w:line="276" w:lineRule="auto"/>
        <w:ind w:left="567" w:hanging="567"/>
        <w:jc w:val="left"/>
        <w:rPr>
          <w:lang w:val="de-AT"/>
        </w:rPr>
      </w:pPr>
      <w:proofErr w:type="spellStart"/>
      <w:r>
        <w:t>Totschnig</w:t>
      </w:r>
      <w:proofErr w:type="spellEnd"/>
      <w:r>
        <w:t xml:space="preserve"> G, </w:t>
      </w:r>
      <w:proofErr w:type="spellStart"/>
      <w:r>
        <w:t>Hirner</w:t>
      </w:r>
      <w:proofErr w:type="spellEnd"/>
      <w:r>
        <w:t xml:space="preserve"> R, Mueller A, et al (2013a) Climate change impact on the electricity sector: the example of Austria and Germany. </w:t>
      </w:r>
      <w:proofErr w:type="spellStart"/>
      <w:r w:rsidRPr="00863751">
        <w:rPr>
          <w:lang w:val="de-AT"/>
        </w:rPr>
        <w:t>Energy</w:t>
      </w:r>
      <w:proofErr w:type="spellEnd"/>
      <w:r w:rsidRPr="00863751">
        <w:rPr>
          <w:lang w:val="de-AT"/>
        </w:rPr>
        <w:t xml:space="preserve"> Economics Group, Vienna University </w:t>
      </w:r>
      <w:proofErr w:type="spellStart"/>
      <w:r w:rsidRPr="00863751">
        <w:rPr>
          <w:lang w:val="de-AT"/>
        </w:rPr>
        <w:t>of</w:t>
      </w:r>
      <w:proofErr w:type="spellEnd"/>
      <w:r w:rsidRPr="00863751">
        <w:rPr>
          <w:lang w:val="de-AT"/>
        </w:rPr>
        <w:t xml:space="preserve"> Technology, Vienna, Austria</w:t>
      </w:r>
    </w:p>
    <w:p w:rsidR="004B61ED" w:rsidRDefault="004B61ED" w:rsidP="004B61ED">
      <w:pPr>
        <w:spacing w:line="276" w:lineRule="auto"/>
        <w:ind w:left="567" w:hanging="567"/>
        <w:jc w:val="left"/>
      </w:pPr>
      <w:r w:rsidRPr="00863751">
        <w:rPr>
          <w:lang w:val="de-AT"/>
        </w:rPr>
        <w:t xml:space="preserve">Totschnig G, Kann A, </w:t>
      </w:r>
      <w:proofErr w:type="spellStart"/>
      <w:r w:rsidRPr="00863751">
        <w:rPr>
          <w:lang w:val="de-AT"/>
        </w:rPr>
        <w:t>Truhetz</w:t>
      </w:r>
      <w:proofErr w:type="spellEnd"/>
      <w:r w:rsidRPr="00863751">
        <w:rPr>
          <w:lang w:val="de-AT"/>
        </w:rPr>
        <w:t xml:space="preserve"> H, et al (2013b) AutRES100 -Hochauflösende Modellierung des Stromsystems bei hohem erneuerbaren Anteil - Richtung 100% Erneuerbare in Österreich. </w:t>
      </w:r>
      <w:r>
        <w:t>Vienna, Austria</w:t>
      </w:r>
    </w:p>
    <w:p w:rsidR="004B61ED" w:rsidRDefault="004B61ED" w:rsidP="004B61ED">
      <w:pPr>
        <w:spacing w:line="276" w:lineRule="auto"/>
        <w:ind w:left="567" w:hanging="567"/>
        <w:jc w:val="left"/>
      </w:pPr>
      <w:r>
        <w:t xml:space="preserve">Urban H, </w:t>
      </w:r>
      <w:proofErr w:type="spellStart"/>
      <w:r>
        <w:t>Steininger</w:t>
      </w:r>
      <w:proofErr w:type="spellEnd"/>
      <w:r>
        <w:t xml:space="preserve"> KW (2015) Manufacturing and trade: </w:t>
      </w:r>
      <w:proofErr w:type="spellStart"/>
      <w:r>
        <w:t>labour</w:t>
      </w:r>
      <w:proofErr w:type="spellEnd"/>
      <w:r>
        <w:t xml:space="preserve"> productivity losses. </w:t>
      </w:r>
      <w:r w:rsidRPr="00863751">
        <w:rPr>
          <w:lang w:val="de-AT"/>
        </w:rPr>
        <w:t xml:space="preserve">In: Steininger KW, König M, Bednar-Friedl B, et al. </w:t>
      </w:r>
      <w:r>
        <w:t>(</w:t>
      </w:r>
      <w:proofErr w:type="spellStart"/>
      <w:r>
        <w:t>eds</w:t>
      </w:r>
      <w:proofErr w:type="spellEnd"/>
      <w:r>
        <w:t xml:space="preserve">) Economic Evaluation of Climate Change Impacts: Development of a Cross-Sectoral Framework and Results for Austria. Springer, Berlin, </w:t>
      </w:r>
      <w:proofErr w:type="spellStart"/>
      <w:r>
        <w:t>pp</w:t>
      </w:r>
      <w:proofErr w:type="spellEnd"/>
      <w:r>
        <w:t xml:space="preserve"> 301–322</w:t>
      </w:r>
    </w:p>
    <w:p w:rsidR="004B61ED" w:rsidRDefault="004B61ED" w:rsidP="004B61ED">
      <w:pPr>
        <w:spacing w:line="276" w:lineRule="auto"/>
        <w:ind w:left="567" w:hanging="567"/>
        <w:jc w:val="left"/>
      </w:pPr>
      <w:proofErr w:type="spellStart"/>
      <w:r>
        <w:t>Watkiss</w:t>
      </w:r>
      <w:proofErr w:type="spellEnd"/>
      <w:r>
        <w:t xml:space="preserve"> P, Hunt A, Savage M (2014) Early value-for-money adaptation: Delivering </w:t>
      </w:r>
      <w:proofErr w:type="spellStart"/>
      <w:r>
        <w:t>VfM</w:t>
      </w:r>
      <w:proofErr w:type="spellEnd"/>
      <w:r>
        <w:t xml:space="preserve"> adaptation using iterative frameworks and low-regret options. Evidence on Demand</w:t>
      </w:r>
    </w:p>
    <w:p w:rsidR="00D350C5" w:rsidRDefault="00D350C5">
      <w:pPr>
        <w:spacing w:line="276" w:lineRule="auto"/>
        <w:jc w:val="left"/>
      </w:pPr>
    </w:p>
    <w:sectPr w:rsidR="00D350C5" w:rsidSect="005E3599">
      <w:footerReference w:type="default" r:id="rId8"/>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B92" w:rsidRDefault="002D7B92">
      <w:pPr>
        <w:spacing w:after="0" w:line="240" w:lineRule="auto"/>
      </w:pPr>
      <w:r>
        <w:separator/>
      </w:r>
    </w:p>
  </w:endnote>
  <w:endnote w:type="continuationSeparator" w:id="0">
    <w:p w:rsidR="002D7B92" w:rsidRDefault="002D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382806"/>
      <w:docPartObj>
        <w:docPartGallery w:val="Page Numbers (Bottom of Page)"/>
        <w:docPartUnique/>
      </w:docPartObj>
    </w:sdtPr>
    <w:sdtEndPr>
      <w:rPr>
        <w:noProof/>
      </w:rPr>
    </w:sdtEndPr>
    <w:sdtContent>
      <w:p w:rsidR="00044D59" w:rsidRDefault="00D350C5" w:rsidP="000E0AD7">
        <w:pPr>
          <w:pStyle w:val="Fuzeile"/>
          <w:jc w:val="center"/>
        </w:pPr>
        <w:r>
          <w:fldChar w:fldCharType="begin"/>
        </w:r>
        <w:r>
          <w:instrText xml:space="preserve"> PAGE   \* MERGEFORMAT </w:instrText>
        </w:r>
        <w:r>
          <w:fldChar w:fldCharType="separate"/>
        </w:r>
        <w:r w:rsidR="00863751">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B92" w:rsidRDefault="002D7B92">
      <w:pPr>
        <w:spacing w:after="0" w:line="240" w:lineRule="auto"/>
      </w:pPr>
      <w:r>
        <w:separator/>
      </w:r>
    </w:p>
  </w:footnote>
  <w:footnote w:type="continuationSeparator" w:id="0">
    <w:p w:rsidR="002D7B92" w:rsidRDefault="002D7B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3021C"/>
    <w:multiLevelType w:val="multilevel"/>
    <w:tmpl w:val="1700AB58"/>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C5"/>
    <w:rsid w:val="000355B4"/>
    <w:rsid w:val="000412EC"/>
    <w:rsid w:val="00042C72"/>
    <w:rsid w:val="000510DF"/>
    <w:rsid w:val="00055AB7"/>
    <w:rsid w:val="0007011D"/>
    <w:rsid w:val="000926B9"/>
    <w:rsid w:val="000A3CA7"/>
    <w:rsid w:val="000B06A8"/>
    <w:rsid w:val="00106862"/>
    <w:rsid w:val="0016248D"/>
    <w:rsid w:val="001A00FE"/>
    <w:rsid w:val="001A0F46"/>
    <w:rsid w:val="001A7E06"/>
    <w:rsid w:val="001B0AAA"/>
    <w:rsid w:val="001D5969"/>
    <w:rsid w:val="001D69B8"/>
    <w:rsid w:val="00225E12"/>
    <w:rsid w:val="00227F55"/>
    <w:rsid w:val="002C3948"/>
    <w:rsid w:val="002D7B92"/>
    <w:rsid w:val="002D7E2F"/>
    <w:rsid w:val="002E3057"/>
    <w:rsid w:val="003A1297"/>
    <w:rsid w:val="003A1F1F"/>
    <w:rsid w:val="003F1F9C"/>
    <w:rsid w:val="00402BC0"/>
    <w:rsid w:val="004123B0"/>
    <w:rsid w:val="004371C9"/>
    <w:rsid w:val="004624D4"/>
    <w:rsid w:val="004B61ED"/>
    <w:rsid w:val="005320E6"/>
    <w:rsid w:val="005B6D64"/>
    <w:rsid w:val="005C4336"/>
    <w:rsid w:val="005D6CFC"/>
    <w:rsid w:val="00602BEB"/>
    <w:rsid w:val="00617007"/>
    <w:rsid w:val="00650A13"/>
    <w:rsid w:val="00653EC4"/>
    <w:rsid w:val="006A642E"/>
    <w:rsid w:val="006C63A3"/>
    <w:rsid w:val="006D1241"/>
    <w:rsid w:val="006E0F37"/>
    <w:rsid w:val="00744A49"/>
    <w:rsid w:val="00792637"/>
    <w:rsid w:val="007D52A9"/>
    <w:rsid w:val="007E508E"/>
    <w:rsid w:val="007E52D0"/>
    <w:rsid w:val="00863751"/>
    <w:rsid w:val="00874699"/>
    <w:rsid w:val="008E3CF0"/>
    <w:rsid w:val="00924282"/>
    <w:rsid w:val="009418ED"/>
    <w:rsid w:val="00942E12"/>
    <w:rsid w:val="0094426C"/>
    <w:rsid w:val="009823DD"/>
    <w:rsid w:val="009C77F1"/>
    <w:rsid w:val="009E4A51"/>
    <w:rsid w:val="009E77AB"/>
    <w:rsid w:val="00A02C8B"/>
    <w:rsid w:val="00A2341E"/>
    <w:rsid w:val="00A51CC9"/>
    <w:rsid w:val="00A70CC4"/>
    <w:rsid w:val="00AA5848"/>
    <w:rsid w:val="00AC4C57"/>
    <w:rsid w:val="00B35C9A"/>
    <w:rsid w:val="00B81718"/>
    <w:rsid w:val="00B84751"/>
    <w:rsid w:val="00BC19C6"/>
    <w:rsid w:val="00C27DAB"/>
    <w:rsid w:val="00C749D7"/>
    <w:rsid w:val="00CE0056"/>
    <w:rsid w:val="00D330BE"/>
    <w:rsid w:val="00D335F5"/>
    <w:rsid w:val="00D350C5"/>
    <w:rsid w:val="00D714A3"/>
    <w:rsid w:val="00DA388C"/>
    <w:rsid w:val="00DF0114"/>
    <w:rsid w:val="00DF756E"/>
    <w:rsid w:val="00E11CF2"/>
    <w:rsid w:val="00E40A4A"/>
    <w:rsid w:val="00E624DB"/>
    <w:rsid w:val="00E850C1"/>
    <w:rsid w:val="00EC4A5E"/>
    <w:rsid w:val="00ED3CD3"/>
    <w:rsid w:val="00EF288A"/>
    <w:rsid w:val="00EF7880"/>
    <w:rsid w:val="00F01854"/>
    <w:rsid w:val="00F01D67"/>
    <w:rsid w:val="00FB0716"/>
    <w:rsid w:val="00FE3F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50C5"/>
    <w:pPr>
      <w:spacing w:line="480" w:lineRule="auto"/>
      <w:jc w:val="both"/>
    </w:pPr>
    <w:rPr>
      <w:lang w:val="en-US"/>
    </w:rPr>
  </w:style>
  <w:style w:type="paragraph" w:styleId="berschrift1">
    <w:name w:val="heading 1"/>
    <w:basedOn w:val="Standard"/>
    <w:next w:val="Standard"/>
    <w:link w:val="berschrift1Zchn"/>
    <w:uiPriority w:val="9"/>
    <w:qFormat/>
    <w:rsid w:val="00D350C5"/>
    <w:pPr>
      <w:keepNext/>
      <w:keepLines/>
      <w:numPr>
        <w:numId w:val="1"/>
      </w:numPr>
      <w:spacing w:before="480" w:after="0"/>
      <w:outlineLvl w:val="0"/>
    </w:pPr>
    <w:rPr>
      <w:rFonts w:ascii="Arial" w:eastAsiaTheme="majorEastAsia" w:hAnsi="Arial" w:cs="Arial"/>
      <w:b/>
      <w:bCs/>
      <w:sz w:val="28"/>
      <w:szCs w:val="28"/>
    </w:rPr>
  </w:style>
  <w:style w:type="paragraph" w:styleId="berschrift2">
    <w:name w:val="heading 2"/>
    <w:basedOn w:val="berschrift1"/>
    <w:next w:val="Standard"/>
    <w:link w:val="berschrift2Zchn"/>
    <w:uiPriority w:val="9"/>
    <w:unhideWhenUsed/>
    <w:qFormat/>
    <w:rsid w:val="00D350C5"/>
    <w:pPr>
      <w:numPr>
        <w:ilvl w:val="1"/>
      </w:numPr>
      <w:spacing w:before="240" w:after="240" w:line="240" w:lineRule="auto"/>
      <w:ind w:left="850" w:hanging="580"/>
      <w:outlineLvl w:val="1"/>
    </w:pPr>
    <w:rPr>
      <w:sz w:val="24"/>
    </w:rPr>
  </w:style>
  <w:style w:type="paragraph" w:styleId="berschrift3">
    <w:name w:val="heading 3"/>
    <w:basedOn w:val="berschrift1"/>
    <w:next w:val="Standard"/>
    <w:link w:val="berschrift3Zchn"/>
    <w:uiPriority w:val="9"/>
    <w:unhideWhenUsed/>
    <w:qFormat/>
    <w:rsid w:val="00D350C5"/>
    <w:pPr>
      <w:numPr>
        <w:ilvl w:val="2"/>
      </w:numPr>
      <w:spacing w:before="240"/>
      <w:outlineLvl w:val="2"/>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0C5"/>
    <w:rPr>
      <w:rFonts w:ascii="Arial" w:eastAsiaTheme="majorEastAsia" w:hAnsi="Arial" w:cs="Arial"/>
      <w:b/>
      <w:bCs/>
      <w:sz w:val="28"/>
      <w:szCs w:val="28"/>
      <w:lang w:val="en-US"/>
    </w:rPr>
  </w:style>
  <w:style w:type="character" w:customStyle="1" w:styleId="berschrift2Zchn">
    <w:name w:val="Überschrift 2 Zchn"/>
    <w:basedOn w:val="Absatz-Standardschriftart"/>
    <w:link w:val="berschrift2"/>
    <w:uiPriority w:val="9"/>
    <w:rsid w:val="00D350C5"/>
    <w:rPr>
      <w:rFonts w:ascii="Arial" w:eastAsiaTheme="majorEastAsia" w:hAnsi="Arial" w:cs="Arial"/>
      <w:b/>
      <w:bCs/>
      <w:sz w:val="24"/>
      <w:szCs w:val="28"/>
      <w:lang w:val="en-US"/>
    </w:rPr>
  </w:style>
  <w:style w:type="character" w:customStyle="1" w:styleId="berschrift3Zchn">
    <w:name w:val="Überschrift 3 Zchn"/>
    <w:basedOn w:val="Absatz-Standardschriftart"/>
    <w:link w:val="berschrift3"/>
    <w:uiPriority w:val="9"/>
    <w:rsid w:val="00D350C5"/>
    <w:rPr>
      <w:rFonts w:ascii="Arial" w:eastAsiaTheme="majorEastAsia" w:hAnsi="Arial" w:cs="Arial"/>
      <w:b/>
      <w:bCs/>
      <w:sz w:val="20"/>
      <w:szCs w:val="20"/>
      <w:lang w:val="en-US"/>
    </w:rPr>
  </w:style>
  <w:style w:type="paragraph" w:styleId="Beschriftung">
    <w:name w:val="caption"/>
    <w:basedOn w:val="Standard"/>
    <w:next w:val="Standard"/>
    <w:uiPriority w:val="99"/>
    <w:unhideWhenUsed/>
    <w:qFormat/>
    <w:rsid w:val="00D350C5"/>
    <w:pPr>
      <w:spacing w:after="360" w:line="240" w:lineRule="auto"/>
    </w:pPr>
    <w:rPr>
      <w:b/>
      <w:bCs/>
      <w:szCs w:val="18"/>
    </w:rPr>
  </w:style>
  <w:style w:type="paragraph" w:styleId="Fuzeile">
    <w:name w:val="footer"/>
    <w:basedOn w:val="Standard"/>
    <w:link w:val="FuzeileZchn"/>
    <w:uiPriority w:val="99"/>
    <w:unhideWhenUsed/>
    <w:rsid w:val="00D350C5"/>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350C5"/>
    <w:rPr>
      <w:lang w:val="en-US"/>
    </w:rPr>
  </w:style>
  <w:style w:type="table" w:styleId="Tabellenraster">
    <w:name w:val="Table Grid"/>
    <w:basedOn w:val="NormaleTabelle"/>
    <w:uiPriority w:val="59"/>
    <w:rsid w:val="00D350C5"/>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350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50C5"/>
    <w:rPr>
      <w:rFonts w:ascii="Tahoma" w:hAnsi="Tahoma" w:cs="Tahoma"/>
      <w:sz w:val="16"/>
      <w:szCs w:val="16"/>
      <w:lang w:val="en-US"/>
    </w:rPr>
  </w:style>
  <w:style w:type="paragraph" w:styleId="Literaturverzeichnis">
    <w:name w:val="Bibliography"/>
    <w:basedOn w:val="Standard"/>
    <w:next w:val="Standard"/>
    <w:uiPriority w:val="37"/>
    <w:unhideWhenUsed/>
    <w:rsid w:val="00D350C5"/>
    <w:pPr>
      <w:spacing w:after="24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50C5"/>
    <w:pPr>
      <w:spacing w:line="480" w:lineRule="auto"/>
      <w:jc w:val="both"/>
    </w:pPr>
    <w:rPr>
      <w:lang w:val="en-US"/>
    </w:rPr>
  </w:style>
  <w:style w:type="paragraph" w:styleId="berschrift1">
    <w:name w:val="heading 1"/>
    <w:basedOn w:val="Standard"/>
    <w:next w:val="Standard"/>
    <w:link w:val="berschrift1Zchn"/>
    <w:uiPriority w:val="9"/>
    <w:qFormat/>
    <w:rsid w:val="00D350C5"/>
    <w:pPr>
      <w:keepNext/>
      <w:keepLines/>
      <w:numPr>
        <w:numId w:val="1"/>
      </w:numPr>
      <w:spacing w:before="480" w:after="0"/>
      <w:outlineLvl w:val="0"/>
    </w:pPr>
    <w:rPr>
      <w:rFonts w:ascii="Arial" w:eastAsiaTheme="majorEastAsia" w:hAnsi="Arial" w:cs="Arial"/>
      <w:b/>
      <w:bCs/>
      <w:sz w:val="28"/>
      <w:szCs w:val="28"/>
    </w:rPr>
  </w:style>
  <w:style w:type="paragraph" w:styleId="berschrift2">
    <w:name w:val="heading 2"/>
    <w:basedOn w:val="berschrift1"/>
    <w:next w:val="Standard"/>
    <w:link w:val="berschrift2Zchn"/>
    <w:uiPriority w:val="9"/>
    <w:unhideWhenUsed/>
    <w:qFormat/>
    <w:rsid w:val="00D350C5"/>
    <w:pPr>
      <w:numPr>
        <w:ilvl w:val="1"/>
      </w:numPr>
      <w:spacing w:before="240" w:after="240" w:line="240" w:lineRule="auto"/>
      <w:ind w:left="850" w:hanging="580"/>
      <w:outlineLvl w:val="1"/>
    </w:pPr>
    <w:rPr>
      <w:sz w:val="24"/>
    </w:rPr>
  </w:style>
  <w:style w:type="paragraph" w:styleId="berschrift3">
    <w:name w:val="heading 3"/>
    <w:basedOn w:val="berschrift1"/>
    <w:next w:val="Standard"/>
    <w:link w:val="berschrift3Zchn"/>
    <w:uiPriority w:val="9"/>
    <w:unhideWhenUsed/>
    <w:qFormat/>
    <w:rsid w:val="00D350C5"/>
    <w:pPr>
      <w:numPr>
        <w:ilvl w:val="2"/>
      </w:numPr>
      <w:spacing w:before="240"/>
      <w:outlineLvl w:val="2"/>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0C5"/>
    <w:rPr>
      <w:rFonts w:ascii="Arial" w:eastAsiaTheme="majorEastAsia" w:hAnsi="Arial" w:cs="Arial"/>
      <w:b/>
      <w:bCs/>
      <w:sz w:val="28"/>
      <w:szCs w:val="28"/>
      <w:lang w:val="en-US"/>
    </w:rPr>
  </w:style>
  <w:style w:type="character" w:customStyle="1" w:styleId="berschrift2Zchn">
    <w:name w:val="Überschrift 2 Zchn"/>
    <w:basedOn w:val="Absatz-Standardschriftart"/>
    <w:link w:val="berschrift2"/>
    <w:uiPriority w:val="9"/>
    <w:rsid w:val="00D350C5"/>
    <w:rPr>
      <w:rFonts w:ascii="Arial" w:eastAsiaTheme="majorEastAsia" w:hAnsi="Arial" w:cs="Arial"/>
      <w:b/>
      <w:bCs/>
      <w:sz w:val="24"/>
      <w:szCs w:val="28"/>
      <w:lang w:val="en-US"/>
    </w:rPr>
  </w:style>
  <w:style w:type="character" w:customStyle="1" w:styleId="berschrift3Zchn">
    <w:name w:val="Überschrift 3 Zchn"/>
    <w:basedOn w:val="Absatz-Standardschriftart"/>
    <w:link w:val="berschrift3"/>
    <w:uiPriority w:val="9"/>
    <w:rsid w:val="00D350C5"/>
    <w:rPr>
      <w:rFonts w:ascii="Arial" w:eastAsiaTheme="majorEastAsia" w:hAnsi="Arial" w:cs="Arial"/>
      <w:b/>
      <w:bCs/>
      <w:sz w:val="20"/>
      <w:szCs w:val="20"/>
      <w:lang w:val="en-US"/>
    </w:rPr>
  </w:style>
  <w:style w:type="paragraph" w:styleId="Beschriftung">
    <w:name w:val="caption"/>
    <w:basedOn w:val="Standard"/>
    <w:next w:val="Standard"/>
    <w:uiPriority w:val="99"/>
    <w:unhideWhenUsed/>
    <w:qFormat/>
    <w:rsid w:val="00D350C5"/>
    <w:pPr>
      <w:spacing w:after="360" w:line="240" w:lineRule="auto"/>
    </w:pPr>
    <w:rPr>
      <w:b/>
      <w:bCs/>
      <w:szCs w:val="18"/>
    </w:rPr>
  </w:style>
  <w:style w:type="paragraph" w:styleId="Fuzeile">
    <w:name w:val="footer"/>
    <w:basedOn w:val="Standard"/>
    <w:link w:val="FuzeileZchn"/>
    <w:uiPriority w:val="99"/>
    <w:unhideWhenUsed/>
    <w:rsid w:val="00D350C5"/>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350C5"/>
    <w:rPr>
      <w:lang w:val="en-US"/>
    </w:rPr>
  </w:style>
  <w:style w:type="table" w:styleId="Tabellenraster">
    <w:name w:val="Table Grid"/>
    <w:basedOn w:val="NormaleTabelle"/>
    <w:uiPriority w:val="59"/>
    <w:rsid w:val="00D350C5"/>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350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50C5"/>
    <w:rPr>
      <w:rFonts w:ascii="Tahoma" w:hAnsi="Tahoma" w:cs="Tahoma"/>
      <w:sz w:val="16"/>
      <w:szCs w:val="16"/>
      <w:lang w:val="en-US"/>
    </w:rPr>
  </w:style>
  <w:style w:type="paragraph" w:styleId="Literaturverzeichnis">
    <w:name w:val="Bibliography"/>
    <w:basedOn w:val="Standard"/>
    <w:next w:val="Standard"/>
    <w:uiPriority w:val="37"/>
    <w:unhideWhenUsed/>
    <w:rsid w:val="00D350C5"/>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2938</Words>
  <Characters>18516</Characters>
  <Application>Microsoft Office Word</Application>
  <DocSecurity>0</DocSecurity>
  <Lines>154</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Gabs</dc:creator>
  <cp:lastModifiedBy>Gabs</cp:lastModifiedBy>
  <cp:revision>3</cp:revision>
  <dcterms:created xsi:type="dcterms:W3CDTF">2019-01-31T09:59:00Z</dcterms:created>
  <dcterms:modified xsi:type="dcterms:W3CDTF">2019-01-31T10:02:00Z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id="SapMnOQx"/&gt;&lt;style id="http://www.zotero.org/styles/mitigation-and-adaptation-strategies-for-global-change" hasBibliography="1" bibliographyStyleHasBeenSet="1"/&gt;&lt;prefs&gt;&lt;pref name="fieldType" value</vt:lpwstr>
  </property>
  <property fmtid="{D5CDD505-2E9C-101B-9397-08002B2CF9AE}" pid="3" name="ZOTERO_PREF_2">
    <vt:lpwstr>="Field"/&gt;&lt;/prefs&gt;&lt;/data&gt;</vt:lpwstr>
  </property>
</Properties>
</file>