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C1" w:rsidRDefault="00B20CC1" w:rsidP="00B20CC1">
      <w:pPr>
        <w:keepNext/>
        <w:keepLines/>
        <w:spacing w:before="480"/>
        <w:outlineLvl w:val="0"/>
        <w:rPr>
          <w:color w:val="000000" w:themeColor="text1"/>
        </w:rPr>
      </w:pPr>
      <w:r>
        <w:rPr>
          <w:rFonts w:ascii="Arial Unicode MS" w:eastAsia="Arial Unicode MS" w:hAnsi="Cambria" w:cs="Arial Unicode MS"/>
          <w:b/>
          <w:bCs/>
          <w:color w:val="365F91"/>
          <w:sz w:val="28"/>
          <w:szCs w:val="28"/>
          <w:lang w:val="en-AU"/>
        </w:rPr>
        <w:t>Supplementary Materials</w:t>
      </w:r>
    </w:p>
    <w:p w:rsidR="00B20CC1" w:rsidRDefault="00B20CC1" w:rsidP="00B20CC1">
      <w:pPr>
        <w:keepNext/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 xml:space="preserve">Table S1. </w:t>
      </w:r>
      <w:proofErr w:type="gramStart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 xml:space="preserve">Model diagnostics for selecting the optimal number of topics in the topic </w:t>
      </w:r>
      <w:proofErr w:type="spellStart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modeling</w:t>
      </w:r>
      <w:proofErr w:type="spellEnd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 xml:space="preserve"> analysis.</w:t>
      </w:r>
      <w:proofErr w:type="gramEnd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 xml:space="preserve"> Metrics include exclusiveness, semantic coherence, held-out likelihood and residuals for models with 4 to 24 topics.</w:t>
      </w:r>
    </w:p>
    <w:tbl>
      <w:tblPr>
        <w:tblW w:w="7254" w:type="dxa"/>
        <w:tblLook w:val="04A0" w:firstRow="1" w:lastRow="0" w:firstColumn="1" w:lastColumn="0" w:noHBand="0" w:noVBand="1"/>
      </w:tblPr>
      <w:tblGrid>
        <w:gridCol w:w="1134"/>
        <w:gridCol w:w="1530"/>
        <w:gridCol w:w="1530"/>
        <w:gridCol w:w="1530"/>
        <w:gridCol w:w="1530"/>
      </w:tblGrid>
      <w:tr w:rsidR="00B20CC1" w:rsidTr="00DF6A82">
        <w:trPr>
          <w:trHeight w:val="290"/>
        </w:trPr>
        <w:tc>
          <w:tcPr>
            <w:tcW w:w="1134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Number of topics</w:t>
            </w:r>
          </w:p>
        </w:tc>
        <w:tc>
          <w:tcPr>
            <w:tcW w:w="153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Held-Out Likelihood</w:t>
            </w:r>
          </w:p>
        </w:tc>
        <w:tc>
          <w:tcPr>
            <w:tcW w:w="153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Semantic Coherence</w:t>
            </w:r>
          </w:p>
        </w:tc>
        <w:tc>
          <w:tcPr>
            <w:tcW w:w="153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Residuals</w:t>
            </w:r>
          </w:p>
        </w:tc>
        <w:tc>
          <w:tcPr>
            <w:tcW w:w="153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Lower Bound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-7.8558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-175.0450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222.8878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-3435205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-7.8546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-181.8260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218.9444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-3433411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-7.9095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-197.1889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244.8200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-3454456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-7.9013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-196.7596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233.8795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-3447650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-7.8920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-200.5649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225.9738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-3444071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-7.8651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-196.9281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215.6367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-3428425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-209.8663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218.0585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-3434300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-7.8910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-221.5348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222.9555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-3439758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-7.8432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-208.4334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202.5237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-3413891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-211.8103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184.9769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-3397784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-215.3811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179.2515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-3392995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-7.8122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-226.7371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188.9347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-3400640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-221.2157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177.1778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-3386911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-7.7845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-219.0168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180.0832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-3391036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-226.3036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176.7317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-3385472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lastRenderedPageBreak/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-217.9297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170.7598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-3381250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-7.7716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-237.5450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168.3081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-3381756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-7.7291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-232.4187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165.1946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-3365318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-7.7676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-233.8032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171.1027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-3376411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-7.7248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-235.0402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166.6359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-3364470</w:t>
            </w:r>
          </w:p>
        </w:tc>
      </w:tr>
      <w:tr w:rsidR="00B20CC1" w:rsidTr="00DF6A82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-7.7125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-231.0188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161.6593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20CC1" w:rsidRDefault="00B20CC1" w:rsidP="00DF6A82">
            <w:pPr>
              <w:spacing w:before="40" w:after="4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-3356585</w:t>
            </w:r>
          </w:p>
        </w:tc>
      </w:tr>
    </w:tbl>
    <w:p w:rsidR="00B20CC1" w:rsidRDefault="00B20CC1" w:rsidP="00B20CC1">
      <w:pPr>
        <w:jc w:val="center"/>
      </w:pPr>
    </w:p>
    <w:p w:rsidR="00B20CC1" w:rsidRDefault="00B20CC1" w:rsidP="00B20CC1">
      <w:pPr>
        <w:keepNext/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Table S2. Distribution of tweets across German states (</w:t>
      </w: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‘</w:t>
      </w:r>
      <w:proofErr w:type="spellStart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Bundesl</w:t>
      </w: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ӓ</w:t>
      </w: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nder</w:t>
      </w:r>
      <w:proofErr w:type="spellEnd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’</w:t>
      </w: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)</w:t>
      </w:r>
    </w:p>
    <w:tbl>
      <w:tblPr>
        <w:tblW w:w="10092" w:type="dxa"/>
        <w:tblLook w:val="04A0" w:firstRow="1" w:lastRow="0" w:firstColumn="1" w:lastColumn="0" w:noHBand="0" w:noVBand="1"/>
      </w:tblPr>
      <w:tblGrid>
        <w:gridCol w:w="3006"/>
        <w:gridCol w:w="1105"/>
        <w:gridCol w:w="1701"/>
        <w:gridCol w:w="2110"/>
        <w:gridCol w:w="2170"/>
      </w:tblGrid>
      <w:tr w:rsidR="00B20CC1" w:rsidTr="00DF6A82">
        <w:trPr>
          <w:trHeight w:val="288"/>
        </w:trPr>
        <w:tc>
          <w:tcPr>
            <w:tcW w:w="3006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State</w:t>
            </w:r>
          </w:p>
        </w:tc>
        <w:tc>
          <w:tcPr>
            <w:tcW w:w="1105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Tweets</w:t>
            </w:r>
          </w:p>
        </w:tc>
        <w:tc>
          <w:tcPr>
            <w:tcW w:w="1701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Tweets share</w:t>
            </w:r>
          </w:p>
        </w:tc>
        <w:tc>
          <w:tcPr>
            <w:tcW w:w="211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Population</w:t>
            </w:r>
          </w:p>
        </w:tc>
        <w:tc>
          <w:tcPr>
            <w:tcW w:w="217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Population share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North Rhine-Westphalia</w:t>
            </w: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10,351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18.1%</w:t>
            </w:r>
          </w:p>
        </w:tc>
        <w:tc>
          <w:tcPr>
            <w:tcW w:w="21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18,139,116</w:t>
            </w:r>
          </w:p>
        </w:tc>
        <w:tc>
          <w:tcPr>
            <w:tcW w:w="2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21.5%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Berlin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9,282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16.2%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3,755,251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4.5%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Bavaria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6,279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11.0%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13,369,393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15.8%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Hesse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4,223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7.4%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6,391,360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7.6%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Baden-Wurttemberg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3,859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6.8%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11,280,257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13.4%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Hamburg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3,569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6.2%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1,892,122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2.2%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Lower Saxony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3,348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5.9%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8,140,242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9.6%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Saxony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1,753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3.1%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4,086,152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4.8%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Rhineland-Palatinate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1632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2.9%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4,159,150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4.9%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Schleswig-Holstein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1.8%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2,953,270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3.5%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lastRenderedPageBreak/>
              <w:t>Brandenburg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1.3%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2,573,135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3.1%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Bremen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573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1.0%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684,864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0.8%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Thuringia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558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1.0%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2,126,846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2.5%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 xml:space="preserve">Saxony-Anhalt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545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1.0%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2,186,643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2.6%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Saarland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405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0.7%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992,666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1.2%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Mecklenburg-Vorpommern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306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0.5%</w:t>
            </w: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1,628,378</w:t>
            </w:r>
          </w:p>
        </w:tc>
        <w:tc>
          <w:tcPr>
            <w:tcW w:w="2170" w:type="dxa"/>
            <w:tcBorders>
              <w:top w:val="nil"/>
              <w:left w:val="nil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4"/>
                <w:szCs w:val="24"/>
                <w:lang w:eastAsia="en-AU"/>
              </w:rPr>
              <w:t>1.9%</w:t>
            </w:r>
          </w:p>
        </w:tc>
      </w:tr>
      <w:tr w:rsidR="00B20CC1" w:rsidTr="00DF6A82">
        <w:trPr>
          <w:trHeight w:val="288"/>
        </w:trPr>
        <w:tc>
          <w:tcPr>
            <w:tcW w:w="30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24"/>
                <w:szCs w:val="24"/>
                <w:lang w:eastAsia="en-AU"/>
              </w:rPr>
              <w:t>no spatial data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24"/>
                <w:szCs w:val="24"/>
                <w:lang w:eastAsia="en-AU"/>
              </w:rPr>
              <w:t>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24"/>
                <w:szCs w:val="24"/>
                <w:lang w:eastAsia="en-AU"/>
              </w:rPr>
              <w:t>15.2%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b/>
                <w:bCs/>
                <w:color w:val="000000"/>
                <w:lang w:eastAsia="en-A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20CC1" w:rsidRDefault="00B20CC1" w:rsidP="00DF6A82">
            <w:pPr>
              <w:spacing w:before="120" w:after="120"/>
              <w:jc w:val="right"/>
              <w:rPr>
                <w:rFonts w:ascii="Arial Unicode MS" w:hAnsi="Arial Unicode MS" w:cstheme="minorHAnsi"/>
                <w:b/>
                <w:bCs/>
                <w:color w:val="000000"/>
                <w:lang w:eastAsia="en-AU"/>
              </w:rPr>
            </w:pPr>
          </w:p>
        </w:tc>
      </w:tr>
    </w:tbl>
    <w:p w:rsidR="00B20CC1" w:rsidRDefault="00B20CC1" w:rsidP="00B20CC1">
      <w:pPr>
        <w:spacing w:before="180" w:after="180" w:line="360" w:lineRule="auto"/>
      </w:pPr>
      <w:r>
        <w:t>Population as of 20 June 2023; source:</w:t>
      </w:r>
      <w:r>
        <w:rPr>
          <w:rFonts w:ascii="Arial Unicode MS" w:eastAsia="Arial Unicode MS" w:hAnsi="Arial" w:cs="Arial Unicode MS"/>
          <w:color w:val="333333"/>
          <w:sz w:val="26"/>
          <w:szCs w:val="26"/>
          <w:shd w:val="clear" w:color="auto" w:fill="FEFEFE"/>
        </w:rPr>
        <w:t xml:space="preserve"> </w:t>
      </w:r>
      <w:r>
        <w:t xml:space="preserve">Population by </w:t>
      </w:r>
      <w:proofErr w:type="spellStart"/>
      <w:r>
        <w:t>nationaly</w:t>
      </w:r>
      <w:proofErr w:type="spellEnd"/>
      <w:r>
        <w:t xml:space="preserve"> and federal states - German Federal Statistical Office (destatis.de) https://www.destatis.de/EN/Themes/Society-Environment/Population/Current-Population/Tables/population-by-laender.html</w:t>
      </w:r>
    </w:p>
    <w:p w:rsidR="00B20CC1" w:rsidRDefault="00B20CC1" w:rsidP="00B20CC1">
      <w:pPr>
        <w:keepNext/>
        <w:rPr>
          <w:color w:val="000000" w:themeColor="text1"/>
        </w:rPr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Table S3. Sentiment scores and categories across topics, seasons and time</w:t>
      </w:r>
    </w:p>
    <w:tbl>
      <w:tblPr>
        <w:tblW w:w="9607" w:type="dxa"/>
        <w:tblLook w:val="04A0" w:firstRow="1" w:lastRow="0" w:firstColumn="1" w:lastColumn="0" w:noHBand="0" w:noVBand="1"/>
      </w:tblPr>
      <w:tblGrid>
        <w:gridCol w:w="4111"/>
        <w:gridCol w:w="1782"/>
        <w:gridCol w:w="1234"/>
        <w:gridCol w:w="1180"/>
        <w:gridCol w:w="1300"/>
      </w:tblGrid>
      <w:tr w:rsidR="00B20CC1" w:rsidTr="00DF6A82">
        <w:trPr>
          <w:trHeight w:val="288"/>
        </w:trPr>
        <w:tc>
          <w:tcPr>
            <w:tcW w:w="4111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782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Sentiment score</w:t>
            </w:r>
          </w:p>
        </w:tc>
        <w:tc>
          <w:tcPr>
            <w:tcW w:w="1234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% positive</w:t>
            </w:r>
          </w:p>
        </w:tc>
        <w:tc>
          <w:tcPr>
            <w:tcW w:w="118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% neutral</w:t>
            </w:r>
          </w:p>
        </w:tc>
        <w:tc>
          <w:tcPr>
            <w:tcW w:w="1300" w:type="dxa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% negative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0.092</w:t>
            </w:r>
          </w:p>
        </w:tc>
        <w:tc>
          <w:tcPr>
            <w:tcW w:w="12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37.0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43.5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19.5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Topic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1: Global heat waves and mortality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0.057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29.1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53.4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17.4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2: Local impact of climate change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0.126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41.1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17.6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3: Heat health impacts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0.045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33.8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24.5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lastRenderedPageBreak/>
              <w:t xml:space="preserve">   Topic 4: Storm risk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0.018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30.9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27.3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5: Temperature records and warnings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0.130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40.4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44.2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15.5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6: Heat and fire risk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0.139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43.9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38.2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17.9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7: Heat as a nuisance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0.128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42.4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38.5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19.1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8: European droughts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0.088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37.0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20.0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20"/>
                <w:szCs w:val="20"/>
                <w:lang w:eastAsia="en-AU"/>
              </w:rPr>
              <w:t xml:space="preserve">   Topic 9: Local heat adaptation and advice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0.158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49.3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20.6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Season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spring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0.003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27.73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46.74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25.53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summer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0.102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38.16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42.88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18.96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autumn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0.054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32.05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46.66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21.30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winter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0.011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26.50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49.92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23.58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Time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before 2018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0.064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30.15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52.41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17.44</w:t>
            </w:r>
          </w:p>
        </w:tc>
      </w:tr>
      <w:tr w:rsidR="00B20CC1" w:rsidTr="00DF6A82">
        <w:trPr>
          <w:trHeight w:val="288"/>
        </w:trPr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 xml:space="preserve">   2018 and after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hAnsi="Calibri" w:cs="Arial Unicode MS"/>
                <w:color w:val="000000"/>
              </w:rPr>
              <w:t>0.099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38.82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41.07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before="120" w:after="120"/>
              <w:jc w:val="center"/>
              <w:rPr>
                <w:rFonts w:ascii="Arial Unicode MS" w:hAnsi="Arial Unicode MS" w:cstheme="minorHAnsi"/>
                <w:color w:val="000000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lang w:eastAsia="en-AU"/>
              </w:rPr>
              <w:t>20.11</w:t>
            </w:r>
          </w:p>
        </w:tc>
      </w:tr>
    </w:tbl>
    <w:p w:rsidR="00B20CC1" w:rsidRDefault="00B20CC1" w:rsidP="00B20CC1">
      <w:pPr>
        <w:keepNext/>
        <w:rPr>
          <w:color w:val="000000" w:themeColor="text1"/>
        </w:rPr>
      </w:pPr>
    </w:p>
    <w:p w:rsidR="00B20CC1" w:rsidRDefault="00B20CC1" w:rsidP="00B20CC1">
      <w:pPr>
        <w:keepNext/>
        <w:rPr>
          <w:color w:val="000000" w:themeColor="text1"/>
        </w:rPr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Table S4. Number of tweets per topic per year and per season (summer [Sum] vs. other seasons [</w:t>
      </w:r>
      <w:proofErr w:type="spellStart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Oth</w:t>
      </w:r>
      <w:proofErr w:type="spellEnd"/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t>] which included spring, autumn and winter)</w:t>
      </w:r>
    </w:p>
    <w:tbl>
      <w:tblPr>
        <w:tblW w:w="14504" w:type="dxa"/>
        <w:tblLook w:val="04A0" w:firstRow="1" w:lastRow="0" w:firstColumn="1" w:lastColumn="0" w:noHBand="0" w:noVBand="1"/>
      </w:tblPr>
      <w:tblGrid>
        <w:gridCol w:w="708"/>
        <w:gridCol w:w="671"/>
        <w:gridCol w:w="574"/>
        <w:gridCol w:w="6"/>
        <w:gridCol w:w="587"/>
        <w:gridCol w:w="574"/>
        <w:gridCol w:w="6"/>
        <w:gridCol w:w="671"/>
        <w:gridCol w:w="585"/>
        <w:gridCol w:w="671"/>
        <w:gridCol w:w="580"/>
        <w:gridCol w:w="671"/>
        <w:gridCol w:w="580"/>
        <w:gridCol w:w="7"/>
        <w:gridCol w:w="755"/>
        <w:gridCol w:w="819"/>
        <w:gridCol w:w="7"/>
        <w:gridCol w:w="664"/>
        <w:gridCol w:w="587"/>
        <w:gridCol w:w="7"/>
        <w:gridCol w:w="664"/>
        <w:gridCol w:w="664"/>
        <w:gridCol w:w="7"/>
        <w:gridCol w:w="671"/>
        <w:gridCol w:w="573"/>
        <w:gridCol w:w="7"/>
        <w:gridCol w:w="762"/>
        <w:gridCol w:w="671"/>
        <w:gridCol w:w="762"/>
      </w:tblGrid>
      <w:tr w:rsidR="00B20CC1" w:rsidTr="00DF6A82">
        <w:trPr>
          <w:trHeight w:val="288"/>
        </w:trPr>
        <w:tc>
          <w:tcPr>
            <w:tcW w:w="708" w:type="dxa"/>
            <w:vMerge w:val="restart"/>
            <w:tcBorders>
              <w:top w:val="doub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Topic</w:t>
            </w:r>
          </w:p>
        </w:tc>
        <w:tc>
          <w:tcPr>
            <w:tcW w:w="1245" w:type="dxa"/>
            <w:gridSpan w:val="2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2013</w:t>
            </w:r>
          </w:p>
        </w:tc>
        <w:tc>
          <w:tcPr>
            <w:tcW w:w="1160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2014</w:t>
            </w:r>
          </w:p>
        </w:tc>
        <w:tc>
          <w:tcPr>
            <w:tcW w:w="1262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2015</w:t>
            </w:r>
          </w:p>
        </w:tc>
        <w:tc>
          <w:tcPr>
            <w:tcW w:w="1251" w:type="dxa"/>
            <w:gridSpan w:val="2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2016</w:t>
            </w:r>
          </w:p>
        </w:tc>
        <w:tc>
          <w:tcPr>
            <w:tcW w:w="1258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2017</w:t>
            </w:r>
          </w:p>
        </w:tc>
        <w:tc>
          <w:tcPr>
            <w:tcW w:w="1581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2018</w:t>
            </w:r>
          </w:p>
        </w:tc>
        <w:tc>
          <w:tcPr>
            <w:tcW w:w="1258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2019</w:t>
            </w:r>
          </w:p>
        </w:tc>
        <w:tc>
          <w:tcPr>
            <w:tcW w:w="1328" w:type="dxa"/>
            <w:gridSpan w:val="2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2020</w:t>
            </w:r>
          </w:p>
        </w:tc>
        <w:tc>
          <w:tcPr>
            <w:tcW w:w="1251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2021</w:t>
            </w:r>
          </w:p>
        </w:tc>
        <w:tc>
          <w:tcPr>
            <w:tcW w:w="1440" w:type="dxa"/>
            <w:gridSpan w:val="3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2022</w:t>
            </w:r>
          </w:p>
        </w:tc>
        <w:tc>
          <w:tcPr>
            <w:tcW w:w="762" w:type="dxa"/>
            <w:vMerge w:val="restart"/>
            <w:tcBorders>
              <w:top w:val="doub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7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Sum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proofErr w:type="spellStart"/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Oth</w:t>
            </w:r>
            <w:proofErr w:type="spellEnd"/>
          </w:p>
        </w:tc>
        <w:tc>
          <w:tcPr>
            <w:tcW w:w="76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1805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470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688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318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3651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422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1015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302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808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370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374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426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685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469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504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12317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373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3368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137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2570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803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3215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230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11526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1754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1222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317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1543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491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6373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168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1210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664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1048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1428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139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6016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257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969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1661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716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343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1439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5692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108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902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567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882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1771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91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5277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171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1096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1042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417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277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1148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4595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430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228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216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3198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93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433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466</w:t>
            </w:r>
          </w:p>
        </w:tc>
        <w:tc>
          <w:tcPr>
            <w:tcW w:w="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204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708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7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2151</w:t>
            </w:r>
          </w:p>
        </w:tc>
      </w:tr>
      <w:tr w:rsidR="00B20CC1" w:rsidTr="00DF6A82">
        <w:trPr>
          <w:trHeight w:val="288"/>
        </w:trPr>
        <w:tc>
          <w:tcPr>
            <w:tcW w:w="70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1856</w:t>
            </w:r>
          </w:p>
        </w:tc>
        <w:tc>
          <w:tcPr>
            <w:tcW w:w="580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471</w:t>
            </w:r>
          </w:p>
        </w:tc>
        <w:tc>
          <w:tcPr>
            <w:tcW w:w="5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746</w:t>
            </w:r>
          </w:p>
        </w:tc>
        <w:tc>
          <w:tcPr>
            <w:tcW w:w="580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321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5287</w:t>
            </w:r>
          </w:p>
        </w:tc>
        <w:tc>
          <w:tcPr>
            <w:tcW w:w="5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478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1155</w:t>
            </w:r>
          </w:p>
        </w:tc>
        <w:tc>
          <w:tcPr>
            <w:tcW w:w="5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303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1076</w:t>
            </w:r>
          </w:p>
        </w:tc>
        <w:tc>
          <w:tcPr>
            <w:tcW w:w="58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375</w:t>
            </w:r>
          </w:p>
        </w:tc>
        <w:tc>
          <w:tcPr>
            <w:tcW w:w="762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10534</w:t>
            </w:r>
          </w:p>
        </w:tc>
        <w:tc>
          <w:tcPr>
            <w:tcW w:w="81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918</w:t>
            </w:r>
          </w:p>
        </w:tc>
        <w:tc>
          <w:tcPr>
            <w:tcW w:w="67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9505</w:t>
            </w:r>
          </w:p>
        </w:tc>
        <w:tc>
          <w:tcPr>
            <w:tcW w:w="58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711</w:t>
            </w:r>
          </w:p>
        </w:tc>
        <w:tc>
          <w:tcPr>
            <w:tcW w:w="67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3916</w:t>
            </w:r>
          </w:p>
        </w:tc>
        <w:tc>
          <w:tcPr>
            <w:tcW w:w="67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1050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3677</w:t>
            </w:r>
          </w:p>
        </w:tc>
        <w:tc>
          <w:tcPr>
            <w:tcW w:w="580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659</w:t>
            </w:r>
          </w:p>
        </w:tc>
        <w:tc>
          <w:tcPr>
            <w:tcW w:w="76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12377</w:t>
            </w:r>
          </w:p>
        </w:tc>
        <w:tc>
          <w:tcPr>
            <w:tcW w:w="6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1730</w:t>
            </w:r>
          </w:p>
        </w:tc>
        <w:tc>
          <w:tcPr>
            <w:tcW w:w="76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0CC1" w:rsidRDefault="00B20CC1" w:rsidP="00DF6A82">
            <w:pPr>
              <w:spacing w:line="360" w:lineRule="auto"/>
              <w:jc w:val="center"/>
              <w:rPr>
                <w:rFonts w:ascii="Arial Unicode MS" w:hAnsi="Arial Unicode MS" w:cstheme="minorHAnsi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Arial Unicode MS" w:eastAsia="Arial Unicode MS" w:cstheme="minorHAnsi"/>
                <w:color w:val="000000"/>
                <w:sz w:val="18"/>
                <w:szCs w:val="18"/>
                <w:lang w:eastAsia="en-AU"/>
              </w:rPr>
              <w:t>57145</w:t>
            </w:r>
          </w:p>
        </w:tc>
      </w:tr>
    </w:tbl>
    <w:p w:rsidR="00B20CC1" w:rsidRDefault="00B20CC1" w:rsidP="00B20CC1">
      <w:pPr>
        <w:spacing w:before="180" w:after="120"/>
        <w:rPr>
          <w:sz w:val="20"/>
          <w:szCs w:val="20"/>
        </w:rPr>
      </w:pPr>
      <w:r>
        <w:rPr>
          <w:rFonts w:ascii="Arial Unicode MS" w:eastAsia="Arial Unicode MS" w:cs="Arial Unicode MS"/>
          <w:sz w:val="20"/>
          <w:szCs w:val="20"/>
        </w:rPr>
        <w:t>Topic 1: Global heat waves and mortality; Topic 2: Local impact of climate change; Topic 3: Heat health impacts; Topic 4: Storm risk; Topic 5: Temperature records and warnings; Topic 6: Heat and fire risk; Topic 7: Heat as a nuisance; Topic 8: European droughts; Topic 9: Local heat adaptation and advice</w:t>
      </w:r>
    </w:p>
    <w:p w:rsidR="00B20CC1" w:rsidRDefault="00B20CC1" w:rsidP="00B20CC1">
      <w:pPr>
        <w:keepNext/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lastRenderedPageBreak/>
        <w:t>Figure S1. The 50 most important words per topic for the 9-topic and 5-topic model, with the keywords used to define each topic highlighted in bold</w:t>
      </w:r>
    </w:p>
    <w:p w:rsidR="00B20CC1" w:rsidRDefault="00B20CC1" w:rsidP="00B20CC1">
      <w:bookmarkStart w:id="0" w:name="[IMAGE-Fig9_Print.png]"/>
      <w:r>
        <w:rPr>
          <w:noProof/>
        </w:rPr>
        <w:drawing>
          <wp:inline distT="0" distB="0" distL="0" distR="0" wp14:anchorId="4BA594F9" wp14:editId="2A51036D">
            <wp:extent cx="9201150" cy="5675689"/>
            <wp:effectExtent l="0" t="0" r="0" b="1270"/>
            <wp:docPr id="1512154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5435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137" cy="5684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20CC1" w:rsidRDefault="00B20CC1" w:rsidP="00B20CC1">
      <w:pPr>
        <w:keepNext/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lastRenderedPageBreak/>
        <w:t>Figure S2. Comparison of topic alignment between the 9-topic model (left) and the 5-topic model (right). The Sankey diagram illustrates how topics from the more granular 9-topic model map onto the broader 5-topic model, highlighting overlaps and differences in topic composition.</w:t>
      </w:r>
    </w:p>
    <w:p w:rsidR="00B20CC1" w:rsidRDefault="00B20CC1" w:rsidP="00B20CC1">
      <w:pPr>
        <w:rPr>
          <w:rFonts w:ascii="Arial Unicode MS" w:hAnsi="Arial Unicode MS" w:cs="Arial Unicode MS"/>
          <w:b/>
          <w:bCs/>
        </w:rPr>
      </w:pPr>
      <w:bookmarkStart w:id="1" w:name="[IMAGE-Fig10_Print.png]"/>
      <w:r>
        <w:rPr>
          <w:rFonts w:ascii="Arial Unicode MS" w:cs="Arial Unicode MS"/>
          <w:noProof/>
        </w:rPr>
        <w:drawing>
          <wp:inline distT="0" distB="0" distL="0" distR="0" wp14:anchorId="00FD46D1" wp14:editId="0F9267B7">
            <wp:extent cx="6705650" cy="4362450"/>
            <wp:effectExtent l="0" t="0" r="0" b="0"/>
            <wp:docPr id="11562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67989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97" cy="436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B20CC1" w:rsidRDefault="00B20CC1" w:rsidP="00B20CC1">
      <w:pPr>
        <w:keepNext/>
      </w:pPr>
      <w:r>
        <w:rPr>
          <w:rFonts w:ascii="Arial Unicode MS" w:eastAsia="Arial Unicode MS" w:hAnsi="Times New Roman" w:cs="Arial Unicode MS"/>
          <w:b/>
          <w:bCs/>
          <w:color w:val="4F81BD"/>
          <w:sz w:val="24"/>
          <w:szCs w:val="24"/>
          <w:lang w:val="en-AU"/>
        </w:rPr>
        <w:lastRenderedPageBreak/>
        <w:t>Figure S3. Correlations between topics, showing that only one pair was correlated: topics 7 &amp; 9</w:t>
      </w:r>
    </w:p>
    <w:p w:rsidR="00B20CC1" w:rsidRDefault="00B20CC1" w:rsidP="00B20CC1">
      <w:pPr>
        <w:jc w:val="center"/>
      </w:pPr>
      <w:bookmarkStart w:id="2" w:name="[IMAGE-Fig11_Print.png]"/>
      <w:r>
        <w:rPr>
          <w:noProof/>
        </w:rPr>
        <w:drawing>
          <wp:inline distT="0" distB="0" distL="0" distR="0" wp14:anchorId="7EA19C43" wp14:editId="18F4B84E">
            <wp:extent cx="6023610" cy="5614670"/>
            <wp:effectExtent l="0" t="0" r="0" b="0"/>
            <wp:docPr id="9872710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7109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561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p w:rsidR="00B20CC1" w:rsidRDefault="00B20CC1" w:rsidP="00B20CC1">
      <w:pPr>
        <w:spacing w:before="180" w:after="120"/>
      </w:pPr>
      <w:r>
        <w:rPr>
          <w:rFonts w:ascii="Arial Unicode MS" w:eastAsia="Arial Unicode MS" w:cs="Arial Unicode MS"/>
          <w:sz w:val="20"/>
          <w:szCs w:val="20"/>
        </w:rPr>
        <w:t>Topic 1: Global heat waves and mortality; Topic 2: Local impact of climate change; Topic 3: Heat health impacts; Topic 4: Storm risk; Topic 5: Temperature records and warnings; Topic 6: Heat and fire risk; Topic 7: Heat as a nuisance; Topic 8: European droughts; Topic 9: Local h</w:t>
      </w:r>
      <w:bookmarkStart w:id="3" w:name="_GoBack"/>
      <w:bookmarkEnd w:id="3"/>
      <w:r>
        <w:rPr>
          <w:rFonts w:ascii="Arial Unicode MS" w:eastAsia="Arial Unicode MS" w:cs="Arial Unicode MS"/>
          <w:sz w:val="20"/>
          <w:szCs w:val="20"/>
        </w:rPr>
        <w:t>eat adaptation and advice</w:t>
      </w:r>
    </w:p>
    <w:p w:rsidR="000015C1" w:rsidRDefault="00B20CC1"/>
    <w:sectPr w:rsidR="000015C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CC1"/>
    <w:rsid w:val="00001DB7"/>
    <w:rsid w:val="000067C1"/>
    <w:rsid w:val="00010A7A"/>
    <w:rsid w:val="00024DE9"/>
    <w:rsid w:val="00027445"/>
    <w:rsid w:val="0003646E"/>
    <w:rsid w:val="00036AB7"/>
    <w:rsid w:val="000514DD"/>
    <w:rsid w:val="000647E2"/>
    <w:rsid w:val="0007785F"/>
    <w:rsid w:val="00083D79"/>
    <w:rsid w:val="00094002"/>
    <w:rsid w:val="00094532"/>
    <w:rsid w:val="00097E11"/>
    <w:rsid w:val="000A48D0"/>
    <w:rsid w:val="000B625F"/>
    <w:rsid w:val="000B6740"/>
    <w:rsid w:val="000C3844"/>
    <w:rsid w:val="000F34DB"/>
    <w:rsid w:val="000F4462"/>
    <w:rsid w:val="000F4CC1"/>
    <w:rsid w:val="000F5603"/>
    <w:rsid w:val="00113E4F"/>
    <w:rsid w:val="001174A6"/>
    <w:rsid w:val="00127D34"/>
    <w:rsid w:val="00130CC8"/>
    <w:rsid w:val="0014420A"/>
    <w:rsid w:val="001444EE"/>
    <w:rsid w:val="00144ABD"/>
    <w:rsid w:val="00151EE8"/>
    <w:rsid w:val="001662C5"/>
    <w:rsid w:val="001825D9"/>
    <w:rsid w:val="00196E53"/>
    <w:rsid w:val="00197143"/>
    <w:rsid w:val="001A6050"/>
    <w:rsid w:val="001B100A"/>
    <w:rsid w:val="001B18E3"/>
    <w:rsid w:val="001C0E43"/>
    <w:rsid w:val="001C148E"/>
    <w:rsid w:val="001D1E00"/>
    <w:rsid w:val="001E0AB7"/>
    <w:rsid w:val="001E45C7"/>
    <w:rsid w:val="001E5156"/>
    <w:rsid w:val="001F0831"/>
    <w:rsid w:val="001F38CD"/>
    <w:rsid w:val="00201962"/>
    <w:rsid w:val="00202057"/>
    <w:rsid w:val="002077B5"/>
    <w:rsid w:val="002150B4"/>
    <w:rsid w:val="0021680F"/>
    <w:rsid w:val="00224086"/>
    <w:rsid w:val="00230079"/>
    <w:rsid w:val="00235781"/>
    <w:rsid w:val="00235919"/>
    <w:rsid w:val="0023743F"/>
    <w:rsid w:val="00243812"/>
    <w:rsid w:val="002535CA"/>
    <w:rsid w:val="00264229"/>
    <w:rsid w:val="00265352"/>
    <w:rsid w:val="00272A36"/>
    <w:rsid w:val="0027749D"/>
    <w:rsid w:val="00291F24"/>
    <w:rsid w:val="002A2CBE"/>
    <w:rsid w:val="002A52C6"/>
    <w:rsid w:val="002A7FFB"/>
    <w:rsid w:val="002B0FCC"/>
    <w:rsid w:val="002B0FEF"/>
    <w:rsid w:val="002B4D55"/>
    <w:rsid w:val="002C12FF"/>
    <w:rsid w:val="002D035D"/>
    <w:rsid w:val="002D13F2"/>
    <w:rsid w:val="002D1581"/>
    <w:rsid w:val="002E2A0C"/>
    <w:rsid w:val="002F231C"/>
    <w:rsid w:val="003049B6"/>
    <w:rsid w:val="00310B63"/>
    <w:rsid w:val="003122FD"/>
    <w:rsid w:val="00321378"/>
    <w:rsid w:val="0032642D"/>
    <w:rsid w:val="00337A4D"/>
    <w:rsid w:val="00341ABF"/>
    <w:rsid w:val="003547D5"/>
    <w:rsid w:val="003564AC"/>
    <w:rsid w:val="00356940"/>
    <w:rsid w:val="00374195"/>
    <w:rsid w:val="00374B8E"/>
    <w:rsid w:val="00380BA3"/>
    <w:rsid w:val="00381029"/>
    <w:rsid w:val="003821D7"/>
    <w:rsid w:val="003843A5"/>
    <w:rsid w:val="00385418"/>
    <w:rsid w:val="0038547B"/>
    <w:rsid w:val="00393C7E"/>
    <w:rsid w:val="003A445C"/>
    <w:rsid w:val="003A6BAC"/>
    <w:rsid w:val="003B3092"/>
    <w:rsid w:val="003B7281"/>
    <w:rsid w:val="003D679F"/>
    <w:rsid w:val="003E14E9"/>
    <w:rsid w:val="003E33F0"/>
    <w:rsid w:val="003E5853"/>
    <w:rsid w:val="003F4A5E"/>
    <w:rsid w:val="0040325F"/>
    <w:rsid w:val="00405B6B"/>
    <w:rsid w:val="00406559"/>
    <w:rsid w:val="00410FBF"/>
    <w:rsid w:val="004149D0"/>
    <w:rsid w:val="00432C69"/>
    <w:rsid w:val="0044120A"/>
    <w:rsid w:val="004470E3"/>
    <w:rsid w:val="004559A9"/>
    <w:rsid w:val="004571E0"/>
    <w:rsid w:val="00466E3B"/>
    <w:rsid w:val="004816CA"/>
    <w:rsid w:val="0048217C"/>
    <w:rsid w:val="004900F1"/>
    <w:rsid w:val="004C3B66"/>
    <w:rsid w:val="004D1842"/>
    <w:rsid w:val="004D30FB"/>
    <w:rsid w:val="004D333A"/>
    <w:rsid w:val="004E32F5"/>
    <w:rsid w:val="004E4656"/>
    <w:rsid w:val="004E61E8"/>
    <w:rsid w:val="004E7E88"/>
    <w:rsid w:val="004F02C9"/>
    <w:rsid w:val="004F7865"/>
    <w:rsid w:val="00501576"/>
    <w:rsid w:val="00504FC8"/>
    <w:rsid w:val="005133EF"/>
    <w:rsid w:val="00516371"/>
    <w:rsid w:val="0052470A"/>
    <w:rsid w:val="005256B2"/>
    <w:rsid w:val="00531960"/>
    <w:rsid w:val="00540B91"/>
    <w:rsid w:val="005550B0"/>
    <w:rsid w:val="0056315F"/>
    <w:rsid w:val="00587897"/>
    <w:rsid w:val="00595EA3"/>
    <w:rsid w:val="005B2482"/>
    <w:rsid w:val="005B5995"/>
    <w:rsid w:val="005C258C"/>
    <w:rsid w:val="005D5F21"/>
    <w:rsid w:val="005F43D3"/>
    <w:rsid w:val="006013AE"/>
    <w:rsid w:val="00606539"/>
    <w:rsid w:val="00606C2D"/>
    <w:rsid w:val="0062372B"/>
    <w:rsid w:val="0062498F"/>
    <w:rsid w:val="006418EF"/>
    <w:rsid w:val="006442B6"/>
    <w:rsid w:val="006447AF"/>
    <w:rsid w:val="006461E5"/>
    <w:rsid w:val="00654E61"/>
    <w:rsid w:val="0065754E"/>
    <w:rsid w:val="00671197"/>
    <w:rsid w:val="0067254F"/>
    <w:rsid w:val="00675B0C"/>
    <w:rsid w:val="0067643E"/>
    <w:rsid w:val="006808AA"/>
    <w:rsid w:val="006916C5"/>
    <w:rsid w:val="00697D23"/>
    <w:rsid w:val="006B168F"/>
    <w:rsid w:val="006B3932"/>
    <w:rsid w:val="006B73AF"/>
    <w:rsid w:val="006C17D4"/>
    <w:rsid w:val="006D07A2"/>
    <w:rsid w:val="006D25A8"/>
    <w:rsid w:val="006E6DF4"/>
    <w:rsid w:val="006F6BE2"/>
    <w:rsid w:val="00720438"/>
    <w:rsid w:val="0072111D"/>
    <w:rsid w:val="00740F5B"/>
    <w:rsid w:val="00744904"/>
    <w:rsid w:val="007510B3"/>
    <w:rsid w:val="00760124"/>
    <w:rsid w:val="00761568"/>
    <w:rsid w:val="007625F5"/>
    <w:rsid w:val="007640AB"/>
    <w:rsid w:val="007651EB"/>
    <w:rsid w:val="007667E1"/>
    <w:rsid w:val="00766AC0"/>
    <w:rsid w:val="00770F26"/>
    <w:rsid w:val="00772D7C"/>
    <w:rsid w:val="00777900"/>
    <w:rsid w:val="00785A05"/>
    <w:rsid w:val="00790AB1"/>
    <w:rsid w:val="00793CD7"/>
    <w:rsid w:val="00793CE0"/>
    <w:rsid w:val="007A0157"/>
    <w:rsid w:val="007A017C"/>
    <w:rsid w:val="007A3537"/>
    <w:rsid w:val="007A48E7"/>
    <w:rsid w:val="007C22EA"/>
    <w:rsid w:val="007C4B5A"/>
    <w:rsid w:val="007C5914"/>
    <w:rsid w:val="007D5DD8"/>
    <w:rsid w:val="007E1801"/>
    <w:rsid w:val="007E43EF"/>
    <w:rsid w:val="007E4822"/>
    <w:rsid w:val="00805F86"/>
    <w:rsid w:val="00817A9D"/>
    <w:rsid w:val="00842E6E"/>
    <w:rsid w:val="00846C7F"/>
    <w:rsid w:val="00852ECA"/>
    <w:rsid w:val="00853D49"/>
    <w:rsid w:val="00854E7D"/>
    <w:rsid w:val="008660DA"/>
    <w:rsid w:val="00872142"/>
    <w:rsid w:val="008A3ECF"/>
    <w:rsid w:val="008C27B3"/>
    <w:rsid w:val="008C2C9C"/>
    <w:rsid w:val="008C79D7"/>
    <w:rsid w:val="008D5C4D"/>
    <w:rsid w:val="008F11DA"/>
    <w:rsid w:val="008F7E5E"/>
    <w:rsid w:val="00914004"/>
    <w:rsid w:val="0091420D"/>
    <w:rsid w:val="0092141E"/>
    <w:rsid w:val="0092310D"/>
    <w:rsid w:val="00931BA5"/>
    <w:rsid w:val="009342AC"/>
    <w:rsid w:val="00946C1D"/>
    <w:rsid w:val="0095042D"/>
    <w:rsid w:val="00956797"/>
    <w:rsid w:val="0097011F"/>
    <w:rsid w:val="00970AAA"/>
    <w:rsid w:val="00971DD4"/>
    <w:rsid w:val="00975576"/>
    <w:rsid w:val="00977687"/>
    <w:rsid w:val="0098544D"/>
    <w:rsid w:val="00990B98"/>
    <w:rsid w:val="00992A70"/>
    <w:rsid w:val="00994713"/>
    <w:rsid w:val="009A5F27"/>
    <w:rsid w:val="009A7FE4"/>
    <w:rsid w:val="009C06B1"/>
    <w:rsid w:val="009C1B0F"/>
    <w:rsid w:val="009C7BB0"/>
    <w:rsid w:val="009D3CEA"/>
    <w:rsid w:val="009D6ED8"/>
    <w:rsid w:val="009E3A87"/>
    <w:rsid w:val="009E57E4"/>
    <w:rsid w:val="009F27DA"/>
    <w:rsid w:val="009F73A4"/>
    <w:rsid w:val="009F7762"/>
    <w:rsid w:val="00A01F02"/>
    <w:rsid w:val="00A02E38"/>
    <w:rsid w:val="00A05339"/>
    <w:rsid w:val="00A11435"/>
    <w:rsid w:val="00A22441"/>
    <w:rsid w:val="00A234F0"/>
    <w:rsid w:val="00A23762"/>
    <w:rsid w:val="00A25C82"/>
    <w:rsid w:val="00A32091"/>
    <w:rsid w:val="00A5272B"/>
    <w:rsid w:val="00A70C88"/>
    <w:rsid w:val="00A70E22"/>
    <w:rsid w:val="00A97637"/>
    <w:rsid w:val="00AA6E6D"/>
    <w:rsid w:val="00AB19D1"/>
    <w:rsid w:val="00AB3832"/>
    <w:rsid w:val="00AB77BB"/>
    <w:rsid w:val="00AC0647"/>
    <w:rsid w:val="00AC1F38"/>
    <w:rsid w:val="00AC4CB6"/>
    <w:rsid w:val="00AD7A3E"/>
    <w:rsid w:val="00AE1237"/>
    <w:rsid w:val="00AF0295"/>
    <w:rsid w:val="00AF63B1"/>
    <w:rsid w:val="00B07BA1"/>
    <w:rsid w:val="00B15AE7"/>
    <w:rsid w:val="00B16A30"/>
    <w:rsid w:val="00B20CC1"/>
    <w:rsid w:val="00B243DA"/>
    <w:rsid w:val="00B24A09"/>
    <w:rsid w:val="00B40C9C"/>
    <w:rsid w:val="00B46FF7"/>
    <w:rsid w:val="00B52D9F"/>
    <w:rsid w:val="00B61141"/>
    <w:rsid w:val="00B72AEA"/>
    <w:rsid w:val="00B93819"/>
    <w:rsid w:val="00BA0B22"/>
    <w:rsid w:val="00BA26EE"/>
    <w:rsid w:val="00BA6393"/>
    <w:rsid w:val="00BC4B83"/>
    <w:rsid w:val="00BC65F9"/>
    <w:rsid w:val="00BD3109"/>
    <w:rsid w:val="00BE120A"/>
    <w:rsid w:val="00BE4B5E"/>
    <w:rsid w:val="00BF6081"/>
    <w:rsid w:val="00BF7F10"/>
    <w:rsid w:val="00C009EF"/>
    <w:rsid w:val="00C10146"/>
    <w:rsid w:val="00C26AE7"/>
    <w:rsid w:val="00C32332"/>
    <w:rsid w:val="00C36BBF"/>
    <w:rsid w:val="00C62F17"/>
    <w:rsid w:val="00C66322"/>
    <w:rsid w:val="00C8322B"/>
    <w:rsid w:val="00C87095"/>
    <w:rsid w:val="00C9229F"/>
    <w:rsid w:val="00C937D8"/>
    <w:rsid w:val="00C94F72"/>
    <w:rsid w:val="00CA0EED"/>
    <w:rsid w:val="00CB6785"/>
    <w:rsid w:val="00CD33AC"/>
    <w:rsid w:val="00CD6F2A"/>
    <w:rsid w:val="00CE1634"/>
    <w:rsid w:val="00CE5155"/>
    <w:rsid w:val="00CF2E6F"/>
    <w:rsid w:val="00CF5301"/>
    <w:rsid w:val="00D06166"/>
    <w:rsid w:val="00D1304E"/>
    <w:rsid w:val="00D2078B"/>
    <w:rsid w:val="00D3469A"/>
    <w:rsid w:val="00D54808"/>
    <w:rsid w:val="00D54C29"/>
    <w:rsid w:val="00D75EEB"/>
    <w:rsid w:val="00D76712"/>
    <w:rsid w:val="00D81879"/>
    <w:rsid w:val="00D84C2A"/>
    <w:rsid w:val="00D86BD3"/>
    <w:rsid w:val="00D92209"/>
    <w:rsid w:val="00D92BC5"/>
    <w:rsid w:val="00DE4984"/>
    <w:rsid w:val="00DF6A17"/>
    <w:rsid w:val="00DF6E2A"/>
    <w:rsid w:val="00DF7FDC"/>
    <w:rsid w:val="00E16170"/>
    <w:rsid w:val="00E17CD8"/>
    <w:rsid w:val="00E23637"/>
    <w:rsid w:val="00E32ADB"/>
    <w:rsid w:val="00E33654"/>
    <w:rsid w:val="00E50304"/>
    <w:rsid w:val="00E526C5"/>
    <w:rsid w:val="00E53503"/>
    <w:rsid w:val="00E556F0"/>
    <w:rsid w:val="00E607DC"/>
    <w:rsid w:val="00E65ECC"/>
    <w:rsid w:val="00E83FD8"/>
    <w:rsid w:val="00E85627"/>
    <w:rsid w:val="00E92DEE"/>
    <w:rsid w:val="00EC2754"/>
    <w:rsid w:val="00ED637E"/>
    <w:rsid w:val="00ED7F07"/>
    <w:rsid w:val="00EE30D2"/>
    <w:rsid w:val="00EE4F1B"/>
    <w:rsid w:val="00EE65B2"/>
    <w:rsid w:val="00F044F7"/>
    <w:rsid w:val="00F04A0A"/>
    <w:rsid w:val="00F06A4A"/>
    <w:rsid w:val="00F17F70"/>
    <w:rsid w:val="00F20659"/>
    <w:rsid w:val="00F26B91"/>
    <w:rsid w:val="00F27604"/>
    <w:rsid w:val="00F41263"/>
    <w:rsid w:val="00F448B2"/>
    <w:rsid w:val="00F563AE"/>
    <w:rsid w:val="00F608AC"/>
    <w:rsid w:val="00F6166F"/>
    <w:rsid w:val="00F66021"/>
    <w:rsid w:val="00F73D86"/>
    <w:rsid w:val="00FD314E"/>
    <w:rsid w:val="00FD6BB6"/>
    <w:rsid w:val="00FF1E9A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 Bacong</dc:creator>
  <cp:lastModifiedBy>Melody Bacong</cp:lastModifiedBy>
  <cp:revision>1</cp:revision>
  <dcterms:created xsi:type="dcterms:W3CDTF">2025-05-15T05:16:00Z</dcterms:created>
  <dcterms:modified xsi:type="dcterms:W3CDTF">2025-05-15T05:17:00Z</dcterms:modified>
</cp:coreProperties>
</file>