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E77C0" w14:textId="56EB9237" w:rsidR="00D8486C" w:rsidRPr="00467508" w:rsidRDefault="00D8486C" w:rsidP="00D8486C">
      <w:pPr>
        <w:rPr>
          <w:rFonts w:ascii="Times New Roman" w:hAnsi="Times New Roman" w:cs="Times New Roman"/>
          <w:b/>
          <w:sz w:val="24"/>
          <w:szCs w:val="24"/>
        </w:rPr>
      </w:pPr>
      <w:r w:rsidRPr="00467508">
        <w:rPr>
          <w:rFonts w:ascii="Times New Roman" w:hAnsi="Times New Roman" w:cs="Times New Roman"/>
          <w:b/>
          <w:sz w:val="24"/>
          <w:szCs w:val="24"/>
        </w:rPr>
        <w:t>Predicting blood-to-plasma concentration ratios of drugs from the chemical structures and volumes of distribution in humans</w:t>
      </w:r>
      <w:r w:rsidRPr="00467508" w:rsidDel="00742B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A4E0E2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055419AB" w14:textId="16BEF03D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>Hideaki Mamada</w:t>
      </w:r>
      <w:r w:rsidR="00D408B8">
        <w:rPr>
          <w:rFonts w:ascii="Times New Roman" w:hAnsi="Times New Roman" w:cs="Times New Roman"/>
          <w:sz w:val="24"/>
          <w:szCs w:val="24"/>
        </w:rPr>
        <w:t xml:space="preserve">, MS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Kazuhiko Iwamoto</w:t>
      </w:r>
      <w:r w:rsidR="00D408B8">
        <w:rPr>
          <w:rFonts w:ascii="Times New Roman" w:hAnsi="Times New Roman" w:cs="Times New Roman"/>
          <w:sz w:val="24"/>
          <w:szCs w:val="24"/>
        </w:rPr>
        <w:t>, MS</w:t>
      </w:r>
      <w:r w:rsidR="00D408B8" w:rsidRPr="00DA5C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A5C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7508">
        <w:rPr>
          <w:rFonts w:ascii="Times New Roman" w:hAnsi="Times New Roman" w:cs="Times New Roman"/>
          <w:sz w:val="24"/>
          <w:szCs w:val="24"/>
        </w:rPr>
        <w:t>Yukihiro</w:t>
      </w:r>
      <w:r w:rsidRPr="00043B1F"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Nomura</w:t>
      </w:r>
      <w:r w:rsidR="00D408B8">
        <w:rPr>
          <w:rFonts w:ascii="Times New Roman" w:hAnsi="Times New Roman" w:cs="Times New Roman"/>
          <w:sz w:val="24"/>
          <w:szCs w:val="24"/>
        </w:rPr>
        <w:t>, PhD</w:t>
      </w:r>
      <w:r w:rsidR="00D408B8" w:rsidRPr="0046750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Yoshihiro</w:t>
      </w:r>
      <w:r w:rsidRPr="00043B1F"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Uesawa</w:t>
      </w:r>
      <w:r w:rsidR="00D408B8">
        <w:rPr>
          <w:rFonts w:ascii="Times New Roman" w:hAnsi="Times New Roman" w:cs="Times New Roman"/>
          <w:sz w:val="24"/>
          <w:szCs w:val="24"/>
        </w:rPr>
        <w:t>, PhD</w:t>
      </w:r>
      <w:r w:rsidR="00D408B8" w:rsidRPr="00DA5CBE">
        <w:rPr>
          <w:rFonts w:ascii="Times New Roman" w:hAnsi="Times New Roman" w:cs="Times New Roman"/>
          <w:sz w:val="24"/>
          <w:szCs w:val="24"/>
        </w:rPr>
        <w:t xml:space="preserve"> </w:t>
      </w:r>
      <w:r w:rsidRPr="00DA5CBE">
        <w:rPr>
          <w:rFonts w:ascii="Times New Roman" w:hAnsi="Times New Roman" w:cs="Times New Roman"/>
          <w:sz w:val="24"/>
          <w:szCs w:val="24"/>
        </w:rPr>
        <w:t>*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6696741" w14:textId="77777777" w:rsidR="00D8486C" w:rsidRPr="00341BDD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14AAC996" w14:textId="77777777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>1 Drug Metabolism and Pharmacokinetics Research Laboratories, Central Pharmaceutical Research Institute, Japan Tobacco Inc., Osaka, Japan.</w:t>
      </w:r>
    </w:p>
    <w:p w14:paraId="77042FF8" w14:textId="77777777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>2. Department of Medical Molecular Informatics, Meiji Pharmaceutical University, Tokyo, Japan</w:t>
      </w:r>
    </w:p>
    <w:p w14:paraId="76B12AF0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05C91E1F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author.</w:t>
      </w:r>
    </w:p>
    <w:p w14:paraId="24CD7B3B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Pr="00E95738">
        <w:rPr>
          <w:rFonts w:ascii="Times New Roman" w:hAnsi="Times New Roman" w:cs="Times New Roman"/>
          <w:sz w:val="24"/>
          <w:szCs w:val="24"/>
        </w:rPr>
        <w:t xml:space="preserve">: </w:t>
      </w:r>
      <w:r w:rsidRPr="00725D29">
        <w:rPr>
          <w:rFonts w:ascii="Times New Roman" w:hAnsi="Times New Roman" w:cs="Times New Roman"/>
          <w:sz w:val="24"/>
          <w:szCs w:val="24"/>
        </w:rPr>
        <w:t>+81-42-495-8983</w:t>
      </w:r>
      <w:r>
        <w:rPr>
          <w:rFonts w:ascii="Times New Roman" w:hAnsi="Times New Roman" w:cs="Times New Roman"/>
          <w:sz w:val="24"/>
          <w:szCs w:val="24"/>
        </w:rPr>
        <w:t>; FAX:</w:t>
      </w:r>
      <w:r w:rsidRPr="00D05A2A">
        <w:rPr>
          <w:rFonts w:ascii="Times New Roman" w:hAnsi="Times New Roman" w:cs="Times New Roman"/>
          <w:sz w:val="24"/>
          <w:szCs w:val="24"/>
        </w:rPr>
        <w:t xml:space="preserve"> </w:t>
      </w:r>
      <w:r w:rsidRPr="00725D29">
        <w:rPr>
          <w:rFonts w:ascii="Times New Roman" w:hAnsi="Times New Roman" w:cs="Times New Roman"/>
          <w:sz w:val="24"/>
          <w:szCs w:val="24"/>
        </w:rPr>
        <w:t>+81-42-495-8983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FD3C01" w14:textId="77777777" w:rsidR="00D8486C" w:rsidRPr="00E9573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E95738">
        <w:rPr>
          <w:rFonts w:ascii="Times New Roman" w:hAnsi="Times New Roman" w:cs="Times New Roman"/>
          <w:sz w:val="24"/>
          <w:szCs w:val="24"/>
        </w:rPr>
        <w:t>E-mail addr</w:t>
      </w:r>
      <w:r>
        <w:rPr>
          <w:rFonts w:ascii="Times New Roman" w:hAnsi="Times New Roman" w:cs="Times New Roman"/>
          <w:sz w:val="24"/>
          <w:szCs w:val="24"/>
        </w:rPr>
        <w:t xml:space="preserve">ess: </w:t>
      </w:r>
      <w:r w:rsidRPr="002A4754">
        <w:rPr>
          <w:rFonts w:ascii="Times New Roman" w:hAnsi="Times New Roman" w:cs="Times New Roman"/>
          <w:sz w:val="24"/>
          <w:szCs w:val="24"/>
        </w:rPr>
        <w:t>uesawa@my-pharm.ac.jp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C2FC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2FC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64A332FA" w14:textId="77777777" w:rsidR="00D8486C" w:rsidRDefault="00D8486C">
      <w:pPr>
        <w:rPr>
          <w:rFonts w:ascii="Times New Roman" w:hAnsi="Times New Roman" w:cs="Times New Roman"/>
          <w:b/>
          <w:sz w:val="24"/>
          <w:szCs w:val="24"/>
        </w:rPr>
      </w:pPr>
    </w:p>
    <w:p w14:paraId="4655E928" w14:textId="77777777" w:rsidR="00D8486C" w:rsidRDefault="00D8486C">
      <w:pPr>
        <w:rPr>
          <w:rFonts w:ascii="Times New Roman" w:hAnsi="Times New Roman" w:cs="Times New Roman"/>
          <w:b/>
          <w:sz w:val="24"/>
          <w:szCs w:val="24"/>
        </w:rPr>
      </w:pPr>
    </w:p>
    <w:p w14:paraId="3C8FD8FA" w14:textId="7E2C0338" w:rsidR="00836C10" w:rsidRPr="00366B48" w:rsidRDefault="00836C10">
      <w:pPr>
        <w:rPr>
          <w:rFonts w:ascii="Times New Roman" w:hAnsi="Times New Roman" w:cs="Times New Roman"/>
          <w:b/>
          <w:sz w:val="24"/>
          <w:szCs w:val="24"/>
        </w:rPr>
      </w:pPr>
      <w:r w:rsidRPr="00366B48">
        <w:rPr>
          <w:rFonts w:ascii="Times New Roman" w:hAnsi="Times New Roman" w:cs="Times New Roman"/>
          <w:b/>
          <w:sz w:val="24"/>
          <w:szCs w:val="24"/>
        </w:rPr>
        <w:t>Supporting Information 1</w:t>
      </w:r>
    </w:p>
    <w:p w14:paraId="79847C5E" w14:textId="2F87C718" w:rsidR="00836C10" w:rsidRPr="00366B48" w:rsidRDefault="00011DFE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Supporting Table (file type; Excel)</w:t>
      </w:r>
    </w:p>
    <w:p w14:paraId="022AF1E3" w14:textId="19BE0E9C" w:rsidR="006D7235" w:rsidRDefault="006D7235" w:rsidP="006D7235">
      <w:pPr>
        <w:pStyle w:val="Default"/>
      </w:pPr>
    </w:p>
    <w:p w14:paraId="06EDBA7D" w14:textId="2E51D292" w:rsidR="00011DFE" w:rsidRPr="00366B48" w:rsidRDefault="000B3B21" w:rsidP="006D72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Tabular. </w:t>
      </w:r>
      <w:r w:rsidR="00AE54FF">
        <w:rPr>
          <w:rFonts w:ascii="Times New Roman" w:hAnsi="Times New Roman" w:cs="Times New Roman"/>
          <w:sz w:val="24"/>
          <w:szCs w:val="24"/>
        </w:rPr>
        <w:t>Table S</w:t>
      </w:r>
      <w:r w:rsidR="003910ED">
        <w:rPr>
          <w:rFonts w:ascii="Times New Roman" w:hAnsi="Times New Roman" w:cs="Times New Roman"/>
          <w:sz w:val="24"/>
          <w:szCs w:val="24"/>
        </w:rPr>
        <w:t>1</w:t>
      </w:r>
      <w:r w:rsidR="006D7235" w:rsidRPr="00366B48">
        <w:rPr>
          <w:rFonts w:ascii="Times New Roman" w:hAnsi="Times New Roman" w:cs="Times New Roman"/>
          <w:sz w:val="24"/>
          <w:szCs w:val="24"/>
        </w:rPr>
        <w:t>. Blood-to-plasma concentration ratio and PK parameters for the 270 drugs.</w:t>
      </w:r>
    </w:p>
    <w:p w14:paraId="0220ED8C" w14:textId="6F313D67" w:rsidR="009A4AB0" w:rsidRDefault="009A4AB0" w:rsidP="009A4AB0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Tabular.</w:t>
      </w:r>
      <w:r w:rsidR="000C7DD8" w:rsidRPr="00366B48">
        <w:rPr>
          <w:rFonts w:ascii="Times New Roman" w:hAnsi="Times New Roman" w:cs="Times New Roman"/>
          <w:sz w:val="24"/>
          <w:szCs w:val="24"/>
        </w:rPr>
        <w:t xml:space="preserve"> </w:t>
      </w:r>
      <w:r w:rsidR="003910ED">
        <w:rPr>
          <w:rFonts w:ascii="Times New Roman" w:hAnsi="Times New Roman" w:cs="Times New Roman"/>
          <w:sz w:val="24"/>
          <w:szCs w:val="24"/>
        </w:rPr>
        <w:t>Table S2</w:t>
      </w:r>
      <w:r w:rsidR="000C7DD8" w:rsidRPr="00366B48">
        <w:rPr>
          <w:rFonts w:ascii="Times New Roman" w:hAnsi="Times New Roman" w:cs="Times New Roman"/>
          <w:sz w:val="24"/>
          <w:szCs w:val="24"/>
        </w:rPr>
        <w:t>. Blood-to-plasma concentration ratio and Vd for the 20 drugs.</w:t>
      </w:r>
    </w:p>
    <w:p w14:paraId="1764CB03" w14:textId="54046734" w:rsidR="00A84A2E" w:rsidRPr="00366B48" w:rsidRDefault="00A84A2E" w:rsidP="00A84A2E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Tabular.</w:t>
      </w:r>
      <w:r>
        <w:rPr>
          <w:rFonts w:ascii="Times New Roman" w:hAnsi="Times New Roman" w:cs="Times New Roman"/>
          <w:sz w:val="24"/>
          <w:szCs w:val="24"/>
        </w:rPr>
        <w:t xml:space="preserve"> Table S</w:t>
      </w:r>
      <w:r w:rsidR="003910ED">
        <w:rPr>
          <w:rFonts w:ascii="Times New Roman" w:hAnsi="Times New Roman" w:cs="Times New Roman"/>
          <w:sz w:val="24"/>
          <w:szCs w:val="24"/>
        </w:rPr>
        <w:t>4</w:t>
      </w:r>
      <w:r w:rsidRPr="006E5828">
        <w:rPr>
          <w:rFonts w:ascii="Times New Roman" w:hAnsi="Times New Roman" w:cs="Times New Roman"/>
          <w:sz w:val="24"/>
          <w:szCs w:val="24"/>
        </w:rPr>
        <w:t>. Gain of 141 descriptors</w:t>
      </w:r>
    </w:p>
    <w:p w14:paraId="2A1C3688" w14:textId="77777777" w:rsidR="00A84A2E" w:rsidRPr="00A84A2E" w:rsidRDefault="00A84A2E" w:rsidP="009A4AB0">
      <w:pPr>
        <w:rPr>
          <w:rFonts w:ascii="Times New Roman" w:hAnsi="Times New Roman" w:cs="Times New Roman"/>
          <w:sz w:val="24"/>
          <w:szCs w:val="24"/>
        </w:rPr>
      </w:pPr>
    </w:p>
    <w:p w14:paraId="5ADAFFA2" w14:textId="68CE2DE2" w:rsidR="00011DFE" w:rsidRPr="00366B48" w:rsidRDefault="00011DFE">
      <w:pPr>
        <w:rPr>
          <w:rFonts w:ascii="Times New Roman" w:hAnsi="Times New Roman" w:cs="Times New Roman"/>
          <w:sz w:val="24"/>
          <w:szCs w:val="24"/>
        </w:rPr>
      </w:pPr>
    </w:p>
    <w:p w14:paraId="7F8A526A" w14:textId="4239640F" w:rsidR="009F3364" w:rsidRPr="00366B48" w:rsidRDefault="009F3364" w:rsidP="009F3364">
      <w:pPr>
        <w:rPr>
          <w:rFonts w:ascii="Times New Roman" w:hAnsi="Times New Roman" w:cs="Times New Roman"/>
          <w:b/>
          <w:sz w:val="24"/>
          <w:szCs w:val="24"/>
        </w:rPr>
      </w:pPr>
      <w:r w:rsidRPr="00366B48">
        <w:rPr>
          <w:rFonts w:ascii="Times New Roman" w:hAnsi="Times New Roman" w:cs="Times New Roman"/>
          <w:b/>
          <w:sz w:val="24"/>
          <w:szCs w:val="24"/>
        </w:rPr>
        <w:t>Supporting Information 2</w:t>
      </w:r>
    </w:p>
    <w:p w14:paraId="04970A3B" w14:textId="3DAE7E43" w:rsidR="00233042" w:rsidRPr="00366B48" w:rsidRDefault="00B811A5" w:rsidP="005B41ED">
      <w:pPr>
        <w:pStyle w:val="Default"/>
      </w:pPr>
      <w:r w:rsidRPr="00366B48">
        <w:t>Supporting Tables and Figures (</w:t>
      </w:r>
      <w:r w:rsidR="00AE54FF">
        <w:t>Table SIV</w:t>
      </w:r>
      <w:r w:rsidR="00D2245B" w:rsidRPr="00366B48">
        <w:t>, Figures S1</w:t>
      </w:r>
      <w:r w:rsidR="002E61F1">
        <w:t>-</w:t>
      </w:r>
      <w:r w:rsidR="00300222">
        <w:t>S</w:t>
      </w:r>
      <w:r w:rsidR="002E61F1">
        <w:t>2</w:t>
      </w:r>
      <w:r w:rsidRPr="00366B48">
        <w:t>)</w:t>
      </w:r>
      <w:r w:rsidR="00B823FF" w:rsidRPr="00366B48">
        <w:t xml:space="preserve"> </w:t>
      </w:r>
      <w:r w:rsidR="005B41ED" w:rsidRPr="00366B48">
        <w:t>(file type;</w:t>
      </w:r>
      <w:r w:rsidR="00D92A57">
        <w:t>word</w:t>
      </w:r>
      <w:bookmarkStart w:id="0" w:name="_GoBack"/>
      <w:bookmarkEnd w:id="0"/>
      <w:r w:rsidR="005B41ED" w:rsidRPr="00366B48">
        <w:t>)</w:t>
      </w:r>
    </w:p>
    <w:p w14:paraId="70478643" w14:textId="77777777" w:rsidR="0001714C" w:rsidRPr="00366B48" w:rsidRDefault="0001714C" w:rsidP="005B41ED">
      <w:pPr>
        <w:pStyle w:val="Default"/>
      </w:pPr>
    </w:p>
    <w:p w14:paraId="5F7BE7D3" w14:textId="16713D37" w:rsidR="00421060" w:rsidRPr="00366B48" w:rsidRDefault="00AE54FF" w:rsidP="005B41ED">
      <w:pPr>
        <w:pStyle w:val="Default"/>
      </w:pPr>
      <w:r>
        <w:t>Table S</w:t>
      </w:r>
      <w:r w:rsidR="003910ED">
        <w:t>3</w:t>
      </w:r>
      <w:r w:rsidR="00421060" w:rsidRPr="00366B48">
        <w:t>-</w:t>
      </w:r>
      <w:r w:rsidR="00300222">
        <w:t>a</w:t>
      </w:r>
      <w:r w:rsidR="00421060" w:rsidRPr="00366B48">
        <w:t>. Parameter ranges for SVR</w:t>
      </w:r>
    </w:p>
    <w:p w14:paraId="31B95838" w14:textId="4B12996C" w:rsidR="00421060" w:rsidRPr="00366B48" w:rsidRDefault="00AE54FF" w:rsidP="005B41ED">
      <w:pPr>
        <w:pStyle w:val="Default"/>
      </w:pPr>
      <w:r>
        <w:t>Table S</w:t>
      </w:r>
      <w:r w:rsidR="003910ED">
        <w:t>3</w:t>
      </w:r>
      <w:r w:rsidR="0088753F" w:rsidRPr="00366B48">
        <w:t>-</w:t>
      </w:r>
      <w:r w:rsidR="00300222">
        <w:t>b</w:t>
      </w:r>
      <w:r w:rsidR="0088753F" w:rsidRPr="00366B48">
        <w:t>. Parameter ranges for random forest</w:t>
      </w:r>
    </w:p>
    <w:p w14:paraId="2A07AD27" w14:textId="092244C2" w:rsidR="0088753F" w:rsidRPr="00366B48" w:rsidRDefault="00AE54FF" w:rsidP="005B41ED">
      <w:pPr>
        <w:pStyle w:val="Default"/>
      </w:pPr>
      <w:r>
        <w:t>Table S</w:t>
      </w:r>
      <w:r w:rsidR="003910ED">
        <w:t>3</w:t>
      </w:r>
      <w:r w:rsidR="0088753F" w:rsidRPr="00366B48">
        <w:t>-</w:t>
      </w:r>
      <w:r w:rsidR="00300222">
        <w:t>c</w:t>
      </w:r>
      <w:r w:rsidR="0088753F" w:rsidRPr="00366B48">
        <w:t>. Parameter ranges for XGBoost</w:t>
      </w:r>
    </w:p>
    <w:p w14:paraId="0876BC8C" w14:textId="623B65DA" w:rsidR="0088753F" w:rsidRPr="00366B48" w:rsidRDefault="00AE54FF" w:rsidP="005B41ED">
      <w:pPr>
        <w:pStyle w:val="Default"/>
      </w:pPr>
      <w:r>
        <w:t>Table S</w:t>
      </w:r>
      <w:r w:rsidR="003910ED">
        <w:t>3</w:t>
      </w:r>
      <w:r w:rsidR="00300222">
        <w:t>-d</w:t>
      </w:r>
      <w:r w:rsidR="00FD085A" w:rsidRPr="00366B48">
        <w:t>. Parameter ranges for GA-MLR</w:t>
      </w:r>
    </w:p>
    <w:p w14:paraId="045884B8" w14:textId="14549FBF" w:rsidR="00145E59" w:rsidRDefault="00AE54FF" w:rsidP="00145E59">
      <w:pPr>
        <w:pStyle w:val="Default"/>
      </w:pPr>
      <w:r>
        <w:t>Table S</w:t>
      </w:r>
      <w:r w:rsidR="003910ED">
        <w:t>3</w:t>
      </w:r>
      <w:r w:rsidR="00300222">
        <w:t>-e</w:t>
      </w:r>
      <w:r w:rsidR="00145E59" w:rsidRPr="00366B48">
        <w:t>. Parameter ranges for ANN</w:t>
      </w:r>
    </w:p>
    <w:p w14:paraId="761AD727" w14:textId="71C9B5ED" w:rsidR="003E43E0" w:rsidRDefault="00AE54FF" w:rsidP="00145E59">
      <w:pPr>
        <w:pStyle w:val="Default"/>
      </w:pPr>
      <w:r>
        <w:t>Figure S</w:t>
      </w:r>
      <w:r w:rsidR="003910ED">
        <w:t>1</w:t>
      </w:r>
      <w:r w:rsidR="003E43E0" w:rsidRPr="00F52720">
        <w:t>. Correlation between Rb and Vd (n=270)</w:t>
      </w:r>
    </w:p>
    <w:p w14:paraId="1229D864" w14:textId="77CCE0B5" w:rsidR="00B550B7" w:rsidRPr="00F52720" w:rsidRDefault="00AE54FF" w:rsidP="00B550B7">
      <w:pPr>
        <w:pStyle w:val="Default"/>
      </w:pPr>
      <w:r>
        <w:t>Figure S</w:t>
      </w:r>
      <w:r w:rsidR="003910ED">
        <w:t>2</w:t>
      </w:r>
      <w:r w:rsidR="00B550B7" w:rsidRPr="00F52720">
        <w:t xml:space="preserve">. </w:t>
      </w:r>
      <w:r w:rsidR="00B550B7" w:rsidRPr="00366B48">
        <w:t xml:space="preserve">Relationship between </w:t>
      </w:r>
      <w:r w:rsidR="00B550B7" w:rsidRPr="00D947BB">
        <w:t>SlogP_VSA9</w:t>
      </w:r>
      <w:r w:rsidR="00B550B7" w:rsidRPr="00366B48">
        <w:t xml:space="preserve"> and log Vd. </w:t>
      </w:r>
      <w:r w:rsidR="00B550B7" w:rsidRPr="00D947BB">
        <w:t>SlogP_VSA9</w:t>
      </w:r>
      <w:r w:rsidR="00B550B7" w:rsidRPr="00366B48">
        <w:t xml:space="preserve"> was calculated based on MOE (n=289).</w:t>
      </w:r>
    </w:p>
    <w:p w14:paraId="6AC78C26" w14:textId="77777777" w:rsidR="00145E59" w:rsidRPr="00366B48" w:rsidRDefault="00145E59">
      <w:pPr>
        <w:rPr>
          <w:rFonts w:ascii="Times New Roman" w:hAnsi="Times New Roman" w:cs="Times New Roman"/>
          <w:sz w:val="24"/>
          <w:szCs w:val="24"/>
        </w:rPr>
      </w:pPr>
    </w:p>
    <w:p w14:paraId="72324638" w14:textId="2C3650B3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-a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SVR</w:t>
      </w:r>
    </w:p>
    <w:p w14:paraId="38D0A8CC" w14:textId="683073A4" w:rsidR="00E16FB8" w:rsidRPr="00366B48" w:rsidRDefault="00E16F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2972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6"/>
        <w:gridCol w:w="1249"/>
        <w:gridCol w:w="7"/>
      </w:tblGrid>
      <w:tr w:rsidR="00550AA0" w:rsidRPr="00366B48" w14:paraId="6C44BC7B" w14:textId="77777777" w:rsidTr="00CA6431">
        <w:trPr>
          <w:trHeight w:val="360"/>
        </w:trPr>
        <w:tc>
          <w:tcPr>
            <w:tcW w:w="297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E877B2" w14:textId="77777777" w:rsidR="00550AA0" w:rsidRPr="00EB312E" w:rsidRDefault="00550AA0" w:rsidP="00550AA0">
            <w:pPr>
              <w:widowControl/>
              <w:jc w:val="center"/>
              <w:rPr>
                <w:rFonts w:ascii="Times New Roman" w:eastAsia="游ゴシック" w:hAnsi="Times New Roman" w:cs="Times New Roman"/>
                <w:bCs/>
                <w:kern w:val="0"/>
                <w:sz w:val="24"/>
                <w:szCs w:val="24"/>
              </w:rPr>
            </w:pPr>
            <w:r w:rsidRPr="00EB312E">
              <w:rPr>
                <w:rFonts w:ascii="Times New Roman" w:eastAsia="游ゴシック" w:hAnsi="Times New Roman" w:cs="Times New Roman"/>
                <w:bCs/>
                <w:kern w:val="0"/>
                <w:sz w:val="24"/>
                <w:szCs w:val="24"/>
              </w:rPr>
              <w:t>SVR_GridSearch</w:t>
            </w:r>
          </w:p>
        </w:tc>
      </w:tr>
      <w:tr w:rsidR="00550AA0" w:rsidRPr="00366B48" w14:paraId="570EAD67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AC34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Kernel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E0190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Radial</w:t>
            </w:r>
          </w:p>
        </w:tc>
      </w:tr>
      <w:tr w:rsidR="00550AA0" w:rsidRPr="00366B48" w14:paraId="3FFA4ADD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3C2E" w14:textId="77777777" w:rsidR="00550AA0" w:rsidRPr="00366B48" w:rsidRDefault="00AC0664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Gamm</w:t>
            </w:r>
            <w:r w:rsidR="00550AA0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4A2E6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0.1/nx-1/nx</w:t>
            </w:r>
          </w:p>
        </w:tc>
      </w:tr>
      <w:tr w:rsidR="00550AA0" w:rsidRPr="00366B48" w14:paraId="5FAFFBA0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DD20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Cost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DCA21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0.01-1000</w:t>
            </w:r>
          </w:p>
        </w:tc>
      </w:tr>
      <w:tr w:rsidR="00550AA0" w:rsidRPr="00366B48" w14:paraId="6E0E037E" w14:textId="77777777" w:rsidTr="00CA6431">
        <w:trPr>
          <w:gridAfter w:val="1"/>
          <w:wAfter w:w="7" w:type="dxa"/>
          <w:trHeight w:val="3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13FD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Epsilon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C9FF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0.001-1</w:t>
            </w:r>
          </w:p>
        </w:tc>
      </w:tr>
    </w:tbl>
    <w:p w14:paraId="6BB258FF" w14:textId="340D1F8E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6FB9BB90" w14:textId="435D6CD0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27158BB" w14:textId="5A86F152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random forest</w:t>
      </w:r>
    </w:p>
    <w:p w14:paraId="722437CF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340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3"/>
        <w:gridCol w:w="1097"/>
      </w:tblGrid>
      <w:tr w:rsidR="00F95AA6" w:rsidRPr="00366B48" w14:paraId="267AD886" w14:textId="77777777" w:rsidTr="00F95AA6">
        <w:trPr>
          <w:trHeight w:val="360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43860F" w14:textId="77777777" w:rsidR="00F95AA6" w:rsidRPr="00366B48" w:rsidRDefault="00F95AA6" w:rsidP="00F95A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random forest_GridSearch</w:t>
            </w:r>
          </w:p>
        </w:tc>
      </w:tr>
      <w:tr w:rsidR="00F95AA6" w:rsidRPr="00366B48" w14:paraId="32D2FEAF" w14:textId="77777777" w:rsidTr="00F95AA6">
        <w:trPr>
          <w:trHeight w:val="360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55CF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Maximum Tree Depth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CAD3" w14:textId="77777777" w:rsidR="00F95AA6" w:rsidRPr="00366B48" w:rsidRDefault="002006F7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95AA6"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-100</w:t>
            </w:r>
          </w:p>
        </w:tc>
      </w:tr>
      <w:tr w:rsidR="00F95AA6" w:rsidRPr="00366B48" w14:paraId="45D341FF" w14:textId="77777777" w:rsidTr="00F95AA6">
        <w:trPr>
          <w:trHeight w:val="370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46FB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Number of Trees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E8FE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100-3000</w:t>
            </w:r>
          </w:p>
        </w:tc>
      </w:tr>
    </w:tbl>
    <w:p w14:paraId="5B540F0B" w14:textId="727DEEA4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5B9BDF55" w14:textId="05B3BBC9" w:rsidR="00D5200F" w:rsidRDefault="00D5200F">
      <w:pPr>
        <w:rPr>
          <w:rFonts w:ascii="Times New Roman" w:hAnsi="Times New Roman" w:cs="Times New Roman"/>
          <w:sz w:val="24"/>
          <w:szCs w:val="24"/>
        </w:rPr>
      </w:pPr>
    </w:p>
    <w:p w14:paraId="196A4B35" w14:textId="33EE046B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XGBoost</w:t>
      </w:r>
    </w:p>
    <w:p w14:paraId="4165CA23" w14:textId="77777777" w:rsidR="00AE54FF" w:rsidRPr="00366B48" w:rsidRDefault="00AE54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043" w:type="dxa"/>
        <w:tblInd w:w="-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1"/>
        <w:gridCol w:w="1112"/>
      </w:tblGrid>
      <w:tr w:rsidR="00CE2CA0" w:rsidRPr="00366B48" w14:paraId="25888DCE" w14:textId="77777777" w:rsidTr="002144C3">
        <w:trPr>
          <w:trHeight w:val="280"/>
        </w:trPr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B30C" w14:textId="77777777" w:rsidR="00CE2CA0" w:rsidRPr="00366B48" w:rsidRDefault="00CE2CA0" w:rsidP="00CE2CA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XGBoost_GridSearch</w:t>
            </w:r>
          </w:p>
        </w:tc>
      </w:tr>
      <w:tr w:rsidR="00CE2CA0" w:rsidRPr="00366B48" w14:paraId="184A30A4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E564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Booster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E0BA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gbtree</w:t>
            </w:r>
          </w:p>
        </w:tc>
      </w:tr>
      <w:tr w:rsidR="00CE2CA0" w:rsidRPr="00366B48" w14:paraId="4DDEDE17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D1BA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 trees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B7B8" w14:textId="77777777" w:rsidR="00CE2CA0" w:rsidRPr="00366B48" w:rsidRDefault="00B10F1F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10-3</w:t>
            </w:r>
            <w:r w:rsidR="00CE2CA0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00</w:t>
            </w:r>
          </w:p>
        </w:tc>
      </w:tr>
      <w:tr w:rsidR="00CE2CA0" w:rsidRPr="00366B48" w14:paraId="039D6025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06CC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Learning Rate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B646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0.01-0.</w:t>
            </w:r>
            <w:r w:rsidR="00DB3A55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CE2CA0" w:rsidRPr="00366B48" w14:paraId="2DAD14C5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0E35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 Depth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EBE2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2-10</w:t>
            </w:r>
          </w:p>
        </w:tc>
      </w:tr>
      <w:tr w:rsidR="00CE2CA0" w:rsidRPr="00366B48" w14:paraId="4978E06D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90F9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Data Fraction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7E44" w14:textId="77777777" w:rsidR="00CE2CA0" w:rsidRPr="00366B48" w:rsidRDefault="00CE2CA0" w:rsidP="00DB3A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DB3A55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</w:t>
            </w:r>
          </w:p>
        </w:tc>
      </w:tr>
      <w:tr w:rsidR="00CE2CA0" w:rsidRPr="00366B48" w14:paraId="4A39514D" w14:textId="77777777" w:rsidTr="002144C3">
        <w:trPr>
          <w:trHeight w:val="29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9AC0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Descriptor Fraction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99D4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0.05-1</w:t>
            </w:r>
          </w:p>
        </w:tc>
      </w:tr>
    </w:tbl>
    <w:p w14:paraId="05BEEE89" w14:textId="08D1B598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198481DB" w14:textId="52EAE2CB" w:rsidR="002B17F3" w:rsidRDefault="002B17F3">
      <w:pPr>
        <w:rPr>
          <w:rFonts w:ascii="Times New Roman" w:hAnsi="Times New Roman" w:cs="Times New Roman"/>
          <w:sz w:val="24"/>
          <w:szCs w:val="24"/>
        </w:rPr>
      </w:pPr>
    </w:p>
    <w:p w14:paraId="1DD3DCFD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63D1A89C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7D3E5EC1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398CF837" w14:textId="34E58562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GA-MLR</w:t>
      </w:r>
    </w:p>
    <w:p w14:paraId="5CC61C81" w14:textId="77777777" w:rsidR="00AE54FF" w:rsidRPr="00366B48" w:rsidRDefault="00AE54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25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98"/>
        <w:gridCol w:w="1227"/>
      </w:tblGrid>
      <w:tr w:rsidR="002B17F3" w:rsidRPr="00366B48" w14:paraId="5AAF6181" w14:textId="77777777" w:rsidTr="00F4529B">
        <w:trPr>
          <w:trHeight w:val="360"/>
        </w:trPr>
        <w:tc>
          <w:tcPr>
            <w:tcW w:w="48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67691" w14:textId="77777777" w:rsidR="002B17F3" w:rsidRPr="00366B48" w:rsidRDefault="002B17F3" w:rsidP="002B17F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GA-MLR_GridSearch</w:t>
            </w:r>
          </w:p>
        </w:tc>
      </w:tr>
      <w:tr w:rsidR="002B17F3" w:rsidRPr="00366B48" w14:paraId="53327A26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80FC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Number of models to keep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D0555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5-500</w:t>
            </w:r>
          </w:p>
        </w:tc>
      </w:tr>
      <w:tr w:rsidR="002B17F3" w:rsidRPr="00366B48" w14:paraId="1F2E1414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EFB3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Model form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C9572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Linear</w:t>
            </w:r>
          </w:p>
        </w:tc>
      </w:tr>
      <w:tr w:rsidR="002B17F3" w:rsidRPr="00366B48" w14:paraId="088D4F37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8B1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Mixture Model Form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56556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Linear</w:t>
            </w:r>
          </w:p>
        </w:tc>
      </w:tr>
      <w:tr w:rsidR="002B17F3" w:rsidRPr="00366B48" w14:paraId="676EB678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A296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Maxium Equation Length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116A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10-100</w:t>
            </w:r>
          </w:p>
        </w:tc>
      </w:tr>
      <w:tr w:rsidR="002B17F3" w:rsidRPr="00366B48" w14:paraId="429798A9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04D2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Population Size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49CFE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100-1000</w:t>
            </w:r>
          </w:p>
        </w:tc>
      </w:tr>
      <w:tr w:rsidR="002B17F3" w:rsidRPr="00366B48" w14:paraId="16737910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63CF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Maximum Generations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9E2ED" w14:textId="77777777" w:rsidR="002B17F3" w:rsidRPr="00366B48" w:rsidRDefault="00F4529B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500-2000</w:t>
            </w:r>
          </w:p>
        </w:tc>
      </w:tr>
      <w:tr w:rsidR="002B17F3" w:rsidRPr="00366B48" w14:paraId="486AC654" w14:textId="77777777" w:rsidTr="00EB312E">
        <w:trPr>
          <w:trHeight w:val="37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21EB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LOF Smoothness Parameter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A1CAC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0.25-0.75</w:t>
            </w:r>
          </w:p>
        </w:tc>
      </w:tr>
    </w:tbl>
    <w:p w14:paraId="74D1B839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257429CA" w14:textId="2C955C2B" w:rsidR="00DF41F1" w:rsidRDefault="00DF41F1">
      <w:pPr>
        <w:rPr>
          <w:rFonts w:ascii="Times New Roman" w:hAnsi="Times New Roman" w:cs="Times New Roman"/>
          <w:sz w:val="24"/>
          <w:szCs w:val="24"/>
        </w:rPr>
      </w:pPr>
    </w:p>
    <w:p w14:paraId="78FDA207" w14:textId="353DE087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21DB69CB" w14:textId="797666E9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78CC0676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1F0C2F6" w14:textId="3E17D28A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ANN</w:t>
      </w:r>
    </w:p>
    <w:p w14:paraId="747400FF" w14:textId="1E964091" w:rsidR="00DD579D" w:rsidRPr="00366B48" w:rsidRDefault="00DD57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640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1"/>
        <w:gridCol w:w="985"/>
      </w:tblGrid>
      <w:tr w:rsidR="00DF41F1" w:rsidRPr="00366B48" w14:paraId="29BD2968" w14:textId="77777777" w:rsidTr="00DF41F1">
        <w:trPr>
          <w:trHeight w:val="280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735F1" w14:textId="77777777" w:rsidR="00DF41F1" w:rsidRPr="00366B48" w:rsidRDefault="00DF41F1" w:rsidP="00DF41F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ANN_GridSearch</w:t>
            </w:r>
          </w:p>
        </w:tc>
      </w:tr>
      <w:tr w:rsidR="00DF41F1" w:rsidRPr="00366B48" w14:paraId="11BACD01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3FDD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Activation Type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0ED42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TanH</w:t>
            </w:r>
          </w:p>
        </w:tc>
      </w:tr>
      <w:tr w:rsidR="00DF41F1" w:rsidRPr="00366B48" w14:paraId="50DCAB1E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528A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Layer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544C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DF41F1" w:rsidRPr="00366B48" w14:paraId="60927E6C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0FD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Boosting number of models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013C1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1000</w:t>
            </w:r>
          </w:p>
        </w:tc>
      </w:tr>
      <w:tr w:rsidR="00DF41F1" w:rsidRPr="00366B48" w14:paraId="4D26AE73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CE9F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Learning Rate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9E5A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</w:t>
            </w:r>
          </w:p>
        </w:tc>
      </w:tr>
      <w:tr w:rsidR="00DF41F1" w:rsidRPr="00366B48" w14:paraId="001A0C29" w14:textId="77777777" w:rsidTr="00DF41F1">
        <w:trPr>
          <w:trHeight w:val="29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DC1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Penalty Method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F5FE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Squared</w:t>
            </w:r>
          </w:p>
        </w:tc>
      </w:tr>
    </w:tbl>
    <w:p w14:paraId="39DC9C08" w14:textId="483730C4" w:rsidR="00FD5041" w:rsidRDefault="00FD5041">
      <w:pPr>
        <w:rPr>
          <w:rFonts w:ascii="Times New Roman" w:hAnsi="Times New Roman" w:cs="Times New Roman"/>
          <w:sz w:val="24"/>
          <w:szCs w:val="24"/>
        </w:rPr>
      </w:pPr>
    </w:p>
    <w:p w14:paraId="0856A4B3" w14:textId="77777777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731C044" w14:textId="0AA9BE68" w:rsidR="00FD5041" w:rsidRDefault="00FD5041">
      <w:pPr>
        <w:rPr>
          <w:rFonts w:ascii="Times New Roman" w:hAnsi="Times New Roman" w:cs="Times New Roman"/>
          <w:sz w:val="24"/>
          <w:szCs w:val="24"/>
        </w:rPr>
      </w:pPr>
    </w:p>
    <w:p w14:paraId="2CFA5D1F" w14:textId="2FDA01AF" w:rsidR="00FD5041" w:rsidRDefault="00FD5041">
      <w:pPr>
        <w:rPr>
          <w:rFonts w:ascii="Times New Roman" w:hAnsi="Times New Roman" w:cs="Times New Roman"/>
          <w:sz w:val="24"/>
          <w:szCs w:val="24"/>
        </w:rPr>
      </w:pPr>
      <w:r w:rsidRPr="00FD50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884D67" wp14:editId="116A5D89">
            <wp:extent cx="2984500" cy="2582545"/>
            <wp:effectExtent l="0" t="0" r="6350" b="0"/>
            <wp:docPr id="2" name="図 2" descr="C:\Users\stm2721\Desktop\2019\論文関連\Scientific reportsに投稿\Scientific reports_植沢先生に提出\Figure_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m2721\Desktop\2019\論文関連\Scientific reportsに投稿\Scientific reports_植沢先生に提出\Figure_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5923" w14:textId="3699682B" w:rsidR="00EC4EB8" w:rsidRPr="00467508" w:rsidRDefault="00AE54FF" w:rsidP="00EC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170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C4EB8" w:rsidRPr="00467508">
        <w:rPr>
          <w:rFonts w:ascii="Times New Roman" w:hAnsi="Times New Roman" w:cs="Times New Roman"/>
          <w:b/>
          <w:bCs/>
          <w:sz w:val="24"/>
          <w:szCs w:val="24"/>
        </w:rPr>
        <w:t>. Correlation between Rb and Vd (n=270)</w:t>
      </w:r>
    </w:p>
    <w:p w14:paraId="51977F3C" w14:textId="77777777" w:rsidR="00EC4EB8" w:rsidRPr="00467508" w:rsidRDefault="00EC4EB8" w:rsidP="00EC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horizontal axis is L</w:t>
      </w:r>
      <w:r w:rsidRPr="00E47BAE">
        <w:rPr>
          <w:rFonts w:ascii="Times New Roman" w:hAnsi="Times New Roman" w:cs="Times New Roman"/>
          <w:sz w:val="24"/>
          <w:szCs w:val="24"/>
        </w:rPr>
        <w:t>og</w:t>
      </w:r>
      <w:r w:rsidRPr="00FB1F0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47BAE">
        <w:rPr>
          <w:rFonts w:ascii="Times New Roman" w:hAnsi="Times New Roman" w:cs="Times New Roman"/>
          <w:sz w:val="24"/>
          <w:szCs w:val="24"/>
        </w:rPr>
        <w:t xml:space="preserve"> Vd</w:t>
      </w:r>
      <w:r>
        <w:rPr>
          <w:rFonts w:ascii="Times New Roman" w:hAnsi="Times New Roman" w:cs="Times New Roman"/>
          <w:sz w:val="24"/>
          <w:szCs w:val="24"/>
        </w:rPr>
        <w:t xml:space="preserve"> (L/kg), and the vertical axis is L</w:t>
      </w:r>
      <w:r w:rsidRPr="00467508">
        <w:rPr>
          <w:rFonts w:ascii="Times New Roman" w:hAnsi="Times New Roman" w:cs="Times New Roman"/>
          <w:sz w:val="24"/>
          <w:szCs w:val="24"/>
        </w:rPr>
        <w:t>og</w:t>
      </w:r>
      <w:r w:rsidRPr="00FB1F0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67508">
        <w:rPr>
          <w:rFonts w:ascii="Times New Roman" w:hAnsi="Times New Roman" w:cs="Times New Roman"/>
          <w:sz w:val="24"/>
          <w:szCs w:val="24"/>
        </w:rPr>
        <w:t xml:space="preserve"> Rb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7508">
        <w:rPr>
          <w:rFonts w:ascii="Times New Roman" w:hAnsi="Times New Roman" w:cs="Times New Roman"/>
          <w:sz w:val="24"/>
          <w:szCs w:val="24"/>
        </w:rPr>
        <w:t>The solid line represents the regression line.</w:t>
      </w:r>
    </w:p>
    <w:p w14:paraId="597F5F41" w14:textId="77777777" w:rsidR="00EC4EB8" w:rsidRPr="00366B48" w:rsidRDefault="00EC4EB8">
      <w:pPr>
        <w:rPr>
          <w:rFonts w:ascii="Times New Roman" w:hAnsi="Times New Roman" w:cs="Times New Roman"/>
          <w:sz w:val="24"/>
          <w:szCs w:val="24"/>
        </w:rPr>
      </w:pPr>
    </w:p>
    <w:p w14:paraId="7FB1F96C" w14:textId="07973DAD" w:rsidR="00841986" w:rsidRPr="00366B48" w:rsidRDefault="00E9784E">
      <w:pPr>
        <w:rPr>
          <w:rFonts w:ascii="Times New Roman" w:hAnsi="Times New Roman" w:cs="Times New Roman"/>
          <w:sz w:val="24"/>
          <w:szCs w:val="24"/>
        </w:rPr>
      </w:pPr>
      <w:r w:rsidRPr="00E97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C59E9" wp14:editId="30C4C3C6">
            <wp:extent cx="2981960" cy="2470150"/>
            <wp:effectExtent l="0" t="0" r="8890" b="6350"/>
            <wp:docPr id="1" name="図 1" descr="C:\Users\stm2721\Desktop\2019\論文関連\Scientific reportsに投稿\Scientific reports_植沢先生に提出\Figure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m2721\Desktop\2019\論文関連\Scientific reportsに投稿\Scientific reports_植沢先生に提出\Figure_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AB2F5" w14:textId="073DFEE1" w:rsidR="00841986" w:rsidRPr="003E43E0" w:rsidRDefault="00AC0C31" w:rsidP="004B3F36">
      <w:pPr>
        <w:rPr>
          <w:rFonts w:ascii="Times New Roman" w:hAnsi="Times New Roman" w:cs="Times New Roman"/>
          <w:b/>
          <w:sz w:val="24"/>
          <w:szCs w:val="24"/>
        </w:rPr>
      </w:pPr>
      <w:r w:rsidRPr="003E43E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170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6248" w:rsidRPr="003E43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4BCE" w:rsidRPr="003E4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3F36" w:rsidRPr="003E43E0">
        <w:rPr>
          <w:rFonts w:ascii="Times New Roman" w:hAnsi="Times New Roman" w:cs="Times New Roman"/>
          <w:b/>
          <w:sz w:val="24"/>
          <w:szCs w:val="24"/>
        </w:rPr>
        <w:t>Re</w:t>
      </w:r>
      <w:r w:rsidR="009C4187" w:rsidRPr="003E43E0">
        <w:rPr>
          <w:rFonts w:ascii="Times New Roman" w:hAnsi="Times New Roman" w:cs="Times New Roman"/>
          <w:b/>
          <w:sz w:val="24"/>
          <w:szCs w:val="24"/>
        </w:rPr>
        <w:t xml:space="preserve">lationship between </w:t>
      </w:r>
      <w:r w:rsidR="00261BE6" w:rsidRPr="003E43E0">
        <w:rPr>
          <w:rFonts w:ascii="Times New Roman" w:hAnsi="Times New Roman" w:cs="Times New Roman"/>
          <w:b/>
          <w:sz w:val="24"/>
          <w:szCs w:val="24"/>
        </w:rPr>
        <w:t>SlogP_VSA9</w:t>
      </w:r>
      <w:r w:rsidR="009C4187" w:rsidRPr="003E43E0">
        <w:rPr>
          <w:rFonts w:ascii="Times New Roman" w:hAnsi="Times New Roman" w:cs="Times New Roman"/>
          <w:b/>
          <w:sz w:val="24"/>
          <w:szCs w:val="24"/>
        </w:rPr>
        <w:t xml:space="preserve"> and log Vd</w:t>
      </w:r>
      <w:r w:rsidR="00EF4F3F" w:rsidRPr="003E43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1BE6" w:rsidRPr="003E43E0">
        <w:rPr>
          <w:rFonts w:ascii="Times New Roman" w:hAnsi="Times New Roman" w:cs="Times New Roman"/>
          <w:b/>
          <w:sz w:val="24"/>
          <w:szCs w:val="24"/>
        </w:rPr>
        <w:t>SlogP_VSA9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 xml:space="preserve"> was calculated 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 xml:space="preserve">based on 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>MOE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 xml:space="preserve"> (n=</w:t>
      </w:r>
      <w:r w:rsidR="00490D33" w:rsidRPr="003E43E0">
        <w:rPr>
          <w:rFonts w:ascii="Times New Roman" w:hAnsi="Times New Roman" w:cs="Times New Roman"/>
          <w:b/>
          <w:sz w:val="24"/>
          <w:szCs w:val="24"/>
        </w:rPr>
        <w:t>2</w:t>
      </w:r>
      <w:r w:rsidR="002443E1" w:rsidRPr="003E43E0">
        <w:rPr>
          <w:rFonts w:ascii="Times New Roman" w:hAnsi="Times New Roman" w:cs="Times New Roman"/>
          <w:b/>
          <w:sz w:val="24"/>
          <w:szCs w:val="24"/>
        </w:rPr>
        <w:t>89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>)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>.</w:t>
      </w:r>
    </w:p>
    <w:p w14:paraId="3A706268" w14:textId="77777777" w:rsidR="00426098" w:rsidRPr="00366B48" w:rsidRDefault="00426098" w:rsidP="004B3F36">
      <w:pPr>
        <w:rPr>
          <w:rFonts w:ascii="Times New Roman" w:hAnsi="Times New Roman" w:cs="Times New Roman"/>
          <w:sz w:val="24"/>
          <w:szCs w:val="24"/>
        </w:rPr>
      </w:pPr>
    </w:p>
    <w:p w14:paraId="047BFDDC" w14:textId="2DFCE9AC" w:rsidR="00B01BF1" w:rsidRPr="00366B48" w:rsidRDefault="00B01BF1" w:rsidP="00B01BF1">
      <w:pPr>
        <w:pStyle w:val="TFReferencesSection"/>
        <w:spacing w:after="0"/>
        <w:ind w:firstLine="0"/>
        <w:rPr>
          <w:rFonts w:ascii="Times New Roman" w:hAnsi="Times New Roman"/>
          <w:szCs w:val="24"/>
        </w:rPr>
      </w:pPr>
      <w:r w:rsidRPr="00366B48">
        <w:rPr>
          <w:rFonts w:ascii="Times New Roman" w:hAnsi="Times New Roman"/>
          <w:szCs w:val="24"/>
        </w:rPr>
        <w:t>R</w:t>
      </w:r>
      <w:r w:rsidR="00CE2999">
        <w:rPr>
          <w:rFonts w:ascii="Times New Roman" w:hAnsi="Times New Roman"/>
          <w:szCs w:val="24"/>
        </w:rPr>
        <w:t>eferences</w:t>
      </w:r>
    </w:p>
    <w:p w14:paraId="028E891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Lombardo, F., Waters, N. J., Argikar, U. A., Dennehy, M. K., Zhan, J., Gunduz, M., Harriman S. P., Berellini G, Liric Rajlic I Obach, R. S. (2013). Comprehensive assessment of human pharmacokinetic prediction based on in vivo animal </w:t>
      </w:r>
      <w:r w:rsidRPr="00366B48">
        <w:rPr>
          <w:rFonts w:ascii="Times New Roman" w:hAnsi="Times New Roman" w:cs="Times New Roman"/>
        </w:rPr>
        <w:lastRenderedPageBreak/>
        <w:t xml:space="preserve">pharmacokinetic data, part 2: Clearance. </w:t>
      </w:r>
      <w:r w:rsidRPr="00366B48">
        <w:rPr>
          <w:rFonts w:ascii="Times New Roman" w:hAnsi="Times New Roman" w:cs="Times New Roman"/>
          <w:i/>
          <w:iCs/>
        </w:rPr>
        <w:t>Journal of Clinical Pharmacology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53</w:t>
      </w:r>
      <w:r w:rsidRPr="00366B48">
        <w:rPr>
          <w:rFonts w:ascii="Times New Roman" w:hAnsi="Times New Roman" w:cs="Times New Roman"/>
        </w:rPr>
        <w:t xml:space="preserve">(2), 178–191. </w:t>
      </w:r>
      <w:hyperlink r:id="rId10" w:history="1">
        <w:r w:rsidRPr="00366B48">
          <w:rPr>
            <w:rStyle w:val="a7"/>
            <w:rFonts w:ascii="Times New Roman" w:hAnsi="Times New Roman" w:cs="Times New Roman"/>
          </w:rPr>
          <w:t>https://doi.org/10.1177/0091270012440282</w:t>
        </w:r>
      </w:hyperlink>
    </w:p>
    <w:p w14:paraId="312D4325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Obach, R. S., Lombardo, F., &amp; Waters, N. J. (2008). Trend analysis of a database of intravenous pharmacokinetic parameters in humans for 670 drug compounds.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36</w:t>
      </w:r>
      <w:r w:rsidRPr="00366B48">
        <w:rPr>
          <w:rFonts w:ascii="Times New Roman" w:hAnsi="Times New Roman" w:cs="Times New Roman"/>
        </w:rPr>
        <w:t xml:space="preserve">(7), 1385–1405. </w:t>
      </w:r>
      <w:hyperlink r:id="rId11" w:history="1">
        <w:r w:rsidRPr="00366B48">
          <w:rPr>
            <w:rStyle w:val="a7"/>
            <w:rFonts w:ascii="Times New Roman" w:hAnsi="Times New Roman" w:cs="Times New Roman"/>
          </w:rPr>
          <w:t>https://doi.org/10.1124/dmd.108.020479</w:t>
        </w:r>
      </w:hyperlink>
    </w:p>
    <w:p w14:paraId="3075A07C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Y. Rakhmanina, N., Dirajlal-Fargo, S., V. Capparelli, E., &amp; Mirochnik, M. (2012). Pharmacokinetic Considerations of Perinatal Antiretroviral Therapy. </w:t>
      </w:r>
      <w:r w:rsidRPr="00366B48">
        <w:rPr>
          <w:rFonts w:ascii="Times New Roman" w:hAnsi="Times New Roman" w:cs="Times New Roman"/>
          <w:i/>
          <w:iCs/>
        </w:rPr>
        <w:t>Current Drug Metabolism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13</w:t>
      </w:r>
      <w:r w:rsidRPr="00366B48">
        <w:rPr>
          <w:rFonts w:ascii="Times New Roman" w:hAnsi="Times New Roman" w:cs="Times New Roman"/>
        </w:rPr>
        <w:t xml:space="preserve">(6), 744–759. </w:t>
      </w:r>
      <w:hyperlink r:id="rId12" w:history="1">
        <w:r w:rsidRPr="00366B48">
          <w:rPr>
            <w:rStyle w:val="a7"/>
            <w:rFonts w:ascii="Times New Roman" w:hAnsi="Times New Roman" w:cs="Times New Roman"/>
          </w:rPr>
          <w:t>https://doi.org/10.2174/138920012800840365</w:t>
        </w:r>
      </w:hyperlink>
    </w:p>
    <w:p w14:paraId="2B9A8ED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Chiou, W. L., Robbie, G., Chung, S. M., Wu, T. C., &amp; Ma, C. (1998). Correlation of plasma clearance of 54 extensively metabolized drugs between humans and rats: Mean allometric coefficient of 0.66. </w:t>
      </w:r>
      <w:r w:rsidRPr="00366B48">
        <w:rPr>
          <w:rFonts w:ascii="Times New Roman" w:hAnsi="Times New Roman" w:cs="Times New Roman"/>
          <w:i/>
          <w:iCs/>
        </w:rPr>
        <w:t>Pharmaceutical Research</w:t>
      </w:r>
      <w:r w:rsidRPr="00366B48">
        <w:rPr>
          <w:rFonts w:ascii="Times New Roman" w:hAnsi="Times New Roman" w:cs="Times New Roman"/>
        </w:rPr>
        <w:t xml:space="preserve">, Vol. 15, pp. 1474–1479. </w:t>
      </w:r>
      <w:hyperlink r:id="rId13" w:history="1">
        <w:r w:rsidRPr="00366B48">
          <w:rPr>
            <w:rStyle w:val="a7"/>
            <w:rFonts w:ascii="Times New Roman" w:hAnsi="Times New Roman" w:cs="Times New Roman"/>
          </w:rPr>
          <w:t>https://doi.org/10.1023/A:1011974226596</w:t>
        </w:r>
      </w:hyperlink>
    </w:p>
    <w:p w14:paraId="63658C4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Zhang, D. Evaluation of the Allometric Exponents in Prediction of Human Drug Clearance. (2014).Virginia Commonwealth University (VCU Scholars Compass) </w:t>
      </w:r>
      <w:hyperlink r:id="rId14" w:history="1">
        <w:r w:rsidRPr="00366B48">
          <w:rPr>
            <w:rStyle w:val="a7"/>
            <w:rFonts w:ascii="Times New Roman" w:hAnsi="Times New Roman" w:cs="Times New Roman"/>
          </w:rPr>
          <w:t>https://scholarscompass.vcu.edu/etd/3533</w:t>
        </w:r>
      </w:hyperlink>
    </w:p>
    <w:p w14:paraId="49C2EA3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Rodgers, T., &amp; Rowland, M. (2007). Mechanistic approaches to volume of distribution predictions: Understanding the processes. Pharmaceutical Research, 24(5), 918–933. </w:t>
      </w:r>
      <w:hyperlink r:id="rId15" w:history="1">
        <w:r w:rsidRPr="00366B48">
          <w:rPr>
            <w:rStyle w:val="a7"/>
            <w:rFonts w:ascii="Times New Roman" w:hAnsi="Times New Roman" w:cs="Times New Roman"/>
          </w:rPr>
          <w:t>https://doi.org/10.1007/s11095-006-9210-3</w:t>
        </w:r>
      </w:hyperlink>
    </w:p>
    <w:p w14:paraId="55A00DD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Paixão, P., Gouveia, L. F., &amp; Morais, J. A. G. (2010). Prediction of the in vitro intrinsic clearance determined in suspensions of human hepatocytes by using artificial neural networks. </w:t>
      </w:r>
      <w:r w:rsidRPr="00366B48">
        <w:rPr>
          <w:rFonts w:ascii="Times New Roman" w:hAnsi="Times New Roman" w:cs="Times New Roman"/>
          <w:i/>
          <w:iCs/>
        </w:rPr>
        <w:t>European 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(5), 310–321. </w:t>
      </w:r>
      <w:hyperlink r:id="rId16" w:history="1">
        <w:r w:rsidRPr="00366B48">
          <w:rPr>
            <w:rStyle w:val="a7"/>
            <w:rFonts w:ascii="Times New Roman" w:hAnsi="Times New Roman" w:cs="Times New Roman"/>
          </w:rPr>
          <w:t>https://doi.org/10.1016/j.ejps.2009.12.007</w:t>
        </w:r>
      </w:hyperlink>
    </w:p>
    <w:p w14:paraId="783F73A6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Jolivette, L. J., &amp; Ward, K. W. (2005). Extrapolation of human pharmacokinetic parameters from rat, dog, and monkey data: Molecular properties associated with extrapolative success or failure. </w:t>
      </w:r>
      <w:r w:rsidRPr="00366B48">
        <w:rPr>
          <w:rFonts w:ascii="Times New Roman" w:hAnsi="Times New Roman" w:cs="Times New Roman"/>
          <w:i/>
          <w:iCs/>
        </w:rPr>
        <w:t>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94</w:t>
      </w:r>
      <w:r w:rsidRPr="00366B48">
        <w:rPr>
          <w:rFonts w:ascii="Times New Roman" w:hAnsi="Times New Roman" w:cs="Times New Roman"/>
        </w:rPr>
        <w:t xml:space="preserve">(7), 1467–1483. </w:t>
      </w:r>
      <w:hyperlink r:id="rId17" w:history="1">
        <w:r w:rsidRPr="00366B48">
          <w:rPr>
            <w:rStyle w:val="a7"/>
            <w:rFonts w:ascii="Times New Roman" w:hAnsi="Times New Roman" w:cs="Times New Roman"/>
          </w:rPr>
          <w:t>https://doi.org/10.1002/jps.20373</w:t>
        </w:r>
      </w:hyperlink>
    </w:p>
    <w:p w14:paraId="3544AE4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Fleishaker, J. C., Friedman, H., &amp; Pollock, S. R. (1991). Extent and Variability of the First-Pass Elimination of Adinazolam Mesylate in Healthy Male Volunteers. </w:t>
      </w:r>
      <w:r w:rsidRPr="00366B48">
        <w:rPr>
          <w:rFonts w:ascii="Times New Roman" w:hAnsi="Times New Roman" w:cs="Times New Roman"/>
          <w:i/>
          <w:iCs/>
        </w:rPr>
        <w:t>Pharmaceutical Research: An Official Journal of the American Association of Pharmaceutical Scientists</w:t>
      </w:r>
      <w:r w:rsidRPr="00366B48">
        <w:rPr>
          <w:rFonts w:ascii="Times New Roman" w:hAnsi="Times New Roman" w:cs="Times New Roman"/>
        </w:rPr>
        <w:t xml:space="preserve">. , 8(2), 162–167. </w:t>
      </w:r>
      <w:hyperlink r:id="rId18" w:history="1">
        <w:r w:rsidRPr="00366B48">
          <w:rPr>
            <w:rStyle w:val="a7"/>
            <w:rFonts w:ascii="Times New Roman" w:hAnsi="Times New Roman" w:cs="Times New Roman"/>
          </w:rPr>
          <w:t>https://doi.org/10.1023/A:1015875516834</w:t>
        </w:r>
      </w:hyperlink>
    </w:p>
    <w:p w14:paraId="26DDAC56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Paixão, P., Gouveia, L. F., &amp; Morais, J. A. (2009). Prediction of drug distribution within blood. </w:t>
      </w:r>
      <w:r w:rsidRPr="00366B48">
        <w:rPr>
          <w:rFonts w:ascii="Times New Roman" w:hAnsi="Times New Roman" w:cs="Times New Roman"/>
          <w:i/>
          <w:iCs/>
        </w:rPr>
        <w:t>European 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36</w:t>
      </w:r>
      <w:r w:rsidRPr="00366B48">
        <w:rPr>
          <w:rFonts w:ascii="Times New Roman" w:hAnsi="Times New Roman" w:cs="Times New Roman"/>
        </w:rPr>
        <w:t xml:space="preserve">(4–5), 544–554. </w:t>
      </w:r>
      <w:hyperlink r:id="rId19" w:history="1">
        <w:r w:rsidRPr="00366B48">
          <w:rPr>
            <w:rStyle w:val="a7"/>
            <w:rFonts w:ascii="Times New Roman" w:hAnsi="Times New Roman" w:cs="Times New Roman"/>
          </w:rPr>
          <w:t>https://doi.org/10.1016/j.ejps.2008.12.011</w:t>
        </w:r>
      </w:hyperlink>
    </w:p>
    <w:p w14:paraId="212925FA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lastRenderedPageBreak/>
        <w:t xml:space="preserve">Uchimura, T., Kato, M., Saito, T., &amp; Kinoshita, H. (2010). </w:t>
      </w:r>
      <w:r w:rsidRPr="00366B48">
        <w:rPr>
          <w:rFonts w:ascii="Times New Roman" w:hAnsi="Times New Roman" w:cs="Times New Roman"/>
          <w:iCs/>
        </w:rPr>
        <w:t>Prediction of Human Blood-to-Plasma Drug Concentration Ratio</w:t>
      </w:r>
      <w:r w:rsidRPr="00366B48">
        <w:rPr>
          <w:rFonts w:ascii="Times New Roman" w:hAnsi="Times New Roman" w:cs="Times New Roman"/>
        </w:rPr>
        <w:t xml:space="preserve">. BIOPHARMACEUTICS &amp; DRUG DISPOSITION, 31, 286–297. </w:t>
      </w:r>
      <w:hyperlink r:id="rId20" w:history="1">
        <w:r w:rsidRPr="00366B48">
          <w:rPr>
            <w:rStyle w:val="a7"/>
            <w:rFonts w:ascii="Times New Roman" w:hAnsi="Times New Roman" w:cs="Times New Roman"/>
          </w:rPr>
          <w:t>https://doi.org/10.1002/bdd</w:t>
        </w:r>
      </w:hyperlink>
    </w:p>
    <w:p w14:paraId="0DA22DF3" w14:textId="0DF90EB6" w:rsidR="00CF6579" w:rsidRPr="00CF6579" w:rsidRDefault="00D2553C" w:rsidP="002F4659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CF6579">
        <w:rPr>
          <w:rFonts w:ascii="Times New Roman" w:hAnsi="Times New Roman" w:cs="Times New Roman"/>
        </w:rPr>
        <w:t xml:space="preserve">FDA approval package document Lotronex (Alosetron HCL) Company: Glaxo Wellcome Inc. Application No.: 021107 Approval Date: 2/11/2000 Pharmacology Review P25-26 </w:t>
      </w:r>
      <w:r w:rsidR="00CF12D4">
        <w:rPr>
          <w:rFonts w:ascii="Times New Roman" w:hAnsi="Times New Roman" w:cs="Times New Roman"/>
        </w:rPr>
        <w:t xml:space="preserve">; 2020 </w:t>
      </w:r>
      <w:r w:rsidR="002F4659">
        <w:rPr>
          <w:rFonts w:ascii="Times New Roman" w:hAnsi="Times New Roman" w:cs="Times New Roman"/>
        </w:rPr>
        <w:t>S</w:t>
      </w:r>
      <w:r w:rsidR="002F4659" w:rsidRPr="002F4659">
        <w:rPr>
          <w:rFonts w:ascii="Times New Roman" w:hAnsi="Times New Roman" w:cs="Times New Roman"/>
        </w:rPr>
        <w:t>eptember</w:t>
      </w:r>
      <w:r w:rsidR="002F4659">
        <w:rPr>
          <w:rFonts w:ascii="Times New Roman" w:hAnsi="Times New Roman" w:cs="Times New Roman"/>
        </w:rPr>
        <w:t xml:space="preserve"> 6. </w:t>
      </w:r>
      <w:r w:rsidR="007B2AD1">
        <w:rPr>
          <w:rFonts w:ascii="Times New Roman" w:hAnsi="Times New Roman" w:cs="Times New Roman"/>
        </w:rPr>
        <w:t xml:space="preserve">Available from </w:t>
      </w:r>
      <w:hyperlink r:id="rId21" w:history="1">
        <w:r w:rsidRPr="00CF6579">
          <w:rPr>
            <w:rStyle w:val="a7"/>
            <w:rFonts w:ascii="Times New Roman" w:hAnsi="Times New Roman" w:cs="Times New Roman"/>
          </w:rPr>
          <w:t>https://www.accessdata.fda.gov/drugsatfda_docs/nda/2000/21107a_Lotronex_phrmr_P2.pdf</w:t>
        </w:r>
      </w:hyperlink>
      <w:r w:rsidR="00023709" w:rsidRPr="00023709">
        <w:rPr>
          <w:rStyle w:val="a7"/>
          <w:rFonts w:ascii="Times New Roman" w:hAnsi="Times New Roman" w:cs="Times New Roman"/>
          <w:u w:val="none"/>
        </w:rPr>
        <w:t xml:space="preserve"> </w:t>
      </w:r>
      <w:r w:rsidR="00CF6579" w:rsidRPr="00CF6579">
        <w:rPr>
          <w:rFonts w:ascii="Times New Roman" w:hAnsi="Times New Roman" w:cs="Times New Roman" w:hint="eastAsia"/>
        </w:rPr>
        <w:t>[</w:t>
      </w:r>
      <w:r w:rsidR="00CF6579" w:rsidRPr="00CF6579">
        <w:rPr>
          <w:rFonts w:ascii="Times New Roman" w:hAnsi="Times New Roman" w:cs="Times New Roman"/>
        </w:rPr>
        <w:t>Website</w:t>
      </w:r>
      <w:r w:rsidR="00CF6579" w:rsidRPr="00CF6579">
        <w:rPr>
          <w:rFonts w:ascii="Times New Roman" w:hAnsi="Times New Roman" w:cs="Times New Roman" w:hint="eastAsia"/>
        </w:rPr>
        <w:t>]</w:t>
      </w:r>
    </w:p>
    <w:p w14:paraId="75DE653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Kato, M., Shitara, Y., Sato, H., Yoshisue, K., Hirano, M., Ikeda, T., &amp; Sugiyama, Y. (2008). The quantitative prediction of CYP-mediated drug interaction by physiologically based pharmacokinetic modeling. </w:t>
      </w:r>
      <w:r w:rsidRPr="00366B48">
        <w:rPr>
          <w:rFonts w:ascii="Times New Roman" w:hAnsi="Times New Roman" w:cs="Times New Roman"/>
          <w:i/>
          <w:iCs/>
        </w:rPr>
        <w:t>Pharmaceutical Research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25</w:t>
      </w:r>
      <w:r w:rsidRPr="00366B48">
        <w:rPr>
          <w:rFonts w:ascii="Times New Roman" w:hAnsi="Times New Roman" w:cs="Times New Roman"/>
        </w:rPr>
        <w:t xml:space="preserve">(8), 1891–1901. </w:t>
      </w:r>
      <w:hyperlink r:id="rId22" w:history="1">
        <w:r w:rsidRPr="00366B48">
          <w:rPr>
            <w:rStyle w:val="a7"/>
            <w:rFonts w:ascii="Times New Roman" w:hAnsi="Times New Roman" w:cs="Times New Roman"/>
          </w:rPr>
          <w:t>https://doi.org/10.1007/s11095-008-9607-2</w:t>
        </w:r>
      </w:hyperlink>
    </w:p>
    <w:p w14:paraId="6FDEDD4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Berry, L. M., Li, C., &amp; Zhao, Z. (2011). Species Differences in Distribution and Prediction of Human Vss from Preclinical Data.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(11), 2103 – 2116. </w:t>
      </w:r>
      <w:hyperlink r:id="rId23" w:history="1">
        <w:r w:rsidRPr="00366B48">
          <w:rPr>
            <w:rStyle w:val="a7"/>
            <w:rFonts w:ascii="Times New Roman" w:hAnsi="Times New Roman" w:cs="Times New Roman"/>
          </w:rPr>
          <w:t>https://doi.org/10.1124/dmd.111.040766.for</w:t>
        </w:r>
      </w:hyperlink>
    </w:p>
    <w:p w14:paraId="53DCD4D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Akabane, T., Tabata, K., Kadono, K., Sakuda, S., Terashita, S., &amp; Teramura, T. (2010). A Comparison of Pharmacokinetics between Humans and Monkeys.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38</w:t>
      </w:r>
      <w:r w:rsidRPr="00366B48">
        <w:rPr>
          <w:rFonts w:ascii="Times New Roman" w:hAnsi="Times New Roman" w:cs="Times New Roman"/>
        </w:rPr>
        <w:t xml:space="preserve">(2), 308–316. </w:t>
      </w:r>
      <w:hyperlink r:id="rId24" w:history="1">
        <w:r w:rsidRPr="00366B48">
          <w:rPr>
            <w:rStyle w:val="a7"/>
            <w:rFonts w:ascii="Times New Roman" w:hAnsi="Times New Roman" w:cs="Times New Roman"/>
          </w:rPr>
          <w:t>https://doi.org/10.1124/dmd.109.028829.Fagerholm</w:t>
        </w:r>
      </w:hyperlink>
    </w:p>
    <w:p w14:paraId="59DD743F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Small, H., Gardner, I., Jones, H. M., Davis, J., &amp; Rowland, M. (2011). Measurement of binding of basic drugs to acidic phospholipids using surface plasmon resonance and incorporation of the data into mechanistic tissue composition equations to predict steady-state volume of distribution.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(10), 1789–1793. </w:t>
      </w:r>
      <w:hyperlink r:id="rId25" w:history="1">
        <w:r w:rsidRPr="00366B48">
          <w:rPr>
            <w:rStyle w:val="a7"/>
            <w:rFonts w:ascii="Times New Roman" w:hAnsi="Times New Roman" w:cs="Times New Roman"/>
          </w:rPr>
          <w:t>https://doi.org/10.1124/dmd.111.040253</w:t>
        </w:r>
      </w:hyperlink>
    </w:p>
    <w:p w14:paraId="1FC18DAC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Miyamoto, M., Iwasaki, S., Chisaki, I., Nakagawa, S., Amano, N., &amp; Hirabayashi, H. (2017). Comparison of predictability for human pharmacokinetics parameters among monkeys, rats, and chimeric mice with humanised liver. </w:t>
      </w:r>
      <w:r w:rsidRPr="00366B48">
        <w:rPr>
          <w:rFonts w:ascii="Times New Roman" w:hAnsi="Times New Roman" w:cs="Times New Roman"/>
          <w:i/>
          <w:iCs/>
        </w:rPr>
        <w:t>Xenobiotica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47</w:t>
      </w:r>
      <w:r w:rsidRPr="00366B48">
        <w:rPr>
          <w:rFonts w:ascii="Times New Roman" w:hAnsi="Times New Roman" w:cs="Times New Roman"/>
        </w:rPr>
        <w:t xml:space="preserve">(12), 1052–1063. </w:t>
      </w:r>
      <w:hyperlink r:id="rId26" w:history="1">
        <w:r w:rsidRPr="00366B48">
          <w:rPr>
            <w:rStyle w:val="a7"/>
            <w:rFonts w:ascii="Times New Roman" w:hAnsi="Times New Roman" w:cs="Times New Roman"/>
          </w:rPr>
          <w:t>https://doi.org/10.1080/00498254.2016.1265160</w:t>
        </w:r>
      </w:hyperlink>
    </w:p>
    <w:p w14:paraId="5F64D1D4" w14:textId="38248DB1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Entocort (Budesonide Capsules) Company:  AstraZeneca LP Application No.:  21-324 Approval Date: 10/2/2001 Pharmacology Review(s) P24 </w:t>
      </w:r>
      <w:r w:rsidR="00326A84">
        <w:rPr>
          <w:rFonts w:ascii="Times New Roman" w:hAnsi="Times New Roman" w:cs="Times New Roman"/>
        </w:rPr>
        <w:t>; 2020 S</w:t>
      </w:r>
      <w:r w:rsidR="00326A84" w:rsidRPr="002F4659">
        <w:rPr>
          <w:rFonts w:ascii="Times New Roman" w:hAnsi="Times New Roman" w:cs="Times New Roman"/>
        </w:rPr>
        <w:t>eptember</w:t>
      </w:r>
      <w:r w:rsidR="00326A84">
        <w:rPr>
          <w:rFonts w:ascii="Times New Roman" w:hAnsi="Times New Roman" w:cs="Times New Roman"/>
        </w:rPr>
        <w:t xml:space="preserve"> 6. Available from</w:t>
      </w:r>
      <w:r w:rsidR="00326A84">
        <w:rPr>
          <w:rStyle w:val="a7"/>
          <w:rFonts w:ascii="Times New Roman" w:hAnsi="Times New Roman" w:cs="Times New Roman"/>
        </w:rPr>
        <w:t xml:space="preserve"> </w:t>
      </w:r>
      <w:hyperlink r:id="rId27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https://www.accessdata.fda.gov/drugsatfda_docs/nda/2001/21-324_Entocort_pharmr.pdf</w:t>
        </w:r>
      </w:hyperlink>
      <w:r w:rsidR="003E5AF9" w:rsidRPr="003E5AF9">
        <w:rPr>
          <w:rStyle w:val="a7"/>
          <w:rFonts w:ascii="Times New Roman" w:hAnsi="Times New Roman" w:cs="Times New Roman"/>
          <w:u w:val="none"/>
        </w:rPr>
        <w:t xml:space="preserve"> </w:t>
      </w:r>
      <w:r w:rsidR="003E5AF9" w:rsidRPr="00CF6579">
        <w:rPr>
          <w:rFonts w:ascii="Times New Roman" w:hAnsi="Times New Roman" w:cs="Times New Roman" w:hint="eastAsia"/>
        </w:rPr>
        <w:t>[</w:t>
      </w:r>
      <w:r w:rsidR="003E5AF9" w:rsidRPr="00CF6579">
        <w:rPr>
          <w:rFonts w:ascii="Times New Roman" w:hAnsi="Times New Roman" w:cs="Times New Roman"/>
        </w:rPr>
        <w:t>Website</w:t>
      </w:r>
      <w:r w:rsidR="003E5AF9" w:rsidRPr="00CF6579">
        <w:rPr>
          <w:rFonts w:ascii="Times New Roman" w:hAnsi="Times New Roman" w:cs="Times New Roman" w:hint="eastAsia"/>
        </w:rPr>
        <w:t>]</w:t>
      </w:r>
    </w:p>
    <w:p w14:paraId="39D2A3C2" w14:textId="291F6783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EMEA Cancidas (previously Caspofungin MSD) Assessment history Cancidas : EPAR - Scientific Discussion 2005 P10 </w:t>
      </w:r>
      <w:r w:rsidR="004600C5">
        <w:rPr>
          <w:rFonts w:ascii="Times New Roman" w:hAnsi="Times New Roman" w:cs="Times New Roman"/>
        </w:rPr>
        <w:t>; 2020 S</w:t>
      </w:r>
      <w:r w:rsidR="004600C5" w:rsidRPr="002F4659">
        <w:rPr>
          <w:rFonts w:ascii="Times New Roman" w:hAnsi="Times New Roman" w:cs="Times New Roman"/>
        </w:rPr>
        <w:t>eptember</w:t>
      </w:r>
      <w:r w:rsidR="004600C5">
        <w:rPr>
          <w:rFonts w:ascii="Times New Roman" w:hAnsi="Times New Roman" w:cs="Times New Roman"/>
        </w:rPr>
        <w:t xml:space="preserve"> 6. Available from</w:t>
      </w:r>
      <w:r w:rsidR="004600C5">
        <w:rPr>
          <w:rStyle w:val="a7"/>
          <w:rFonts w:ascii="Times New Roman" w:hAnsi="Times New Roman" w:cs="Times New Roman"/>
        </w:rPr>
        <w:t xml:space="preserve"> </w:t>
      </w:r>
      <w:hyperlink r:id="rId28" w:history="1">
        <w:r w:rsidRPr="00366B48">
          <w:rPr>
            <w:rStyle w:val="a7"/>
            <w:rFonts w:ascii="Times New Roman" w:hAnsi="Times New Roman" w:cs="Times New Roman"/>
          </w:rPr>
          <w:t>https://www.ema.europa.eu/en/documents/scientific-discussion/cancidas-epar-scientific-discussion_en.pdf</w:t>
        </w:r>
      </w:hyperlink>
      <w:r w:rsidR="00810027" w:rsidRPr="00810027">
        <w:rPr>
          <w:rStyle w:val="a7"/>
          <w:rFonts w:ascii="Times New Roman" w:hAnsi="Times New Roman" w:cs="Times New Roman"/>
          <w:u w:val="none"/>
        </w:rPr>
        <w:t xml:space="preserve"> </w:t>
      </w:r>
      <w:r w:rsidR="00810027" w:rsidRPr="00CF6579">
        <w:rPr>
          <w:rFonts w:ascii="Times New Roman" w:hAnsi="Times New Roman" w:cs="Times New Roman" w:hint="eastAsia"/>
        </w:rPr>
        <w:t>[</w:t>
      </w:r>
      <w:r w:rsidR="00810027" w:rsidRPr="00CF6579">
        <w:rPr>
          <w:rFonts w:ascii="Times New Roman" w:hAnsi="Times New Roman" w:cs="Times New Roman"/>
        </w:rPr>
        <w:t>Website</w:t>
      </w:r>
      <w:r w:rsidR="00810027" w:rsidRPr="00CF6579">
        <w:rPr>
          <w:rFonts w:ascii="Times New Roman" w:hAnsi="Times New Roman" w:cs="Times New Roman" w:hint="eastAsia"/>
        </w:rPr>
        <w:t>]</w:t>
      </w:r>
    </w:p>
    <w:p w14:paraId="60E118F9" w14:textId="51975169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EMEA Doribax Public assessment report P18 </w:t>
      </w:r>
      <w:r w:rsidR="000F5DA6">
        <w:rPr>
          <w:rFonts w:ascii="Times New Roman" w:hAnsi="Times New Roman" w:cs="Times New Roman"/>
        </w:rPr>
        <w:t>; 2020 S</w:t>
      </w:r>
      <w:r w:rsidR="000F5DA6" w:rsidRPr="002F4659">
        <w:rPr>
          <w:rFonts w:ascii="Times New Roman" w:hAnsi="Times New Roman" w:cs="Times New Roman"/>
        </w:rPr>
        <w:t>eptember</w:t>
      </w:r>
      <w:r w:rsidR="000F5DA6">
        <w:rPr>
          <w:rFonts w:ascii="Times New Roman" w:hAnsi="Times New Roman" w:cs="Times New Roman"/>
        </w:rPr>
        <w:t xml:space="preserve"> 6. Available from</w:t>
      </w:r>
      <w:r w:rsidR="000F5DA6">
        <w:rPr>
          <w:rStyle w:val="a7"/>
          <w:rFonts w:ascii="Times New Roman" w:hAnsi="Times New Roman" w:cs="Times New Roman"/>
        </w:rPr>
        <w:t xml:space="preserve"> </w:t>
      </w:r>
      <w:hyperlink r:id="rId29" w:history="1">
        <w:r w:rsidRPr="00366B48">
          <w:rPr>
            <w:rStyle w:val="a7"/>
            <w:rFonts w:ascii="Times New Roman" w:hAnsi="Times New Roman" w:cs="Times New Roman"/>
          </w:rPr>
          <w:t>https://www.ema.europa.eu/en/documents/assessment-report/doribax-epar-public-assessment-report_en.pdf</w:t>
        </w:r>
      </w:hyperlink>
      <w:r w:rsidR="000F5DA6" w:rsidRPr="000F5DA6">
        <w:rPr>
          <w:rStyle w:val="a7"/>
          <w:rFonts w:ascii="Times New Roman" w:hAnsi="Times New Roman" w:cs="Times New Roman"/>
          <w:u w:val="none"/>
        </w:rPr>
        <w:t xml:space="preserve"> </w:t>
      </w:r>
      <w:r w:rsidR="000F5DA6" w:rsidRPr="00CF6579">
        <w:rPr>
          <w:rFonts w:ascii="Times New Roman" w:hAnsi="Times New Roman" w:cs="Times New Roman" w:hint="eastAsia"/>
        </w:rPr>
        <w:t>[</w:t>
      </w:r>
      <w:r w:rsidR="000F5DA6" w:rsidRPr="00CF6579">
        <w:rPr>
          <w:rFonts w:ascii="Times New Roman" w:hAnsi="Times New Roman" w:cs="Times New Roman"/>
        </w:rPr>
        <w:t>Website</w:t>
      </w:r>
      <w:r w:rsidR="000F5DA6" w:rsidRPr="00CF6579">
        <w:rPr>
          <w:rFonts w:ascii="Times New Roman" w:hAnsi="Times New Roman" w:cs="Times New Roman" w:hint="eastAsia"/>
        </w:rPr>
        <w:t>]</w:t>
      </w:r>
    </w:p>
    <w:p w14:paraId="3687FDF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Watanabe, T., Kusuhara, H., Watanabe, T., Debori, Y., Maeda, K., Kondo, T., Nakayama H, Horita S, Ogilvie BW, Parkinson A, Hu Z, Sugiyama Y. (2011). Prediction of the overall renal tubular secretion and hepatic clearance of anionic drugs and a renal drug-drug interaction involving organic anion transporter 3 in humans by in vitro uptake experiments.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(6), 1031–1038. </w:t>
      </w:r>
      <w:hyperlink r:id="rId30" w:history="1">
        <w:r w:rsidRPr="00366B48">
          <w:rPr>
            <w:rStyle w:val="a7"/>
            <w:rFonts w:ascii="Times New Roman" w:hAnsi="Times New Roman" w:cs="Times New Roman"/>
          </w:rPr>
          <w:t>https://doi.org/10.1124/dmd.110.036129</w:t>
        </w:r>
      </w:hyperlink>
    </w:p>
    <w:p w14:paraId="1A25FF9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Naritomi, Y., Terashita, S., Kimura, S., Suzuki, A., Kagayama, A., &amp; Sugiyama, Y.   (2001). Prediction of human hepatic clearance from in vivo animal experiments and in vitro metabolic studies with liver microsomes from animals and humans.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29</w:t>
      </w:r>
      <w:r w:rsidRPr="00366B48">
        <w:rPr>
          <w:rFonts w:ascii="Times New Roman" w:hAnsi="Times New Roman" w:cs="Times New Roman"/>
        </w:rPr>
        <w:t>(10), 1316–1324.</w:t>
      </w:r>
    </w:p>
    <w:p w14:paraId="3EC9F83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Deguchi, T, Watanabe, N, Kurihara, A, Igeta, K, Ikenaga, H, Fusegawa, K, Suzuki, N, Murata, S, Hirouchi, M, Furuta, Y, Iwasaki, M, Okazaki, O, Izumi, T. (2011). Human pharmacokinetic prediction of UDP-glucuronosyltransferase substrates with an animal scale-up approach.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(5), 820–829. </w:t>
      </w:r>
      <w:hyperlink r:id="rId31" w:history="1">
        <w:r w:rsidRPr="00366B48">
          <w:rPr>
            <w:rStyle w:val="a7"/>
            <w:rFonts w:ascii="Times New Roman" w:hAnsi="Times New Roman" w:cs="Times New Roman"/>
          </w:rPr>
          <w:t>https://doi.org/10.1124/dmd.110.037457</w:t>
        </w:r>
      </w:hyperlink>
    </w:p>
    <w:p w14:paraId="6543A1E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Iwatsubo, T., Hirota, N., Ooie, T., Suzuki, H., Shimada, N., Chiba, K., Ishizaki T, Green CE, Tyson CA, Sugiyama Y. (1997). Prediction of in vivo drug metabolism in the human liver from in vitro metabolism data. </w:t>
      </w:r>
      <w:r w:rsidRPr="00366B48">
        <w:rPr>
          <w:rFonts w:ascii="Times New Roman" w:hAnsi="Times New Roman" w:cs="Times New Roman"/>
          <w:i/>
          <w:iCs/>
        </w:rPr>
        <w:t>Pharmacology and Therapeutics</w:t>
      </w:r>
      <w:r w:rsidRPr="00366B48">
        <w:rPr>
          <w:rFonts w:ascii="Times New Roman" w:hAnsi="Times New Roman" w:cs="Times New Roman"/>
        </w:rPr>
        <w:t xml:space="preserve">. </w:t>
      </w:r>
      <w:r w:rsidRPr="00366B48">
        <w:rPr>
          <w:rFonts w:ascii="Times New Roman" w:hAnsi="Times New Roman" w:cs="Times New Roman"/>
          <w:i/>
          <w:iCs/>
        </w:rPr>
        <w:t>73</w:t>
      </w:r>
      <w:r w:rsidRPr="00366B48">
        <w:rPr>
          <w:rFonts w:ascii="Times New Roman" w:hAnsi="Times New Roman" w:cs="Times New Roman"/>
        </w:rPr>
        <w:t>(2), 147–171</w:t>
      </w:r>
      <w:hyperlink r:id="rId32" w:history="1">
        <w:r w:rsidRPr="00366B48">
          <w:rPr>
            <w:rStyle w:val="a7"/>
            <w:rFonts w:ascii="Times New Roman" w:hAnsi="Times New Roman" w:cs="Times New Roman"/>
          </w:rPr>
          <w:t>https://doi.org/10.1016/S0163-7258(96)00184-2</w:t>
        </w:r>
      </w:hyperlink>
    </w:p>
    <w:p w14:paraId="6EA711E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Brown, H. S., Griffin, M., &amp; Houston, J. B. (2007). Evaluation of cryopreserved human hepatocytes as an alternative in vitro system to microsomes for the prediction of metabolic clearance.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35</w:t>
      </w:r>
      <w:r w:rsidRPr="00366B48">
        <w:rPr>
          <w:rFonts w:ascii="Times New Roman" w:hAnsi="Times New Roman" w:cs="Times New Roman"/>
        </w:rPr>
        <w:t xml:space="preserve">(2), 293–301. </w:t>
      </w:r>
      <w:hyperlink r:id="rId33" w:history="1">
        <w:r w:rsidRPr="00366B48">
          <w:rPr>
            <w:rStyle w:val="a7"/>
            <w:rFonts w:ascii="Times New Roman" w:hAnsi="Times New Roman" w:cs="Times New Roman"/>
          </w:rPr>
          <w:t>https://doi.org/10.1124/dmd.106.011569</w:t>
        </w:r>
      </w:hyperlink>
    </w:p>
    <w:p w14:paraId="1A66B5D8" w14:textId="12E5721C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Clinical Pharmacology and Biopharmaceutics Review NDA 205625 Fluticasone furoate P22 </w:t>
      </w:r>
      <w:r w:rsidR="000356D9">
        <w:rPr>
          <w:rFonts w:ascii="Times New Roman" w:hAnsi="Times New Roman" w:cs="Times New Roman"/>
        </w:rPr>
        <w:t>; 2020 S</w:t>
      </w:r>
      <w:r w:rsidR="000356D9" w:rsidRPr="002F4659">
        <w:rPr>
          <w:rFonts w:ascii="Times New Roman" w:hAnsi="Times New Roman" w:cs="Times New Roman"/>
        </w:rPr>
        <w:t>eptember</w:t>
      </w:r>
      <w:r w:rsidR="000356D9">
        <w:rPr>
          <w:rFonts w:ascii="Times New Roman" w:hAnsi="Times New Roman" w:cs="Times New Roman"/>
        </w:rPr>
        <w:t xml:space="preserve"> 6. Available from</w:t>
      </w:r>
      <w:r w:rsidR="000356D9">
        <w:rPr>
          <w:rStyle w:val="a7"/>
          <w:rFonts w:ascii="Times New Roman" w:hAnsi="Times New Roman" w:cs="Times New Roman"/>
        </w:rPr>
        <w:t xml:space="preserve"> </w:t>
      </w:r>
      <w:hyperlink r:id="rId34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https://www.accessdata.fda.gov/drugsatfda_docs/nda/2014/205625Orig1s000ClinPharmR.pdf</w:t>
        </w:r>
      </w:hyperlink>
      <w:r w:rsidR="00701CD8" w:rsidRPr="00701CD8">
        <w:rPr>
          <w:rStyle w:val="a7"/>
          <w:rFonts w:ascii="Times New Roman" w:hAnsi="Times New Roman" w:cs="Times New Roman"/>
          <w:u w:val="none"/>
        </w:rPr>
        <w:t xml:space="preserve"> </w:t>
      </w:r>
      <w:r w:rsidR="00701CD8" w:rsidRPr="00CF6579">
        <w:rPr>
          <w:rFonts w:ascii="Times New Roman" w:hAnsi="Times New Roman" w:cs="Times New Roman" w:hint="eastAsia"/>
        </w:rPr>
        <w:t>[</w:t>
      </w:r>
      <w:r w:rsidR="00701CD8" w:rsidRPr="00CF6579">
        <w:rPr>
          <w:rFonts w:ascii="Times New Roman" w:hAnsi="Times New Roman" w:cs="Times New Roman"/>
        </w:rPr>
        <w:t>Website</w:t>
      </w:r>
      <w:r w:rsidR="00701CD8" w:rsidRPr="00CF6579">
        <w:rPr>
          <w:rFonts w:ascii="Times New Roman" w:hAnsi="Times New Roman" w:cs="Times New Roman" w:hint="eastAsia"/>
        </w:rPr>
        <w:t>]</w:t>
      </w:r>
    </w:p>
    <w:p w14:paraId="715ADABC" w14:textId="382AC2F6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Frova (Frovatriptan) Tablets Company:  Elan Pharmaceuticals Application No.:  21-006 Approval Date: 11/8/01 Clinical Pharmacology Biopharmaceutics Review(s) P7 </w:t>
      </w:r>
      <w:r w:rsidR="00701CD8">
        <w:rPr>
          <w:rFonts w:ascii="Times New Roman" w:hAnsi="Times New Roman" w:cs="Times New Roman"/>
        </w:rPr>
        <w:t xml:space="preserve">; </w:t>
      </w:r>
      <w:r w:rsidR="00131B59">
        <w:rPr>
          <w:rFonts w:ascii="Times New Roman" w:hAnsi="Times New Roman" w:cs="Times New Roman"/>
        </w:rPr>
        <w:t>2020 S</w:t>
      </w:r>
      <w:r w:rsidR="00131B59" w:rsidRPr="002F4659">
        <w:rPr>
          <w:rFonts w:ascii="Times New Roman" w:hAnsi="Times New Roman" w:cs="Times New Roman"/>
        </w:rPr>
        <w:t>eptember</w:t>
      </w:r>
      <w:r w:rsidR="00131B59">
        <w:rPr>
          <w:rFonts w:ascii="Times New Roman" w:hAnsi="Times New Roman" w:cs="Times New Roman"/>
        </w:rPr>
        <w:t xml:space="preserve"> 6. Available from</w:t>
      </w:r>
      <w:r w:rsidR="00701CD8">
        <w:rPr>
          <w:rFonts w:ascii="Times New Roman" w:hAnsi="Times New Roman" w:cs="Times New Roman"/>
        </w:rPr>
        <w:t xml:space="preserve"> </w:t>
      </w:r>
      <w:hyperlink r:id="rId35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https://www.accessdata.fda.gov/drugsatfda_docs/nda/2001/21-006_Frova_biopharmr.pdf</w:t>
        </w:r>
      </w:hyperlink>
      <w:r w:rsidR="00701CD8" w:rsidRPr="00701CD8">
        <w:rPr>
          <w:rStyle w:val="a7"/>
          <w:rFonts w:ascii="Times New Roman" w:hAnsi="Times New Roman" w:cs="Times New Roman"/>
          <w:u w:val="none"/>
        </w:rPr>
        <w:t xml:space="preserve"> </w:t>
      </w:r>
      <w:r w:rsidR="00701CD8" w:rsidRPr="00CF6579">
        <w:rPr>
          <w:rFonts w:ascii="Times New Roman" w:hAnsi="Times New Roman" w:cs="Times New Roman" w:hint="eastAsia"/>
        </w:rPr>
        <w:t>[</w:t>
      </w:r>
      <w:r w:rsidR="00701CD8" w:rsidRPr="00CF6579">
        <w:rPr>
          <w:rFonts w:ascii="Times New Roman" w:hAnsi="Times New Roman" w:cs="Times New Roman"/>
        </w:rPr>
        <w:t>Website</w:t>
      </w:r>
      <w:r w:rsidR="00701CD8" w:rsidRPr="00CF6579">
        <w:rPr>
          <w:rFonts w:ascii="Times New Roman" w:hAnsi="Times New Roman" w:cs="Times New Roman" w:hint="eastAsia"/>
        </w:rPr>
        <w:t>]</w:t>
      </w:r>
    </w:p>
    <w:p w14:paraId="4586522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Sohlenius-Sternbeck, A. K., Afzelius, L., Prusis, P., Neelissen, J., Hoogstraate, J., Johansson, J., Floby, E, Bengtsson, A, Gissberg, O, Sternbeck, J, Petersson, C. (2010). Evaluation of the human prediction of clearance from hepatocyte and microsome intrinsic clearance for 52 drug compounds. </w:t>
      </w:r>
      <w:r w:rsidRPr="00366B48">
        <w:rPr>
          <w:rFonts w:ascii="Times New Roman" w:hAnsi="Times New Roman" w:cs="Times New Roman"/>
          <w:i/>
          <w:iCs/>
        </w:rPr>
        <w:t>Xenobiotica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40</w:t>
      </w:r>
      <w:r w:rsidRPr="00366B48">
        <w:rPr>
          <w:rFonts w:ascii="Times New Roman" w:hAnsi="Times New Roman" w:cs="Times New Roman"/>
        </w:rPr>
        <w:t xml:space="preserve">(9), 637–649. </w:t>
      </w:r>
      <w:hyperlink r:id="rId36" w:history="1">
        <w:r w:rsidRPr="00366B48">
          <w:rPr>
            <w:rStyle w:val="a7"/>
            <w:rFonts w:ascii="Times New Roman" w:hAnsi="Times New Roman" w:cs="Times New Roman"/>
          </w:rPr>
          <w:t>https://doi.org/10.3109/00498254.2010.500407</w:t>
        </w:r>
      </w:hyperlink>
    </w:p>
    <w:p w14:paraId="4D09DBA9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Walker, D. K., Abel, S., Comby, P., Muirhead, G. J., Nedderman, A. N. R., &amp; Smith, D. A (2005). Species differences in the disposition of the CCR5 antagonist, UK-427,857, a new potential treatment for HIV.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33</w:t>
      </w:r>
      <w:r w:rsidRPr="00366B48">
        <w:rPr>
          <w:rFonts w:ascii="Times New Roman" w:hAnsi="Times New Roman" w:cs="Times New Roman"/>
        </w:rPr>
        <w:t xml:space="preserve">(4), 587–595. </w:t>
      </w:r>
      <w:hyperlink r:id="rId37" w:history="1">
        <w:r w:rsidRPr="00366B48">
          <w:rPr>
            <w:rStyle w:val="a7"/>
            <w:rFonts w:ascii="Times New Roman" w:hAnsi="Times New Roman" w:cs="Times New Roman"/>
          </w:rPr>
          <w:t>https://doi.org/10.1124/dmd.104.002626</w:t>
        </w:r>
      </w:hyperlink>
    </w:p>
    <w:p w14:paraId="0E3CBF29" w14:textId="43D31648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Selzentry (maraviroc) 150 mg, and 300 mg tablets Company: Pfizer, Inc. NDA: 022128 Approval Date: 8/6/2007 Clinical Pharmacology Biopharmaceutics Review(s) </w:t>
      </w:r>
      <w:r w:rsidR="00131B59">
        <w:rPr>
          <w:rFonts w:ascii="Times New Roman" w:hAnsi="Times New Roman" w:cs="Times New Roman"/>
        </w:rPr>
        <w:t>; 2020 S</w:t>
      </w:r>
      <w:r w:rsidR="00131B59" w:rsidRPr="002F4659">
        <w:rPr>
          <w:rFonts w:ascii="Times New Roman" w:hAnsi="Times New Roman" w:cs="Times New Roman"/>
        </w:rPr>
        <w:t>eptember</w:t>
      </w:r>
      <w:r w:rsidR="00131B59">
        <w:rPr>
          <w:rFonts w:ascii="Times New Roman" w:hAnsi="Times New Roman" w:cs="Times New Roman"/>
        </w:rPr>
        <w:t xml:space="preserve"> 6. Available from</w:t>
      </w:r>
      <w:r w:rsidR="00131B59">
        <w:rPr>
          <w:rStyle w:val="a7"/>
          <w:rFonts w:ascii="Times New Roman" w:hAnsi="Times New Roman" w:cs="Times New Roman"/>
        </w:rPr>
        <w:t xml:space="preserve"> </w:t>
      </w:r>
      <w:hyperlink r:id="rId38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https://www.accessdata.fda.gov/drugsatfda_docs/nda/2007/022128s000_ClinPharmR.pdf</w:t>
        </w:r>
      </w:hyperlink>
      <w:r w:rsidR="002348D6" w:rsidRPr="002348D6">
        <w:rPr>
          <w:rStyle w:val="a7"/>
          <w:rFonts w:ascii="Times New Roman" w:hAnsi="Times New Roman" w:cs="Times New Roman"/>
          <w:u w:val="none"/>
        </w:rPr>
        <w:t xml:space="preserve"> </w:t>
      </w:r>
      <w:r w:rsidR="002348D6" w:rsidRPr="00CF6579">
        <w:rPr>
          <w:rFonts w:ascii="Times New Roman" w:hAnsi="Times New Roman" w:cs="Times New Roman" w:hint="eastAsia"/>
        </w:rPr>
        <w:t>[</w:t>
      </w:r>
      <w:r w:rsidR="002348D6" w:rsidRPr="00CF6579">
        <w:rPr>
          <w:rFonts w:ascii="Times New Roman" w:hAnsi="Times New Roman" w:cs="Times New Roman"/>
        </w:rPr>
        <w:t>Website</w:t>
      </w:r>
      <w:r w:rsidR="002348D6" w:rsidRPr="00CF6579">
        <w:rPr>
          <w:rFonts w:ascii="Times New Roman" w:hAnsi="Times New Roman" w:cs="Times New Roman" w:hint="eastAsia"/>
        </w:rPr>
        <w:t>]</w:t>
      </w:r>
    </w:p>
    <w:p w14:paraId="4B7E366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>Moffat, Anthony C; Osselton, M David; Widdop, Brian; Watts, Jo Clarke's Analysis of Drugs and Poisons Fourth edition p1709</w:t>
      </w:r>
    </w:p>
    <w:p w14:paraId="43FAC5B8" w14:textId="132CDC5B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Exelon (Rivastigmine Tartrate) Capsules Company:  Novartis Pharmaceuticals Corporation Application No.:  20-823 Approval Date: 4/21/2000 Clinical Pharmacology Biopharmaceutics Review(s) P8 </w:t>
      </w:r>
      <w:r w:rsidR="0017736A">
        <w:rPr>
          <w:rFonts w:ascii="Times New Roman" w:hAnsi="Times New Roman" w:cs="Times New Roman"/>
        </w:rPr>
        <w:t>; 2020 S</w:t>
      </w:r>
      <w:r w:rsidR="0017736A" w:rsidRPr="002F4659">
        <w:rPr>
          <w:rFonts w:ascii="Times New Roman" w:hAnsi="Times New Roman" w:cs="Times New Roman"/>
        </w:rPr>
        <w:t>eptember</w:t>
      </w:r>
      <w:r w:rsidR="0017736A">
        <w:rPr>
          <w:rFonts w:ascii="Times New Roman" w:hAnsi="Times New Roman" w:cs="Times New Roman"/>
        </w:rPr>
        <w:t xml:space="preserve"> 6. Available from</w:t>
      </w:r>
      <w:r w:rsidR="0017736A">
        <w:rPr>
          <w:rStyle w:val="a7"/>
          <w:rFonts w:ascii="Times New Roman" w:hAnsi="Times New Roman" w:cs="Times New Roman"/>
        </w:rPr>
        <w:t xml:space="preserve"> </w:t>
      </w:r>
      <w:hyperlink r:id="rId39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https://www.accessdata.fda.gov/drugsatfda_docs/nda/2000/20823_Exelon_biopharmr.pdf</w:t>
        </w:r>
      </w:hyperlink>
      <w:r w:rsidR="0000365D" w:rsidRPr="0000365D">
        <w:rPr>
          <w:rStyle w:val="a7"/>
          <w:rFonts w:ascii="Times New Roman" w:hAnsi="Times New Roman" w:cs="Times New Roman"/>
          <w:u w:val="none"/>
        </w:rPr>
        <w:t xml:space="preserve"> </w:t>
      </w:r>
      <w:r w:rsidR="0000365D" w:rsidRPr="00CF6579">
        <w:rPr>
          <w:rFonts w:ascii="Times New Roman" w:hAnsi="Times New Roman" w:cs="Times New Roman" w:hint="eastAsia"/>
        </w:rPr>
        <w:t>[</w:t>
      </w:r>
      <w:r w:rsidR="0000365D" w:rsidRPr="00CF6579">
        <w:rPr>
          <w:rFonts w:ascii="Times New Roman" w:hAnsi="Times New Roman" w:cs="Times New Roman"/>
        </w:rPr>
        <w:t>Website</w:t>
      </w:r>
      <w:r w:rsidR="0000365D" w:rsidRPr="00CF6579">
        <w:rPr>
          <w:rFonts w:ascii="Times New Roman" w:hAnsi="Times New Roman" w:cs="Times New Roman" w:hint="eastAsia"/>
        </w:rPr>
        <w:t>]</w:t>
      </w:r>
    </w:p>
    <w:p w14:paraId="068000AF" w14:textId="03D5F6B4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Avandia (Rosiglitazone Maleate) Tablets Company:  SmithKline Beecham Pharmaceuticals Application No.:  21-071 Approval Date: 5/25/1999 Clinical Pharmacology Biopharmaceutics Review(s) P177 </w:t>
      </w:r>
      <w:r w:rsidR="0098461D">
        <w:rPr>
          <w:rFonts w:ascii="Times New Roman" w:hAnsi="Times New Roman" w:cs="Times New Roman"/>
        </w:rPr>
        <w:t>; 2020 S</w:t>
      </w:r>
      <w:r w:rsidR="0098461D" w:rsidRPr="002F4659">
        <w:rPr>
          <w:rFonts w:ascii="Times New Roman" w:hAnsi="Times New Roman" w:cs="Times New Roman"/>
        </w:rPr>
        <w:t>eptember</w:t>
      </w:r>
      <w:r w:rsidR="0098461D">
        <w:rPr>
          <w:rFonts w:ascii="Times New Roman" w:hAnsi="Times New Roman" w:cs="Times New Roman"/>
        </w:rPr>
        <w:t xml:space="preserve"> 6. Available from</w:t>
      </w:r>
      <w:r w:rsidR="0098461D">
        <w:rPr>
          <w:rStyle w:val="a7"/>
          <w:rFonts w:ascii="Times New Roman" w:hAnsi="Times New Roman" w:cs="Times New Roman"/>
        </w:rPr>
        <w:t xml:space="preserve"> </w:t>
      </w:r>
      <w:hyperlink r:id="rId40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https://www.accessdata.fda.gov/drugsatfda_docs/nda/99/21071_Avandia_biopharmr_P4.pdf</w:t>
        </w:r>
      </w:hyperlink>
      <w:r w:rsidR="0098461D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98461D" w:rsidRPr="00CF6579">
        <w:rPr>
          <w:rFonts w:ascii="Times New Roman" w:hAnsi="Times New Roman" w:cs="Times New Roman" w:hint="eastAsia"/>
        </w:rPr>
        <w:t>[</w:t>
      </w:r>
      <w:r w:rsidR="0098461D" w:rsidRPr="00CF6579">
        <w:rPr>
          <w:rFonts w:ascii="Times New Roman" w:hAnsi="Times New Roman" w:cs="Times New Roman"/>
        </w:rPr>
        <w:t>Website</w:t>
      </w:r>
      <w:r w:rsidR="0098461D" w:rsidRPr="00CF6579">
        <w:rPr>
          <w:rFonts w:ascii="Times New Roman" w:hAnsi="Times New Roman" w:cs="Times New Roman" w:hint="eastAsia"/>
        </w:rPr>
        <w:t>]</w:t>
      </w:r>
    </w:p>
    <w:p w14:paraId="77A6EF1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Dingemanse, J., Clozel, M., &amp; Giersbergen, P. L. M. Van. (2002). </w:t>
      </w:r>
      <w:r w:rsidRPr="00366B48">
        <w:rPr>
          <w:rFonts w:ascii="Times New Roman" w:hAnsi="Times New Roman" w:cs="Times New Roman"/>
          <w:i/>
          <w:iCs/>
        </w:rPr>
        <w:t>Pharmacokinetics and pharmacodynamics of tezosentan , an intravenous dual endothelin receptor antagonist , following chronic infusion in healthy subjects</w:t>
      </w:r>
      <w:r w:rsidRPr="00366B48">
        <w:rPr>
          <w:rFonts w:ascii="Times New Roman" w:hAnsi="Times New Roman" w:cs="Times New Roman"/>
        </w:rPr>
        <w:t>. 3(4), 355–362.</w:t>
      </w:r>
    </w:p>
    <w:p w14:paraId="5A2E79E7" w14:textId="22552F06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Gabitril (Tiagabine HCl) Company:  Cephalon Application No.:  20646 Approval Date: 9/30/1997 Pharmacology Review(s) </w:t>
      </w:r>
      <w:r w:rsidRPr="00366B48">
        <w:rPr>
          <w:rFonts w:ascii="Times New Roman" w:hAnsi="Times New Roman" w:cs="Times New Roman"/>
        </w:rPr>
        <w:lastRenderedPageBreak/>
        <w:t xml:space="preserve">P16 </w:t>
      </w:r>
      <w:r w:rsidR="005B2E3D">
        <w:rPr>
          <w:rFonts w:ascii="Times New Roman" w:hAnsi="Times New Roman" w:cs="Times New Roman"/>
        </w:rPr>
        <w:t>; 2020 S</w:t>
      </w:r>
      <w:r w:rsidR="005B2E3D" w:rsidRPr="002F4659">
        <w:rPr>
          <w:rFonts w:ascii="Times New Roman" w:hAnsi="Times New Roman" w:cs="Times New Roman"/>
        </w:rPr>
        <w:t>eptember</w:t>
      </w:r>
      <w:r w:rsidR="005B2E3D">
        <w:rPr>
          <w:rFonts w:ascii="Times New Roman" w:hAnsi="Times New Roman" w:cs="Times New Roman"/>
        </w:rPr>
        <w:t xml:space="preserve"> 6. Available from</w:t>
      </w:r>
      <w:r w:rsidR="005B2E3D">
        <w:rPr>
          <w:rStyle w:val="a7"/>
          <w:rFonts w:ascii="Times New Roman" w:hAnsi="Times New Roman" w:cs="Times New Roman"/>
        </w:rPr>
        <w:t xml:space="preserve"> </w:t>
      </w:r>
      <w:hyperlink r:id="rId41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https://www.accessdata.fda.gov/drugsatfda_docs/nda/97/020646ap_gabitril_phrmr.pdf</w:t>
        </w:r>
      </w:hyperlink>
      <w:r w:rsidR="008024B1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8024B1" w:rsidRPr="00CF6579">
        <w:rPr>
          <w:rFonts w:ascii="Times New Roman" w:hAnsi="Times New Roman" w:cs="Times New Roman" w:hint="eastAsia"/>
        </w:rPr>
        <w:t>[</w:t>
      </w:r>
      <w:r w:rsidR="008024B1" w:rsidRPr="00CF6579">
        <w:rPr>
          <w:rFonts w:ascii="Times New Roman" w:hAnsi="Times New Roman" w:cs="Times New Roman"/>
        </w:rPr>
        <w:t>Website</w:t>
      </w:r>
      <w:r w:rsidR="008024B1" w:rsidRPr="00CF6579">
        <w:rPr>
          <w:rFonts w:ascii="Times New Roman" w:hAnsi="Times New Roman" w:cs="Times New Roman" w:hint="eastAsia"/>
        </w:rPr>
        <w:t>]</w:t>
      </w:r>
    </w:p>
    <w:p w14:paraId="4407703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Watanabe, T., Kusuhara, H., Watanabe, T., Debori, Y., Maeda, K., Kondo, T., Nakayama, H, Horita, S, Ogilvie, BW, Parkinson, A, Hu Z, Sugiyama, Y. (2011). Prediction of the overall renal tubular secretion and hepatic clearance of anionic drugs and a renal drug-drug interaction involving organic anion transporter 3 in humans by in vitro uptake experiments.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(6), 1031–1038. </w:t>
      </w:r>
      <w:hyperlink r:id="rId42" w:history="1">
        <w:r w:rsidRPr="00366B48">
          <w:rPr>
            <w:rStyle w:val="a7"/>
            <w:rFonts w:ascii="Times New Roman" w:hAnsi="Times New Roman" w:cs="Times New Roman"/>
          </w:rPr>
          <w:t>https://doi.org/10.1124/dmd.110.036129</w:t>
        </w:r>
      </w:hyperlink>
    </w:p>
    <w:p w14:paraId="6C685A32" w14:textId="28CA07E1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Zometa (Zoledronic Acid) Injection Company:  Novartis Pharmaceuticals Corporation HIGHLIGHTS OF PRESCRIBING INFORMATION </w:t>
      </w:r>
      <w:r w:rsidR="00E878BC">
        <w:rPr>
          <w:rFonts w:ascii="Times New Roman" w:hAnsi="Times New Roman" w:cs="Times New Roman"/>
        </w:rPr>
        <w:t>; 2020 S</w:t>
      </w:r>
      <w:r w:rsidR="00E878BC" w:rsidRPr="002F4659">
        <w:rPr>
          <w:rFonts w:ascii="Times New Roman" w:hAnsi="Times New Roman" w:cs="Times New Roman"/>
        </w:rPr>
        <w:t>eptember</w:t>
      </w:r>
      <w:r w:rsidR="00E878BC">
        <w:rPr>
          <w:rFonts w:ascii="Times New Roman" w:hAnsi="Times New Roman" w:cs="Times New Roman"/>
        </w:rPr>
        <w:t xml:space="preserve"> 6. Available from</w:t>
      </w:r>
      <w:r w:rsidR="00E878BC">
        <w:rPr>
          <w:rStyle w:val="a7"/>
          <w:rFonts w:ascii="Times New Roman" w:hAnsi="Times New Roman" w:cs="Times New Roman"/>
        </w:rPr>
        <w:t xml:space="preserve"> </w:t>
      </w:r>
      <w:hyperlink r:id="rId43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https://www.accessdata.fda.gov/drugsatfda_docs/label/2014/021223s028lbl.pdf</w:t>
        </w:r>
      </w:hyperlink>
      <w:r w:rsidR="00A223A8" w:rsidRPr="00A223A8">
        <w:rPr>
          <w:rStyle w:val="a7"/>
          <w:rFonts w:ascii="Times New Roman" w:hAnsi="Times New Roman" w:cs="Times New Roman"/>
          <w:u w:val="none"/>
        </w:rPr>
        <w:t xml:space="preserve"> </w:t>
      </w:r>
      <w:r w:rsidR="00A223A8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A223A8" w:rsidRPr="00CF6579">
        <w:rPr>
          <w:rFonts w:ascii="Times New Roman" w:hAnsi="Times New Roman" w:cs="Times New Roman" w:hint="eastAsia"/>
        </w:rPr>
        <w:t>[</w:t>
      </w:r>
      <w:r w:rsidR="00A223A8" w:rsidRPr="00CF6579">
        <w:rPr>
          <w:rFonts w:ascii="Times New Roman" w:hAnsi="Times New Roman" w:cs="Times New Roman"/>
        </w:rPr>
        <w:t>Website</w:t>
      </w:r>
      <w:r w:rsidR="00A223A8" w:rsidRPr="00CF6579">
        <w:rPr>
          <w:rFonts w:ascii="Times New Roman" w:hAnsi="Times New Roman" w:cs="Times New Roman" w:hint="eastAsia"/>
        </w:rPr>
        <w:t>]</w:t>
      </w:r>
    </w:p>
    <w:p w14:paraId="7A593229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Poulin, P., &amp; Theil, F. P. (2002). Prediction of pharmacokinetics prior to in vivo studies. II. Generic physiologically based pharmacokinetic models of drug disposition. </w:t>
      </w:r>
      <w:r w:rsidRPr="00366B48">
        <w:rPr>
          <w:rFonts w:ascii="Times New Roman" w:hAnsi="Times New Roman" w:cs="Times New Roman"/>
          <w:i/>
          <w:iCs/>
        </w:rPr>
        <w:t>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91</w:t>
      </w:r>
      <w:r w:rsidRPr="00366B48">
        <w:rPr>
          <w:rFonts w:ascii="Times New Roman" w:hAnsi="Times New Roman" w:cs="Times New Roman"/>
        </w:rPr>
        <w:t xml:space="preserve">(5), 1358–1370. </w:t>
      </w:r>
      <w:hyperlink r:id="rId44" w:history="1">
        <w:r w:rsidRPr="00366B48">
          <w:rPr>
            <w:rStyle w:val="a7"/>
            <w:rFonts w:ascii="Times New Roman" w:hAnsi="Times New Roman" w:cs="Times New Roman"/>
          </w:rPr>
          <w:t>https://doi.org/10.1002/jps.10128</w:t>
        </w:r>
      </w:hyperlink>
    </w:p>
    <w:p w14:paraId="4AE654CB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Tenero, D. M., Bottorff, M. B., Given, B. D., Kramer, W. G., Affrime, M. B., Patrick, J. E., &amp; Lalonde, R. L. (1989). Pharmacokinetics and pharmacodynamics of dilevalol. </w:t>
      </w:r>
      <w:r w:rsidRPr="00366B48">
        <w:rPr>
          <w:rFonts w:ascii="Times New Roman" w:hAnsi="Times New Roman" w:cs="Times New Roman"/>
          <w:i/>
          <w:iCs/>
        </w:rPr>
        <w:t>Clinical Pharmacology and Therapeutics</w:t>
      </w:r>
      <w:r w:rsidRPr="00366B48">
        <w:rPr>
          <w:rFonts w:ascii="Times New Roman" w:hAnsi="Times New Roman" w:cs="Times New Roman"/>
        </w:rPr>
        <w:t xml:space="preserve">. 46(6), 648–656. </w:t>
      </w:r>
      <w:hyperlink r:id="rId45" w:history="1">
        <w:r w:rsidRPr="00366B48">
          <w:rPr>
            <w:rStyle w:val="a7"/>
            <w:rFonts w:ascii="Times New Roman" w:hAnsi="Times New Roman" w:cs="Times New Roman"/>
          </w:rPr>
          <w:t>https://doi.org/10.1038/clpt.1989.201</w:t>
        </w:r>
      </w:hyperlink>
    </w:p>
    <w:p w14:paraId="014FBA01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Smith, D. A., Beaumont, K., Maurer, T. S., &amp; Di, L. (2015). Volume of Distribution in Drug Design. </w:t>
      </w:r>
      <w:r w:rsidRPr="00366B48">
        <w:rPr>
          <w:rFonts w:ascii="Times New Roman" w:hAnsi="Times New Roman" w:cs="Times New Roman"/>
          <w:i/>
          <w:iCs/>
        </w:rPr>
        <w:t>Journal of Medicinal Chemistry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58</w:t>
      </w:r>
      <w:r w:rsidRPr="00366B48">
        <w:rPr>
          <w:rFonts w:ascii="Times New Roman" w:hAnsi="Times New Roman" w:cs="Times New Roman"/>
        </w:rPr>
        <w:t xml:space="preserve">(15), 5691–5698. </w:t>
      </w:r>
      <w:hyperlink r:id="rId46" w:history="1">
        <w:r w:rsidRPr="00366B48">
          <w:rPr>
            <w:rStyle w:val="a7"/>
            <w:rFonts w:ascii="Times New Roman" w:hAnsi="Times New Roman" w:cs="Times New Roman"/>
          </w:rPr>
          <w:t>https://doi.org/10.1021/acs.jmedchem.5b00201</w:t>
        </w:r>
      </w:hyperlink>
    </w:p>
    <w:p w14:paraId="6A9F6C10" w14:textId="57EE6578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Ixempra (Ixabepilone) Injection Company: Bristol-Myers Squibb Co. Application No.:  022065 Approval Date: 10/16/2007 Clinical Pharmacology Biopharmaceutics Review(s) P15-16 </w:t>
      </w:r>
      <w:r w:rsidR="00982356">
        <w:rPr>
          <w:rFonts w:ascii="Times New Roman" w:hAnsi="Times New Roman" w:cs="Times New Roman"/>
        </w:rPr>
        <w:t>; 2020 S</w:t>
      </w:r>
      <w:r w:rsidR="00982356" w:rsidRPr="002F4659">
        <w:rPr>
          <w:rFonts w:ascii="Times New Roman" w:hAnsi="Times New Roman" w:cs="Times New Roman"/>
        </w:rPr>
        <w:t>eptember</w:t>
      </w:r>
      <w:r w:rsidR="00982356">
        <w:rPr>
          <w:rFonts w:ascii="Times New Roman" w:hAnsi="Times New Roman" w:cs="Times New Roman"/>
        </w:rPr>
        <w:t xml:space="preserve"> 6. Available from</w:t>
      </w:r>
      <w:r w:rsidR="00982356">
        <w:rPr>
          <w:rStyle w:val="a7"/>
          <w:rFonts w:ascii="Times New Roman" w:hAnsi="Times New Roman" w:cs="Times New Roman"/>
        </w:rPr>
        <w:t xml:space="preserve"> </w:t>
      </w:r>
      <w:hyperlink r:id="rId47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https://www.accessdata.fda.gov/drugsatfda_docs/nda/2007/022065s000_ClinPharmR.pdf</w:t>
        </w:r>
      </w:hyperlink>
      <w:r w:rsidR="00E109ED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E109ED" w:rsidRPr="00CF6579">
        <w:rPr>
          <w:rFonts w:ascii="Times New Roman" w:hAnsi="Times New Roman" w:cs="Times New Roman" w:hint="eastAsia"/>
        </w:rPr>
        <w:t>[</w:t>
      </w:r>
      <w:r w:rsidR="00E109ED" w:rsidRPr="00CF6579">
        <w:rPr>
          <w:rFonts w:ascii="Times New Roman" w:hAnsi="Times New Roman" w:cs="Times New Roman"/>
        </w:rPr>
        <w:t>Website</w:t>
      </w:r>
      <w:r w:rsidR="00E109ED" w:rsidRPr="00CF6579">
        <w:rPr>
          <w:rFonts w:ascii="Times New Roman" w:hAnsi="Times New Roman" w:cs="Times New Roman" w:hint="eastAsia"/>
        </w:rPr>
        <w:t>]</w:t>
      </w:r>
    </w:p>
    <w:p w14:paraId="01018865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Skopp, G., Pötsch, L., Ganßmann, B., Aderjan, R., &amp; Mattern, R. (1998). A preliminary study on the distribution of morphine and its glucuronides in the subcompartments of blood. </w:t>
      </w:r>
      <w:r w:rsidRPr="00366B48">
        <w:rPr>
          <w:rFonts w:ascii="Times New Roman" w:hAnsi="Times New Roman" w:cs="Times New Roman"/>
          <w:i/>
          <w:iCs/>
        </w:rPr>
        <w:t>Journal of Analytical Toxicology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22</w:t>
      </w:r>
      <w:r w:rsidRPr="00366B48">
        <w:rPr>
          <w:rFonts w:ascii="Times New Roman" w:hAnsi="Times New Roman" w:cs="Times New Roman"/>
        </w:rPr>
        <w:t xml:space="preserve">(4), 261–264. </w:t>
      </w:r>
      <w:hyperlink r:id="rId48" w:history="1">
        <w:r w:rsidRPr="00366B48">
          <w:rPr>
            <w:rStyle w:val="a7"/>
            <w:rFonts w:ascii="Times New Roman" w:hAnsi="Times New Roman" w:cs="Times New Roman"/>
          </w:rPr>
          <w:t>https://doi.org/10.1093/jat/22.4.261</w:t>
        </w:r>
      </w:hyperlink>
    </w:p>
    <w:p w14:paraId="32DA3CD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lastRenderedPageBreak/>
        <w:t xml:space="preserve">Aymard, G., Warot, D., Démolis, P., Giudicelli, J. F., Lechat, P., Le Guern, M. E., Alquier, C., &amp; Diquet, B. (2003). Comparative pharmacokinetics and pharmacodynamics of intravenous and oral nefopam in healthy volunteers. </w:t>
      </w:r>
      <w:r w:rsidRPr="00366B48">
        <w:rPr>
          <w:rFonts w:ascii="Times New Roman" w:hAnsi="Times New Roman" w:cs="Times New Roman"/>
          <w:i/>
          <w:iCs/>
        </w:rPr>
        <w:t>Pharmacology and Toxicology</w:t>
      </w:r>
      <w:r w:rsidRPr="00366B48">
        <w:rPr>
          <w:rFonts w:ascii="Times New Roman" w:hAnsi="Times New Roman" w:cs="Times New Roman"/>
        </w:rPr>
        <w:t xml:space="preserve">. </w:t>
      </w:r>
      <w:r w:rsidRPr="00366B48">
        <w:rPr>
          <w:rFonts w:ascii="Times New Roman" w:hAnsi="Times New Roman" w:cs="Times New Roman"/>
          <w:i/>
          <w:iCs/>
        </w:rPr>
        <w:t>92</w:t>
      </w:r>
      <w:r w:rsidRPr="00366B48">
        <w:rPr>
          <w:rFonts w:ascii="Times New Roman" w:hAnsi="Times New Roman" w:cs="Times New Roman"/>
        </w:rPr>
        <w:t xml:space="preserve">(6), 279–286. </w:t>
      </w:r>
      <w:hyperlink r:id="rId49" w:history="1">
        <w:r w:rsidRPr="00366B48">
          <w:rPr>
            <w:rStyle w:val="a7"/>
            <w:rFonts w:ascii="Times New Roman" w:hAnsi="Times New Roman" w:cs="Times New Roman"/>
          </w:rPr>
          <w:t>https://doi.org/10.1034/j.1600-0773.2003.920605.x</w:t>
        </w:r>
      </w:hyperlink>
    </w:p>
    <w:p w14:paraId="795C0B9E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Calandre, E. P., Alferez, N., Hassanein, K., &amp; Azarnoff, D. L. (1981). Methapyrilene kinetics and dynamics. </w:t>
      </w:r>
      <w:r w:rsidRPr="00366B48">
        <w:rPr>
          <w:rFonts w:ascii="Times New Roman" w:hAnsi="Times New Roman" w:cs="Times New Roman"/>
          <w:i/>
          <w:iCs/>
        </w:rPr>
        <w:t>Clinical Pharmacology and Therapeutics</w:t>
      </w:r>
      <w:r w:rsidRPr="00366B48">
        <w:rPr>
          <w:rFonts w:ascii="Times New Roman" w:hAnsi="Times New Roman" w:cs="Times New Roman"/>
        </w:rPr>
        <w:t xml:space="preserve">. 29(4), 527–532. </w:t>
      </w:r>
      <w:hyperlink r:id="rId50" w:history="1">
        <w:r w:rsidRPr="00366B48">
          <w:rPr>
            <w:rStyle w:val="a7"/>
            <w:rFonts w:ascii="Times New Roman" w:hAnsi="Times New Roman" w:cs="Times New Roman"/>
          </w:rPr>
          <w:t>https://doi.org/10.1038/clpt.1981.74</w:t>
        </w:r>
      </w:hyperlink>
    </w:p>
    <w:p w14:paraId="1976865E" w14:textId="7D856C09" w:rsidR="00853ED5" w:rsidRPr="00366B48" w:rsidRDefault="00853ED5" w:rsidP="00D2553C">
      <w:pPr>
        <w:pStyle w:val="Web"/>
        <w:rPr>
          <w:rFonts w:ascii="Times New Roman" w:hAnsi="Times New Roman" w:cs="Times New Roman"/>
        </w:rPr>
      </w:pPr>
    </w:p>
    <w:sectPr w:rsidR="00853ED5" w:rsidRPr="00366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98499" w14:textId="77777777" w:rsidR="0060131F" w:rsidRDefault="0060131F" w:rsidP="00F95AA6">
      <w:r>
        <w:separator/>
      </w:r>
    </w:p>
  </w:endnote>
  <w:endnote w:type="continuationSeparator" w:id="0">
    <w:p w14:paraId="097AE1A2" w14:textId="77777777" w:rsidR="0060131F" w:rsidRDefault="0060131F" w:rsidP="00F9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29D4A" w14:textId="77777777" w:rsidR="0060131F" w:rsidRDefault="0060131F" w:rsidP="00F95AA6">
      <w:r>
        <w:separator/>
      </w:r>
    </w:p>
  </w:footnote>
  <w:footnote w:type="continuationSeparator" w:id="0">
    <w:p w14:paraId="35F3A9D7" w14:textId="77777777" w:rsidR="0060131F" w:rsidRDefault="0060131F" w:rsidP="00F95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02FDE"/>
    <w:multiLevelType w:val="hybridMultilevel"/>
    <w:tmpl w:val="39EEE548"/>
    <w:lvl w:ilvl="0" w:tplc="99944C18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84"/>
    <w:rsid w:val="0000365D"/>
    <w:rsid w:val="00011DFE"/>
    <w:rsid w:val="00015AA0"/>
    <w:rsid w:val="0001714C"/>
    <w:rsid w:val="00023709"/>
    <w:rsid w:val="0002625B"/>
    <w:rsid w:val="000356D9"/>
    <w:rsid w:val="000B3B21"/>
    <w:rsid w:val="000C7DD8"/>
    <w:rsid w:val="000F5DA6"/>
    <w:rsid w:val="00113E14"/>
    <w:rsid w:val="00115E0D"/>
    <w:rsid w:val="00131B59"/>
    <w:rsid w:val="00145E59"/>
    <w:rsid w:val="001466D0"/>
    <w:rsid w:val="00154B10"/>
    <w:rsid w:val="0017736A"/>
    <w:rsid w:val="001B10D2"/>
    <w:rsid w:val="001C680E"/>
    <w:rsid w:val="002006F7"/>
    <w:rsid w:val="0021060E"/>
    <w:rsid w:val="002144C3"/>
    <w:rsid w:val="00233042"/>
    <w:rsid w:val="002348D6"/>
    <w:rsid w:val="002443E1"/>
    <w:rsid w:val="002574DA"/>
    <w:rsid w:val="00261BE6"/>
    <w:rsid w:val="00261F41"/>
    <w:rsid w:val="002877FC"/>
    <w:rsid w:val="002B17F3"/>
    <w:rsid w:val="002E61F1"/>
    <w:rsid w:val="002E6447"/>
    <w:rsid w:val="002F2152"/>
    <w:rsid w:val="002F4659"/>
    <w:rsid w:val="002F4B75"/>
    <w:rsid w:val="00300222"/>
    <w:rsid w:val="00326A84"/>
    <w:rsid w:val="00366B48"/>
    <w:rsid w:val="003910ED"/>
    <w:rsid w:val="00391B42"/>
    <w:rsid w:val="003A4236"/>
    <w:rsid w:val="003E43E0"/>
    <w:rsid w:val="003E5AF9"/>
    <w:rsid w:val="00411D6C"/>
    <w:rsid w:val="00421060"/>
    <w:rsid w:val="00426098"/>
    <w:rsid w:val="00433BD4"/>
    <w:rsid w:val="004600C5"/>
    <w:rsid w:val="00484F86"/>
    <w:rsid w:val="00484FC6"/>
    <w:rsid w:val="00487F9A"/>
    <w:rsid w:val="00490D33"/>
    <w:rsid w:val="004B3F36"/>
    <w:rsid w:val="004E1CF2"/>
    <w:rsid w:val="004E660F"/>
    <w:rsid w:val="0050249F"/>
    <w:rsid w:val="00507219"/>
    <w:rsid w:val="00513B7E"/>
    <w:rsid w:val="00550AA0"/>
    <w:rsid w:val="00570483"/>
    <w:rsid w:val="00580FE6"/>
    <w:rsid w:val="005B0142"/>
    <w:rsid w:val="005B2E3D"/>
    <w:rsid w:val="005B41ED"/>
    <w:rsid w:val="005C1556"/>
    <w:rsid w:val="0060131F"/>
    <w:rsid w:val="00604F46"/>
    <w:rsid w:val="006923C0"/>
    <w:rsid w:val="006A1D54"/>
    <w:rsid w:val="006B1505"/>
    <w:rsid w:val="006B33D0"/>
    <w:rsid w:val="006B3F5A"/>
    <w:rsid w:val="006D7235"/>
    <w:rsid w:val="006E0C26"/>
    <w:rsid w:val="006E5828"/>
    <w:rsid w:val="006F6C6E"/>
    <w:rsid w:val="00701CD8"/>
    <w:rsid w:val="007533B8"/>
    <w:rsid w:val="00795185"/>
    <w:rsid w:val="007B2AD1"/>
    <w:rsid w:val="007C2E35"/>
    <w:rsid w:val="008024B1"/>
    <w:rsid w:val="00810027"/>
    <w:rsid w:val="00836C10"/>
    <w:rsid w:val="00841986"/>
    <w:rsid w:val="00853ED5"/>
    <w:rsid w:val="00883C30"/>
    <w:rsid w:val="00884F29"/>
    <w:rsid w:val="0088753F"/>
    <w:rsid w:val="00900C7C"/>
    <w:rsid w:val="00923A3F"/>
    <w:rsid w:val="00940A1A"/>
    <w:rsid w:val="00952C7C"/>
    <w:rsid w:val="00982356"/>
    <w:rsid w:val="0098461D"/>
    <w:rsid w:val="009A4AB0"/>
    <w:rsid w:val="009B6ECA"/>
    <w:rsid w:val="009C00DC"/>
    <w:rsid w:val="009C4187"/>
    <w:rsid w:val="009C599A"/>
    <w:rsid w:val="009F3364"/>
    <w:rsid w:val="00A223A8"/>
    <w:rsid w:val="00A47EAD"/>
    <w:rsid w:val="00A57EC6"/>
    <w:rsid w:val="00A84A2E"/>
    <w:rsid w:val="00AC0664"/>
    <w:rsid w:val="00AC0C31"/>
    <w:rsid w:val="00AE54FF"/>
    <w:rsid w:val="00B01BF1"/>
    <w:rsid w:val="00B10F1F"/>
    <w:rsid w:val="00B210E8"/>
    <w:rsid w:val="00B31837"/>
    <w:rsid w:val="00B443B6"/>
    <w:rsid w:val="00B550B7"/>
    <w:rsid w:val="00B77D61"/>
    <w:rsid w:val="00B811A5"/>
    <w:rsid w:val="00B823FF"/>
    <w:rsid w:val="00BA13B9"/>
    <w:rsid w:val="00BB6412"/>
    <w:rsid w:val="00BC0CB0"/>
    <w:rsid w:val="00C04938"/>
    <w:rsid w:val="00C155C3"/>
    <w:rsid w:val="00C17026"/>
    <w:rsid w:val="00C24D01"/>
    <w:rsid w:val="00C70DFA"/>
    <w:rsid w:val="00C74BCE"/>
    <w:rsid w:val="00CA6431"/>
    <w:rsid w:val="00CE2999"/>
    <w:rsid w:val="00CE2CA0"/>
    <w:rsid w:val="00CF12D4"/>
    <w:rsid w:val="00CF6579"/>
    <w:rsid w:val="00D01137"/>
    <w:rsid w:val="00D2245B"/>
    <w:rsid w:val="00D2553C"/>
    <w:rsid w:val="00D408B8"/>
    <w:rsid w:val="00D5200F"/>
    <w:rsid w:val="00D61574"/>
    <w:rsid w:val="00D763FB"/>
    <w:rsid w:val="00D8486C"/>
    <w:rsid w:val="00D92A57"/>
    <w:rsid w:val="00D947BB"/>
    <w:rsid w:val="00DB3A55"/>
    <w:rsid w:val="00DD579D"/>
    <w:rsid w:val="00DF41F1"/>
    <w:rsid w:val="00E06248"/>
    <w:rsid w:val="00E109ED"/>
    <w:rsid w:val="00E16FB8"/>
    <w:rsid w:val="00E26B3F"/>
    <w:rsid w:val="00E65B8F"/>
    <w:rsid w:val="00E67CA3"/>
    <w:rsid w:val="00E878BC"/>
    <w:rsid w:val="00E9784E"/>
    <w:rsid w:val="00EB312E"/>
    <w:rsid w:val="00EC4EB8"/>
    <w:rsid w:val="00EE4983"/>
    <w:rsid w:val="00EE59D2"/>
    <w:rsid w:val="00EF4F3F"/>
    <w:rsid w:val="00F35312"/>
    <w:rsid w:val="00F4529B"/>
    <w:rsid w:val="00F52720"/>
    <w:rsid w:val="00F601D5"/>
    <w:rsid w:val="00F76F84"/>
    <w:rsid w:val="00F95AA6"/>
    <w:rsid w:val="00FA1A2A"/>
    <w:rsid w:val="00FA6D3E"/>
    <w:rsid w:val="00FD085A"/>
    <w:rsid w:val="00FD4585"/>
    <w:rsid w:val="00FD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9E930D"/>
  <w15:chartTrackingRefBased/>
  <w15:docId w15:val="{4DC0EDD1-A01F-44C1-9D4D-34C6B6C7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5AA6"/>
  </w:style>
  <w:style w:type="paragraph" w:styleId="a5">
    <w:name w:val="footer"/>
    <w:basedOn w:val="a"/>
    <w:link w:val="a6"/>
    <w:uiPriority w:val="99"/>
    <w:unhideWhenUsed/>
    <w:rsid w:val="00F95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5AA6"/>
  </w:style>
  <w:style w:type="paragraph" w:customStyle="1" w:styleId="TFReferencesSection">
    <w:name w:val="TF_References_Section"/>
    <w:basedOn w:val="a"/>
    <w:rsid w:val="00B01BF1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Web">
    <w:name w:val="Normal (Web)"/>
    <w:basedOn w:val="a"/>
    <w:uiPriority w:val="99"/>
    <w:unhideWhenUsed/>
    <w:rsid w:val="00853E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53ED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53ED5"/>
    <w:pPr>
      <w:ind w:left="851"/>
    </w:pPr>
  </w:style>
  <w:style w:type="character" w:styleId="a9">
    <w:name w:val="annotation reference"/>
    <w:basedOn w:val="a0"/>
    <w:uiPriority w:val="99"/>
    <w:semiHidden/>
    <w:unhideWhenUsed/>
    <w:rsid w:val="00853ED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3ED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53ED5"/>
  </w:style>
  <w:style w:type="paragraph" w:styleId="ac">
    <w:name w:val="Balloon Text"/>
    <w:basedOn w:val="a"/>
    <w:link w:val="ad"/>
    <w:uiPriority w:val="99"/>
    <w:semiHidden/>
    <w:unhideWhenUsed/>
    <w:rsid w:val="00853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53ED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D72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326A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23/A:1011974226596" TargetMode="External"/><Relationship Id="rId18" Type="http://schemas.openxmlformats.org/officeDocument/2006/relationships/hyperlink" Target="https://doi.org/10.1023/A:1015875516834" TargetMode="External"/><Relationship Id="rId26" Type="http://schemas.openxmlformats.org/officeDocument/2006/relationships/hyperlink" Target="https://doi.org/10.1080/00498254.2016.1265160" TargetMode="External"/><Relationship Id="rId39" Type="http://schemas.openxmlformats.org/officeDocument/2006/relationships/hyperlink" Target="https://www.accessdata.fda.gov/drugsatfda_docs/nda/2000/20823_Exelon_biopharmr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ccessdata.fda.gov/drugsatfda_docs/nda/2000/21107a_Lotronex_phrmr_P2.pdf" TargetMode="External"/><Relationship Id="rId34" Type="http://schemas.openxmlformats.org/officeDocument/2006/relationships/hyperlink" Target="https://www.accessdata.fda.gov/drugsatfda_docs/nda/2014/205625Orig1s000ClinPharmR.pdf" TargetMode="External"/><Relationship Id="rId42" Type="http://schemas.openxmlformats.org/officeDocument/2006/relationships/hyperlink" Target="https://doi.org/10.1124/dmd.110.036129" TargetMode="External"/><Relationship Id="rId47" Type="http://schemas.openxmlformats.org/officeDocument/2006/relationships/hyperlink" Target="https://www.accessdata.fda.gov/drugsatfda_docs/nda/2007/022065s000_ClinPharmR.pdf" TargetMode="External"/><Relationship Id="rId50" Type="http://schemas.openxmlformats.org/officeDocument/2006/relationships/hyperlink" Target="https://doi.org/10.1038/clpt.1981.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174/138920012800840365" TargetMode="External"/><Relationship Id="rId17" Type="http://schemas.openxmlformats.org/officeDocument/2006/relationships/hyperlink" Target="https://doi.org/10.1002/jps.20373" TargetMode="External"/><Relationship Id="rId25" Type="http://schemas.openxmlformats.org/officeDocument/2006/relationships/hyperlink" Target="https://doi.org/10.1124/dmd.111.040253" TargetMode="External"/><Relationship Id="rId33" Type="http://schemas.openxmlformats.org/officeDocument/2006/relationships/hyperlink" Target="https://doi.org/10.1124/dmd.106.011569" TargetMode="External"/><Relationship Id="rId38" Type="http://schemas.openxmlformats.org/officeDocument/2006/relationships/hyperlink" Target="https://www.accessdata.fda.gov/drugsatfda_docs/nda/2007/022128s000_ClinPharmR.pdf" TargetMode="External"/><Relationship Id="rId46" Type="http://schemas.openxmlformats.org/officeDocument/2006/relationships/hyperlink" Target="https://doi.org/10.1021/acs.jmedchem.5b002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ejps.2009.12.007" TargetMode="External"/><Relationship Id="rId20" Type="http://schemas.openxmlformats.org/officeDocument/2006/relationships/hyperlink" Target="https://doi.org/10.1002/bdd" TargetMode="External"/><Relationship Id="rId29" Type="http://schemas.openxmlformats.org/officeDocument/2006/relationships/hyperlink" Target="https://www.ema.europa.eu/en/documents/assessment-report/doribax-epar-public-assessment-report_en.pdf" TargetMode="External"/><Relationship Id="rId41" Type="http://schemas.openxmlformats.org/officeDocument/2006/relationships/hyperlink" Target="https://www.accessdata.fda.gov/drugsatfda_docs/nda/97/020646ap_gabitril_phrmr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24/dmd.108.020479" TargetMode="External"/><Relationship Id="rId24" Type="http://schemas.openxmlformats.org/officeDocument/2006/relationships/hyperlink" Target="https://doi.org/10.1124/dmd.109.028829.Fagerholm" TargetMode="External"/><Relationship Id="rId32" Type="http://schemas.openxmlformats.org/officeDocument/2006/relationships/hyperlink" Target="https://doi.org/10.1016/S0163-7258(96)00184-2" TargetMode="External"/><Relationship Id="rId37" Type="http://schemas.openxmlformats.org/officeDocument/2006/relationships/hyperlink" Target="https://doi.org/10.1124/dmd.104.002626" TargetMode="External"/><Relationship Id="rId40" Type="http://schemas.openxmlformats.org/officeDocument/2006/relationships/hyperlink" Target="https://www.accessdata.fda.gov/drugsatfda_docs/nda/99/21071_Avandia_biopharmr_P4.pdf" TargetMode="External"/><Relationship Id="rId45" Type="http://schemas.openxmlformats.org/officeDocument/2006/relationships/hyperlink" Target="https://doi.org/10.1038/clpt.1989.2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1095-006-9210-3" TargetMode="External"/><Relationship Id="rId23" Type="http://schemas.openxmlformats.org/officeDocument/2006/relationships/hyperlink" Target="https://doi.org/10.1124/dmd.111.040766.for" TargetMode="External"/><Relationship Id="rId28" Type="http://schemas.openxmlformats.org/officeDocument/2006/relationships/hyperlink" Target="https://www.ema.europa.eu/en/documents/scientific-discussion/cancidas-epar-scientific-discussion_en.pdf" TargetMode="External"/><Relationship Id="rId36" Type="http://schemas.openxmlformats.org/officeDocument/2006/relationships/hyperlink" Target="https://doi.org/10.3109/00498254.2010.500407" TargetMode="External"/><Relationship Id="rId49" Type="http://schemas.openxmlformats.org/officeDocument/2006/relationships/hyperlink" Target="https://doi.org/10.1034/j.1600-0773.2003.920605.x" TargetMode="External"/><Relationship Id="rId10" Type="http://schemas.openxmlformats.org/officeDocument/2006/relationships/hyperlink" Target="https://doi.org/10.1177/0091270012440282" TargetMode="External"/><Relationship Id="rId19" Type="http://schemas.openxmlformats.org/officeDocument/2006/relationships/hyperlink" Target="https://doi.org/10.1016/j.ejps.2008.12.011" TargetMode="External"/><Relationship Id="rId31" Type="http://schemas.openxmlformats.org/officeDocument/2006/relationships/hyperlink" Target="https://doi.org/10.1124/dmd.110.037457" TargetMode="External"/><Relationship Id="rId44" Type="http://schemas.openxmlformats.org/officeDocument/2006/relationships/hyperlink" Target="https://doi.org/10.1002/jps.10128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scholarscompass.vcu.edu/etd/3533" TargetMode="External"/><Relationship Id="rId22" Type="http://schemas.openxmlformats.org/officeDocument/2006/relationships/hyperlink" Target="https://doi.org/10.1007/s11095-008-9607-2" TargetMode="External"/><Relationship Id="rId27" Type="http://schemas.openxmlformats.org/officeDocument/2006/relationships/hyperlink" Target="https://www.accessdata.fda.gov/drugsatfda_docs/nda/2001/21-324_Entocort_pharmr.pdf" TargetMode="External"/><Relationship Id="rId30" Type="http://schemas.openxmlformats.org/officeDocument/2006/relationships/hyperlink" Target="https://doi.org/10.1124/dmd.110.036129" TargetMode="External"/><Relationship Id="rId35" Type="http://schemas.openxmlformats.org/officeDocument/2006/relationships/hyperlink" Target="https://www.accessdata.fda.gov/drugsatfda_docs/nda/2001/21-006_Frova_biopharmr.pdf" TargetMode="External"/><Relationship Id="rId43" Type="http://schemas.openxmlformats.org/officeDocument/2006/relationships/hyperlink" Target="https://www.accessdata.fda.gov/drugsatfda_docs/label/2014/021223s028lbl.pdf" TargetMode="External"/><Relationship Id="rId48" Type="http://schemas.openxmlformats.org/officeDocument/2006/relationships/hyperlink" Target="https://doi.org/10.1093/jat/22.4.261" TargetMode="External"/><Relationship Id="rId8" Type="http://schemas.openxmlformats.org/officeDocument/2006/relationships/image" Target="media/image1.tif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8035-2B32-44B7-9AEF-DF3C1649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Japan Tobacco</Company>
  <LinksUpToDate>false</LinksUpToDate>
  <CharactersWithSpaces>17736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Mamada, Hideaki</dc:creator>
  <cp:keywords/>
  <dc:description/>
  <cp:lastModifiedBy>侭田 秀章</cp:lastModifiedBy>
  <cp:revision>160</cp:revision>
  <dcterms:created xsi:type="dcterms:W3CDTF">2019-12-20T05:50:00Z</dcterms:created>
  <dcterms:modified xsi:type="dcterms:W3CDTF">2020-10-24T05:22:00Z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http://www.zotero.org/styles/pharmaceutical-research</vt:lpwstr>
  </property>
  <property fmtid="{D5CDD505-2E9C-101B-9397-08002B2CF9AE}" pid="21" name="Mendeley Recent Style Name 9_1">
    <vt:lpwstr>Pharmaceutical Research</vt:lpwstr>
  </property>
  <property fmtid="{D5CDD505-2E9C-101B-9397-08002B2CF9AE}" pid="22" name="Mendeley Citation Style_1">
    <vt:lpwstr>http://www.zotero.org/styles/american-political-science-association</vt:lpwstr>
  </property>
</Properties>
</file>