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6F2" w:rsidRPr="0038000A" w:rsidRDefault="007A06F2" w:rsidP="007A06F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8000A">
        <w:rPr>
          <w:rFonts w:ascii="Times New Roman" w:hAnsi="Times New Roman" w:cs="Times New Roman"/>
          <w:b/>
          <w:sz w:val="20"/>
          <w:szCs w:val="20"/>
        </w:rPr>
        <w:t xml:space="preserve">Implementation of different relationship estimate methodologies in Breeding Value prediction in </w:t>
      </w:r>
      <w:proofErr w:type="spellStart"/>
      <w:r w:rsidRPr="0038000A">
        <w:rPr>
          <w:rFonts w:ascii="Times New Roman" w:hAnsi="Times New Roman" w:cs="Times New Roman"/>
          <w:b/>
          <w:sz w:val="20"/>
          <w:szCs w:val="20"/>
        </w:rPr>
        <w:t>kiwiberry</w:t>
      </w:r>
      <w:proofErr w:type="spellEnd"/>
      <w:r w:rsidRPr="0038000A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38000A">
        <w:rPr>
          <w:rFonts w:ascii="Times New Roman" w:hAnsi="Times New Roman" w:cs="Times New Roman"/>
          <w:b/>
          <w:i/>
          <w:iCs/>
          <w:sz w:val="20"/>
          <w:szCs w:val="20"/>
        </w:rPr>
        <w:t>Actinidia</w:t>
      </w:r>
      <w:proofErr w:type="spellEnd"/>
      <w:r w:rsidRPr="0038000A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proofErr w:type="spellStart"/>
      <w:r w:rsidRPr="0038000A">
        <w:rPr>
          <w:rFonts w:ascii="Times New Roman" w:hAnsi="Times New Roman" w:cs="Times New Roman"/>
          <w:b/>
          <w:i/>
          <w:iCs/>
          <w:sz w:val="20"/>
          <w:szCs w:val="20"/>
        </w:rPr>
        <w:t>arguta</w:t>
      </w:r>
      <w:proofErr w:type="spellEnd"/>
      <w:r w:rsidRPr="0038000A">
        <w:rPr>
          <w:rFonts w:ascii="Times New Roman" w:hAnsi="Times New Roman" w:cs="Times New Roman"/>
          <w:b/>
          <w:sz w:val="20"/>
          <w:szCs w:val="20"/>
        </w:rPr>
        <w:t>)</w:t>
      </w:r>
    </w:p>
    <w:p w:rsidR="007A06F2" w:rsidRDefault="007A06F2" w:rsidP="007A06F2">
      <w:pPr>
        <w:tabs>
          <w:tab w:val="left" w:pos="3080"/>
        </w:tabs>
        <w:rPr>
          <w:rFonts w:ascii="Times New Roman" w:hAnsi="Times New Roman" w:cs="Times New Roman"/>
          <w:noProof/>
          <w:sz w:val="20"/>
          <w:szCs w:val="20"/>
          <w:lang w:eastAsia="en-NZ"/>
        </w:rPr>
      </w:pPr>
    </w:p>
    <w:p w:rsidR="007A06F2" w:rsidRDefault="007A06F2" w:rsidP="007A06F2">
      <w:pPr>
        <w:tabs>
          <w:tab w:val="left" w:pos="3080"/>
        </w:tabs>
        <w:rPr>
          <w:rFonts w:ascii="Times New Roman" w:hAnsi="Times New Roman" w:cs="Times New Roman"/>
          <w:noProof/>
          <w:sz w:val="20"/>
          <w:szCs w:val="20"/>
          <w:lang w:eastAsia="en-NZ"/>
        </w:rPr>
      </w:pPr>
      <w:r>
        <w:rPr>
          <w:rFonts w:ascii="Times New Roman" w:hAnsi="Times New Roman" w:cs="Times New Roman"/>
          <w:noProof/>
          <w:sz w:val="20"/>
          <w:szCs w:val="20"/>
          <w:lang w:eastAsia="en-NZ"/>
        </w:rPr>
        <w:t>Molecular Breeding</w:t>
      </w:r>
    </w:p>
    <w:p w:rsidR="007A06F2" w:rsidRPr="00165744" w:rsidRDefault="007A06F2" w:rsidP="007A06F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5744">
        <w:rPr>
          <w:rFonts w:ascii="Times New Roman" w:eastAsia="Times New Roman" w:hAnsi="Times New Roman" w:cs="Times New Roman"/>
          <w:sz w:val="20"/>
          <w:szCs w:val="20"/>
        </w:rPr>
        <w:t>Daniel Mertten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*, </w:t>
      </w:r>
      <w:r w:rsidRPr="00165744">
        <w:rPr>
          <w:rFonts w:ascii="Times New Roman" w:hAnsi="Times New Roman" w:cs="Times New Roman"/>
          <w:sz w:val="20"/>
          <w:szCs w:val="20"/>
        </w:rPr>
        <w:t>Samantha Baldwin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65744">
        <w:rPr>
          <w:rFonts w:ascii="Times New Roman" w:hAnsi="Times New Roman" w:cs="Times New Roman"/>
          <w:sz w:val="20"/>
          <w:szCs w:val="20"/>
        </w:rPr>
        <w:t>Canhong H. Cheng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65744">
        <w:rPr>
          <w:rFonts w:ascii="Times New Roman" w:hAnsi="Times New Roman" w:cs="Times New Roman"/>
          <w:sz w:val="20"/>
          <w:szCs w:val="20"/>
        </w:rPr>
        <w:t>John McCallum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65744">
        <w:rPr>
          <w:rFonts w:ascii="Times New Roman" w:hAnsi="Times New Roman" w:cs="Times New Roman"/>
          <w:sz w:val="20"/>
          <w:szCs w:val="20"/>
        </w:rPr>
        <w:t>Susan Thomson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65744">
        <w:rPr>
          <w:rFonts w:ascii="Times New Roman" w:hAnsi="Times New Roman" w:cs="Times New Roman"/>
          <w:sz w:val="20"/>
          <w:szCs w:val="20"/>
        </w:rPr>
        <w:t>David T. Ashton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65744">
        <w:rPr>
          <w:rFonts w:ascii="Times New Roman" w:hAnsi="Times New Roman" w:cs="Times New Roman"/>
          <w:sz w:val="20"/>
          <w:szCs w:val="20"/>
        </w:rPr>
        <w:t>Catherine McKenzie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65744">
        <w:rPr>
          <w:rFonts w:ascii="Times New Roman" w:hAnsi="Times New Roman" w:cs="Times New Roman"/>
          <w:sz w:val="20"/>
          <w:szCs w:val="20"/>
        </w:rPr>
        <w:t>Michael Lenhard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65744">
        <w:rPr>
          <w:rFonts w:ascii="Times New Roman" w:hAnsi="Times New Roman" w:cs="Times New Roman"/>
          <w:sz w:val="20"/>
          <w:szCs w:val="20"/>
        </w:rPr>
        <w:t>Paul M. Datson</w:t>
      </w:r>
    </w:p>
    <w:p w:rsidR="007A06F2" w:rsidRDefault="007A06F2" w:rsidP="007A06F2">
      <w:pPr>
        <w:tabs>
          <w:tab w:val="left" w:pos="3080"/>
        </w:tabs>
        <w:rPr>
          <w:rFonts w:ascii="Times New Roman" w:hAnsi="Times New Roman" w:cs="Times New Roman"/>
          <w:noProof/>
          <w:sz w:val="20"/>
          <w:szCs w:val="20"/>
          <w:lang w:eastAsia="en-NZ"/>
        </w:rPr>
      </w:pPr>
    </w:p>
    <w:p w:rsidR="007A06F2" w:rsidRPr="00165744" w:rsidRDefault="007A06F2" w:rsidP="007A06F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*</w:t>
      </w:r>
      <w:r w:rsidRPr="00165744">
        <w:rPr>
          <w:rFonts w:ascii="Times New Roman" w:hAnsi="Times New Roman" w:cs="Times New Roman"/>
          <w:b/>
          <w:sz w:val="20"/>
          <w:szCs w:val="20"/>
        </w:rPr>
        <w:t>Corresponding author:</w:t>
      </w:r>
    </w:p>
    <w:p w:rsidR="007A06F2" w:rsidRPr="00165744" w:rsidRDefault="007A06F2" w:rsidP="007A06F2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44">
        <w:rPr>
          <w:rFonts w:ascii="Times New Roman" w:hAnsi="Times New Roman" w:cs="Times New Roman"/>
          <w:sz w:val="20"/>
          <w:szCs w:val="20"/>
        </w:rPr>
        <w:t>Daniel Mertten</w:t>
      </w:r>
    </w:p>
    <w:p w:rsidR="007A06F2" w:rsidRPr="00165744" w:rsidRDefault="007A06F2" w:rsidP="007A06F2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44">
        <w:rPr>
          <w:rFonts w:ascii="Times New Roman" w:hAnsi="Times New Roman" w:cs="Times New Roman"/>
          <w:sz w:val="20"/>
          <w:szCs w:val="20"/>
        </w:rPr>
        <w:t>The New Zealand Institute for Plant and Food Research Ltd (PFR)</w:t>
      </w:r>
    </w:p>
    <w:p w:rsidR="007A06F2" w:rsidRPr="00165744" w:rsidRDefault="007A06F2" w:rsidP="007A06F2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44">
        <w:rPr>
          <w:rFonts w:ascii="Times New Roman" w:hAnsi="Times New Roman" w:cs="Times New Roman"/>
          <w:sz w:val="20"/>
          <w:szCs w:val="20"/>
        </w:rPr>
        <w:t>Auckland 1142, New Zealand</w:t>
      </w:r>
    </w:p>
    <w:p w:rsidR="007A06F2" w:rsidRPr="00165744" w:rsidRDefault="007A06F2" w:rsidP="007A06F2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44">
        <w:rPr>
          <w:rFonts w:ascii="Times New Roman" w:hAnsi="Times New Roman" w:cs="Times New Roman"/>
          <w:sz w:val="20"/>
          <w:szCs w:val="20"/>
        </w:rPr>
        <w:t>Email: Daniel.Mertten@plantandfood.co.nz</w:t>
      </w:r>
    </w:p>
    <w:p w:rsidR="007B6F6A" w:rsidRDefault="007B6F6A" w:rsidP="00B94D2D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7B6F6A" w:rsidRDefault="007B6F6A" w:rsidP="00B94D2D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7B6F6A" w:rsidRDefault="007B6F6A" w:rsidP="00B94D2D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  <w:sectPr w:rsidR="007B6F6A" w:rsidSect="007B6F6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B94D2D" w:rsidRPr="003859A3" w:rsidRDefault="00B94D2D" w:rsidP="00B94D2D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859A3">
        <w:rPr>
          <w:rFonts w:ascii="Times New Roman" w:hAnsi="Times New Roman" w:cs="Times New Roman"/>
          <w:b/>
          <w:sz w:val="20"/>
          <w:szCs w:val="20"/>
        </w:rPr>
        <w:lastRenderedPageBreak/>
        <w:t>Supplementary Table 1</w:t>
      </w:r>
      <w:r w:rsidRPr="003859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59A3">
        <w:rPr>
          <w:rFonts w:ascii="Times New Roman" w:hAnsi="Times New Roman" w:cs="Times New Roman"/>
          <w:i/>
          <w:iCs/>
          <w:sz w:val="20"/>
          <w:szCs w:val="20"/>
        </w:rPr>
        <w:t>Actinidia</w:t>
      </w:r>
      <w:proofErr w:type="spellEnd"/>
      <w:r w:rsidRPr="003859A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859A3">
        <w:rPr>
          <w:rFonts w:ascii="Times New Roman" w:hAnsi="Times New Roman" w:cs="Times New Roman"/>
          <w:i/>
          <w:iCs/>
          <w:sz w:val="20"/>
          <w:szCs w:val="20"/>
        </w:rPr>
        <w:t>arguta</w:t>
      </w:r>
      <w:proofErr w:type="spellEnd"/>
      <w:r w:rsidRPr="003859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59A3">
        <w:rPr>
          <w:rFonts w:ascii="Times New Roman" w:hAnsi="Times New Roman" w:cs="Times New Roman"/>
          <w:sz w:val="20"/>
          <w:szCs w:val="20"/>
        </w:rPr>
        <w:t>kiwiberry</w:t>
      </w:r>
      <w:proofErr w:type="spellEnd"/>
      <w:r w:rsidRPr="003859A3">
        <w:rPr>
          <w:rFonts w:ascii="Times New Roman" w:hAnsi="Times New Roman" w:cs="Times New Roman"/>
          <w:sz w:val="20"/>
          <w:szCs w:val="20"/>
        </w:rPr>
        <w:t xml:space="preserve"> population structure considering a two factorial crossing scheme with distant ancestral relatives (grey), female parents (red) and male parents (blue). </w:t>
      </w:r>
      <w:r w:rsidRPr="003859A3">
        <w:rPr>
          <w:rFonts w:ascii="Times New Roman" w:hAnsi="Times New Roman" w:cs="Times New Roman"/>
          <w:b/>
          <w:sz w:val="20"/>
          <w:szCs w:val="20"/>
        </w:rPr>
        <w:t>a</w:t>
      </w:r>
      <w:r w:rsidR="00B941A0">
        <w:rPr>
          <w:rFonts w:ascii="Times New Roman" w:hAnsi="Times New Roman" w:cs="Times New Roman"/>
          <w:b/>
          <w:sz w:val="20"/>
          <w:szCs w:val="20"/>
        </w:rPr>
        <w:t>)</w:t>
      </w:r>
      <w:r w:rsidRPr="003859A3">
        <w:rPr>
          <w:rFonts w:ascii="Times New Roman" w:hAnsi="Times New Roman" w:cs="Times New Roman"/>
          <w:sz w:val="20"/>
          <w:szCs w:val="20"/>
        </w:rPr>
        <w:t xml:space="preserve"> 13 female and (</w:t>
      </w:r>
      <w:r w:rsidRPr="003859A3">
        <w:rPr>
          <w:rFonts w:ascii="Times New Roman" w:hAnsi="Times New Roman" w:cs="Times New Roman"/>
          <w:b/>
          <w:sz w:val="20"/>
          <w:szCs w:val="20"/>
        </w:rPr>
        <w:t>b</w:t>
      </w:r>
      <w:r w:rsidRPr="003859A3">
        <w:rPr>
          <w:rFonts w:ascii="Times New Roman" w:hAnsi="Times New Roman" w:cs="Times New Roman"/>
          <w:sz w:val="20"/>
          <w:szCs w:val="20"/>
        </w:rPr>
        <w:t>) male parents are originated from the same cross, indicat</w:t>
      </w:r>
      <w:r>
        <w:rPr>
          <w:rFonts w:ascii="Times New Roman" w:hAnsi="Times New Roman" w:cs="Times New Roman"/>
          <w:sz w:val="20"/>
          <w:szCs w:val="20"/>
        </w:rPr>
        <w:t>ed by same distant ancestors.</w:t>
      </w:r>
    </w:p>
    <w:tbl>
      <w:tblPr>
        <w:tblW w:w="12781" w:type="dxa"/>
        <w:tblLook w:val="04A0" w:firstRow="1" w:lastRow="0" w:firstColumn="1" w:lastColumn="0" w:noHBand="0" w:noVBand="1"/>
      </w:tblPr>
      <w:tblGrid>
        <w:gridCol w:w="1027"/>
        <w:gridCol w:w="1027"/>
        <w:gridCol w:w="1632"/>
        <w:gridCol w:w="1005"/>
        <w:gridCol w:w="1039"/>
        <w:gridCol w:w="320"/>
        <w:gridCol w:w="1581"/>
        <w:gridCol w:w="1583"/>
        <w:gridCol w:w="1701"/>
        <w:gridCol w:w="805"/>
        <w:gridCol w:w="1061"/>
      </w:tblGrid>
      <w:tr w:rsidR="00B94D2D" w:rsidRPr="003859A3" w:rsidTr="00B941A0">
        <w:trPr>
          <w:trHeight w:val="113"/>
        </w:trPr>
        <w:tc>
          <w:tcPr>
            <w:tcW w:w="20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94D2D" w:rsidRPr="003859A3" w:rsidRDefault="00B94D2D" w:rsidP="007B6F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NZ"/>
              </w:rPr>
              <w:t>a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D2D" w:rsidRPr="003859A3" w:rsidRDefault="00B94D2D" w:rsidP="007B6F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NZ"/>
              </w:rPr>
              <w:t>b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D2D" w:rsidRPr="003859A3" w:rsidTr="00B941A0">
        <w:trPr>
          <w:trHeight w:val="113"/>
        </w:trPr>
        <w:tc>
          <w:tcPr>
            <w:tcW w:w="205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NZ"/>
              </w:rPr>
              <w:t>Distant Ancestors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AA02_01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AA01_01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Mother</w:t>
            </w:r>
          </w:p>
        </w:tc>
        <w:tc>
          <w:tcPr>
            <w:tcW w:w="1061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NZ"/>
              </w:rPr>
              <w:t>Distant Ancestors</w:t>
            </w:r>
          </w:p>
        </w:tc>
      </w:tr>
      <w:tr w:rsidR="00B94D2D" w:rsidRPr="003859A3" w:rsidTr="00B941A0">
        <w:trPr>
          <w:trHeight w:val="113"/>
        </w:trPr>
        <w:tc>
          <w:tcPr>
            <w:tcW w:w="2054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AA13_01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AA04_01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Father</w:t>
            </w:r>
          </w:p>
        </w:tc>
        <w:tc>
          <w:tcPr>
            <w:tcW w:w="1061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D2D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Mother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Father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Female Parent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Male Parent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Male Parent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Female Parent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D2D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6EE" w:themeFill="accent1" w:themeFillTint="66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AA05_06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6EE" w:themeFill="accent1" w:themeFillTint="66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AA13_01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0000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‘</w:t>
            </w:r>
            <w:proofErr w:type="spellStart"/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Hortgem</w:t>
            </w:r>
            <w:proofErr w:type="spellEnd"/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Tahi</w:t>
            </w:r>
            <w:proofErr w:type="spellEnd"/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0000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‘</w:t>
            </w:r>
            <w:proofErr w:type="spellStart"/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Hortgem</w:t>
            </w:r>
            <w:proofErr w:type="spellEnd"/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 xml:space="preserve"> Toru’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AA06_01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AA04_02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N01.165-12-05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N01.161-17-04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AA06_01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AA07_03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N01.166-14-04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N01.161-04-05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AA06_01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AA13_01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N01.166-02-03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N01.162-01-03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AA06_01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AA13_01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N01.167-13-01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N01.162-22-01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AA06_01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AA13_01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N01.168-09-05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N01.164-06-04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AA04_01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N01.166-05-04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N01.168-24-01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N01.163-01-01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N01.161-16-03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N01.161-09-02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N01.165-20-03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AA07_01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N01.167-25-01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N01.162-02-04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  <w:r w:rsidRPr="00B941A0">
              <w:rPr>
                <w:color w:val="000000" w:themeColor="text1"/>
                <w:lang w:eastAsia="en-NZ"/>
              </w:rPr>
              <w:t>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AA06_01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AA04_01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N01.165-11-01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b/>
                <w:bCs/>
                <w:color w:val="000000" w:themeColor="text1"/>
                <w:lang w:eastAsia="en-N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AA06_01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AA04_01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N01.167-11-04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b/>
                <w:bCs/>
                <w:color w:val="000000" w:themeColor="text1"/>
                <w:lang w:eastAsia="en-N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AA06_01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N01.165-09-01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b/>
                <w:bCs/>
                <w:color w:val="000000" w:themeColor="text1"/>
                <w:lang w:eastAsia="en-N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N01.163-01-02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b/>
                <w:bCs/>
                <w:color w:val="000000" w:themeColor="text1"/>
                <w:lang w:eastAsia="en-N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AA09_01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1A0" w:rsidRPr="00B941A0" w:rsidRDefault="00B941A0" w:rsidP="00B941A0">
            <w:pPr>
              <w:pStyle w:val="NoSpacing"/>
              <w:jc w:val="center"/>
              <w:rPr>
                <w:b/>
                <w:bCs/>
                <w:color w:val="000000" w:themeColor="text1"/>
                <w:lang w:eastAsia="en-N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AA06_01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AA07_01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b/>
                <w:bCs/>
                <w:color w:val="000000" w:themeColor="text1"/>
                <w:lang w:eastAsia="en-NZ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N01.161-02-04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  <w:r w:rsidRPr="00B941A0">
              <w:rPr>
                <w:color w:val="000000" w:themeColor="text1"/>
                <w:lang w:eastAsia="en-NZ"/>
              </w:rPr>
              <w:t>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B941A0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AA04_02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b/>
                <w:bCs/>
                <w:color w:val="000000" w:themeColor="text1"/>
                <w:lang w:eastAsia="en-NZ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N01.162-19-05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  <w:r w:rsidRPr="00B941A0">
              <w:rPr>
                <w:color w:val="000000" w:themeColor="text1"/>
                <w:lang w:eastAsia="en-NZ"/>
              </w:rPr>
              <w:t>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B941A0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1A0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AA04_02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pStyle w:val="NoSpacing"/>
              <w:jc w:val="center"/>
              <w:rPr>
                <w:b/>
                <w:bCs/>
                <w:color w:val="000000" w:themeColor="text1"/>
                <w:lang w:eastAsia="en-NZ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1A0" w:rsidRPr="003859A3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N01.166-02-05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</w:pPr>
            <w:r w:rsidRPr="00B941A0"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1A0" w:rsidRPr="00B941A0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1A0" w:rsidRPr="00B941A0" w:rsidRDefault="00B941A0" w:rsidP="00B941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B94D2D" w:rsidRPr="003859A3" w:rsidTr="00B941A0">
        <w:trPr>
          <w:trHeight w:val="1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AA05_03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AA07_03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B941A0">
            <w:pPr>
              <w:pStyle w:val="NoSpacing"/>
              <w:jc w:val="center"/>
              <w:rPr>
                <w:b/>
                <w:bCs/>
                <w:color w:val="000000" w:themeColor="text1"/>
                <w:lang w:eastAsia="en-NZ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B94D2D" w:rsidRPr="003859A3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003859A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N01.164-09-04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B941A0" w:rsidRDefault="00B941A0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  <w:r w:rsidRPr="00B941A0">
              <w:rPr>
                <w:color w:val="000000" w:themeColor="text1"/>
                <w:lang w:eastAsia="en-NZ"/>
              </w:rPr>
              <w:t>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B941A0" w:rsidRDefault="00B94D2D" w:rsidP="00B941A0">
            <w:pPr>
              <w:pStyle w:val="NoSpacing"/>
              <w:jc w:val="center"/>
              <w:rPr>
                <w:color w:val="000000" w:themeColor="text1"/>
                <w:lang w:eastAsia="en-NZ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D2D" w:rsidRPr="00B941A0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94D2D" w:rsidRPr="00B941A0" w:rsidRDefault="00B94D2D" w:rsidP="007B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</w:tbl>
    <w:p w:rsidR="00B94D2D" w:rsidRDefault="00B94D2D"/>
    <w:p w:rsidR="00B94D2D" w:rsidRDefault="00B94D2D"/>
    <w:p w:rsidR="00B94D2D" w:rsidRDefault="00B94D2D"/>
    <w:p w:rsidR="00B94D2D" w:rsidRDefault="00B94D2D"/>
    <w:p w:rsidR="00B94D2D" w:rsidRDefault="00B94D2D" w:rsidP="00B94D2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  <w:sectPr w:rsidR="00B94D2D" w:rsidSect="007B6F6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B94D2D" w:rsidRPr="00887D82" w:rsidRDefault="00B94D2D" w:rsidP="00B94D2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7D82">
        <w:rPr>
          <w:rFonts w:ascii="Times New Roman" w:hAnsi="Times New Roman" w:cs="Times New Roman"/>
          <w:b/>
          <w:sz w:val="20"/>
          <w:szCs w:val="20"/>
        </w:rPr>
        <w:lastRenderedPageBreak/>
        <w:t>Supplementary Table 2</w:t>
      </w:r>
      <w:r w:rsidRPr="00887D82">
        <w:rPr>
          <w:rFonts w:ascii="Times New Roman" w:hAnsi="Times New Roman" w:cs="Times New Roman"/>
          <w:sz w:val="20"/>
          <w:szCs w:val="20"/>
        </w:rPr>
        <w:t xml:space="preserve"> </w:t>
      </w:r>
      <w:r w:rsidR="005C3EDB">
        <w:rPr>
          <w:rFonts w:ascii="Times New Roman" w:hAnsi="Times New Roman" w:cs="Times New Roman"/>
          <w:sz w:val="20"/>
          <w:szCs w:val="20"/>
        </w:rPr>
        <w:t>A</w:t>
      </w:r>
      <w:bookmarkStart w:id="0" w:name="_GoBack"/>
      <w:bookmarkEnd w:id="0"/>
      <w:r w:rsidRPr="00887D82">
        <w:rPr>
          <w:rFonts w:ascii="Times New Roman" w:hAnsi="Times New Roman" w:cs="Times New Roman"/>
          <w:sz w:val="20"/>
          <w:szCs w:val="20"/>
        </w:rPr>
        <w:t xml:space="preserve">bsolute range of scored </w:t>
      </w:r>
      <w:proofErr w:type="spellStart"/>
      <w:proofErr w:type="gramStart"/>
      <w:r w:rsidRPr="00887D82">
        <w:rPr>
          <w:rFonts w:ascii="Times New Roman" w:hAnsi="Times New Roman" w:cs="Times New Roman"/>
          <w:i/>
          <w:iCs/>
          <w:sz w:val="20"/>
          <w:szCs w:val="20"/>
        </w:rPr>
        <w:t>Actinidia</w:t>
      </w:r>
      <w:proofErr w:type="spellEnd"/>
      <w:r w:rsidRPr="00887D8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87D82">
        <w:rPr>
          <w:rFonts w:ascii="Times New Roman" w:hAnsi="Times New Roman" w:cs="Times New Roman"/>
          <w:i/>
          <w:iCs/>
          <w:sz w:val="20"/>
          <w:szCs w:val="20"/>
        </w:rPr>
        <w:t>arguta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kiwiberry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fruit load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984"/>
      </w:tblGrid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b/>
                <w:sz w:val="20"/>
                <w:szCs w:val="20"/>
              </w:rPr>
              <w:t>No. of fruit</w:t>
            </w:r>
          </w:p>
        </w:tc>
      </w:tr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1–4</w:t>
            </w:r>
          </w:p>
        </w:tc>
      </w:tr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5–10</w:t>
            </w:r>
          </w:p>
        </w:tc>
      </w:tr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11–30</w:t>
            </w:r>
          </w:p>
        </w:tc>
      </w:tr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31–60</w:t>
            </w:r>
          </w:p>
        </w:tc>
      </w:tr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61–100</w:t>
            </w:r>
          </w:p>
        </w:tc>
      </w:tr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101–200</w:t>
            </w:r>
          </w:p>
        </w:tc>
      </w:tr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201–300</w:t>
            </w:r>
          </w:p>
        </w:tc>
      </w:tr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301–400</w:t>
            </w:r>
          </w:p>
        </w:tc>
      </w:tr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401–500</w:t>
            </w:r>
          </w:p>
        </w:tc>
      </w:tr>
      <w:tr w:rsidR="00B94D2D" w:rsidRPr="00887D82" w:rsidTr="007B6F6A">
        <w:tc>
          <w:tcPr>
            <w:tcW w:w="988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:rsidR="00B94D2D" w:rsidRPr="00887D82" w:rsidRDefault="00B94D2D" w:rsidP="007B6F6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501+</w:t>
            </w:r>
          </w:p>
        </w:tc>
      </w:tr>
    </w:tbl>
    <w:p w:rsidR="00B94D2D" w:rsidRDefault="00B94D2D" w:rsidP="00B94D2D"/>
    <w:p w:rsidR="00B94D2D" w:rsidRDefault="00B94D2D" w:rsidP="00B94D2D"/>
    <w:p w:rsidR="00B94D2D" w:rsidRDefault="00B94D2D" w:rsidP="00B94D2D">
      <w:pPr>
        <w:sectPr w:rsidR="00B94D2D" w:rsidSect="00B94D2D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B94D2D" w:rsidRDefault="00B94D2D" w:rsidP="00B94D2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Supplementary Table 3</w:t>
      </w:r>
      <w:r>
        <w:rPr>
          <w:rFonts w:ascii="Times New Roman" w:hAnsi="Times New Roman" w:cs="Times New Roman"/>
          <w:sz w:val="20"/>
          <w:szCs w:val="20"/>
        </w:rPr>
        <w:t xml:space="preserve"> Estimation of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Actinidia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arguta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kiwiberry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genetic parameters and expected genetic gain (EGG) for one vine trait and five fruit traits analysed with a linear mixed model (LMM), considering different relationship matrices, indicated by the letter (A and G), ploidy (2 and 4), and significance differences by the letters from Tukey’s HSD test. A double reduction coefficient (</w:t>
      </w:r>
      <w:r>
        <w:rPr>
          <w:rFonts w:ascii="Times New Roman" w:hAnsi="Times New Roman" w:cs="Times New Roman"/>
          <w:i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>) of 10% was incorporated into a second A4 model. A full model, considering all female vines with observations, was included to predict variance components and heritability. The 10-fold cross-validation model was replicated 10 times and each time a new random 10-fold grouping was analysed.</w:t>
      </w:r>
    </w:p>
    <w:tbl>
      <w:tblPr>
        <w:tblStyle w:val="GridTable4-Accent31"/>
        <w:tblpPr w:leftFromText="180" w:rightFromText="180" w:vertAnchor="text" w:horzAnchor="page" w:tblpX="938" w:tblpY="155"/>
        <w:tblW w:w="5387" w:type="pct"/>
        <w:tblInd w:w="0" w:type="dxa"/>
        <w:tblLook w:val="04A0" w:firstRow="1" w:lastRow="0" w:firstColumn="1" w:lastColumn="0" w:noHBand="0" w:noVBand="1"/>
      </w:tblPr>
      <w:tblGrid>
        <w:gridCol w:w="1909"/>
        <w:gridCol w:w="1295"/>
        <w:gridCol w:w="1043"/>
        <w:gridCol w:w="1052"/>
        <w:gridCol w:w="932"/>
        <w:gridCol w:w="1115"/>
        <w:gridCol w:w="1094"/>
        <w:gridCol w:w="812"/>
        <w:gridCol w:w="953"/>
        <w:gridCol w:w="953"/>
        <w:gridCol w:w="1313"/>
        <w:gridCol w:w="1274"/>
        <w:gridCol w:w="1283"/>
      </w:tblGrid>
      <w:tr w:rsidR="00B94D2D" w:rsidTr="00B94D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vMerge w:val="restart"/>
            <w:tcBorders>
              <w:bottom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Trait</w:t>
            </w:r>
          </w:p>
        </w:tc>
        <w:tc>
          <w:tcPr>
            <w:tcW w:w="431" w:type="pct"/>
            <w:vMerge w:val="restart"/>
            <w:tcBorders>
              <w:bottom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Relationship matrix</w:t>
            </w:r>
          </w:p>
        </w:tc>
        <w:tc>
          <w:tcPr>
            <w:tcW w:w="1007" w:type="pct"/>
            <w:gridSpan w:val="3"/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Full – model</w:t>
            </w:r>
          </w:p>
        </w:tc>
        <w:tc>
          <w:tcPr>
            <w:tcW w:w="2927" w:type="pct"/>
            <w:gridSpan w:val="8"/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10-fold cross-validation (10x)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C9C9C9" w:themeColor="accent3" w:themeTint="99"/>
              <w:right w:val="nil"/>
            </w:tcBorders>
            <w:vAlign w:val="center"/>
            <w:hideMark/>
          </w:tcPr>
          <w:p w:rsidR="00B94D2D" w:rsidRDefault="00B94D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5A5A5" w:themeColor="accent3"/>
              <w:left w:val="nil"/>
              <w:bottom w:val="single" w:sz="4" w:space="0" w:color="C9C9C9" w:themeColor="accent3" w:themeTint="99"/>
              <w:right w:val="nil"/>
            </w:tcBorders>
            <w:vAlign w:val="center"/>
            <w:hideMark/>
          </w:tcPr>
          <w:p w:rsidR="00B94D2D" w:rsidRDefault="00B9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5C3ED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5C3ED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e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5C3ED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 xml:space="preserve">NS 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SE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5C3ED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</m:e>
                </m:acc>
              </m:oMath>
            </m:oMathPara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5C3ED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e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</m:e>
                </m:acc>
              </m:oMath>
            </m:oMathPara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5C3ED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 xml:space="preserve">NS 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</m:e>
                </m:acc>
              </m:oMath>
            </m:oMathPara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EGG 2017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EGG 2018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2019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2020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overall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Fruit Load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2.08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ω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1.79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1.88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1.68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0.38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1.31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 (0.06)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Fruit Weight (g)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4.71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 (0.02)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4.67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 (0.02)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ω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4.06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 (0.03)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0.48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3.63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1.49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 (0.03)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4.92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1.62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 (0.03)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0.53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0.47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Dry Matter (%)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4.21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2.93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4.17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2.93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ω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3.62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2.93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0.37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0.31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0.38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lastRenderedPageBreak/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3.32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2.89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3.19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3.26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 (0.06)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Ripe Soluble Solids Content (Brix)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3.34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2.43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 (0.06)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3.31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2.43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 (0.06)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ω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2.88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2.43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 (0.06)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2.60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 (0.06)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1.91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2.91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 (0.07)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Fruit Circularity – crosswise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6.68e-05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7.49e-05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5.66e-05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7.50e-05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1.45e-03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1.58e-03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1.61e-03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5.66e-05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7.48e-05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5.64e-05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7.48e-05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1.44e-03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1.58e-03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1.60e-03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ω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4.92e-05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7.48e-05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4.91e-05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7.48e-05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5.55e-05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6.96e-05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 (0.04)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5.61e-05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6.96e-05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2.99e-05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8.67e-05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 (0.04)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3.13e-05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8.57e-05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9.76e-04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Fruit Circularity – lengthwise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1.01e-04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3E1257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6.99e-05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 (0.04)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1.00e-04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7.01e-05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1.40e-03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1.01e-04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3E1257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6.98e-05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 (0.04)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9.98e-05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7.00e-05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1.40e-03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ω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5857C7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8.74</w:t>
            </w:r>
            <w:r w:rsidR="00B94D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e-05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6.98e-05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8.67e-05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6.99e-05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1.32e-03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1.17e-03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1.30e-03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</w:tr>
      <w:tr w:rsidR="00B94D2D" w:rsidTr="00B94D2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G2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8.24e-05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3E1257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B94D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.69e-05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 (0.04)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8.27e-05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6.68e-05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9.88e-04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1.11e-03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B94D2D" w:rsidTr="00B94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G4</w:t>
            </w:r>
          </w:p>
        </w:tc>
        <w:tc>
          <w:tcPr>
            <w:tcW w:w="34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4.91e-05</w:t>
            </w:r>
          </w:p>
        </w:tc>
        <w:tc>
          <w:tcPr>
            <w:tcW w:w="35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9.22e-05</w:t>
            </w:r>
          </w:p>
        </w:tc>
        <w:tc>
          <w:tcPr>
            <w:tcW w:w="31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 (0.05)</w:t>
            </w:r>
          </w:p>
        </w:tc>
        <w:tc>
          <w:tcPr>
            <w:tcW w:w="371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5.10e-05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6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9.08e-05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0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3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8.42e-04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24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6.22e-04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27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B94D2D" w:rsidRDefault="00B94D2D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7.91e-04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</w:tbl>
    <w:p w:rsidR="00B94D2D" w:rsidRDefault="00B94D2D" w:rsidP="00B94D2D"/>
    <w:sectPr w:rsidR="00B94D2D" w:rsidSect="007B6F6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91"/>
    <w:rsid w:val="003E1257"/>
    <w:rsid w:val="005857C7"/>
    <w:rsid w:val="005C3EDB"/>
    <w:rsid w:val="00755605"/>
    <w:rsid w:val="0079286D"/>
    <w:rsid w:val="007A06F2"/>
    <w:rsid w:val="007A6791"/>
    <w:rsid w:val="007B6F6A"/>
    <w:rsid w:val="00B941A0"/>
    <w:rsid w:val="00B9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3E7A5"/>
  <w15:chartTrackingRefBased/>
  <w15:docId w15:val="{5E3DC1E6-50E2-4EB2-8407-00F3C4BC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D2D"/>
    <w:pPr>
      <w:spacing w:after="0" w:line="240" w:lineRule="auto"/>
    </w:pPr>
  </w:style>
  <w:style w:type="table" w:styleId="TableGrid">
    <w:name w:val="Table Grid"/>
    <w:basedOn w:val="TableNormal"/>
    <w:uiPriority w:val="39"/>
    <w:rsid w:val="00B9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uiPriority w:val="49"/>
    <w:rsid w:val="00B94D2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Plant &amp; Food Research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Mertten</dc:creator>
  <cp:keywords/>
  <dc:description/>
  <cp:lastModifiedBy>Daniel Mertten</cp:lastModifiedBy>
  <cp:revision>7</cp:revision>
  <dcterms:created xsi:type="dcterms:W3CDTF">2023-06-03T03:31:00Z</dcterms:created>
  <dcterms:modified xsi:type="dcterms:W3CDTF">2023-09-15T08:42:00Z</dcterms:modified>
</cp:coreProperties>
</file>