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E4F4" w14:textId="77777777" w:rsidR="00DC301B" w:rsidRPr="007D7034" w:rsidRDefault="00DC301B" w:rsidP="00DC301B">
      <w:pPr>
        <w:pStyle w:val="Heading1"/>
        <w:ind w:firstLine="0"/>
        <w:rPr>
          <w:rFonts w:ascii="Times New Roman" w:hAnsi="Times New Roman" w:cs="Times New Roman"/>
          <w:sz w:val="24"/>
          <w:szCs w:val="16"/>
          <w:lang w:val="en-US"/>
        </w:rPr>
      </w:pPr>
      <w:bookmarkStart w:id="0" w:name="_Ref114746440"/>
      <w:r w:rsidRPr="007D7034">
        <w:rPr>
          <w:rFonts w:ascii="Times New Roman" w:hAnsi="Times New Roman" w:cs="Times New Roman"/>
          <w:sz w:val="24"/>
          <w:szCs w:val="24"/>
          <w:lang w:val="en-US"/>
        </w:rPr>
        <w:t>Identification of stably expressed microRNAs in high-grade serous ovarian carcinomas and benign ovarian tumors</w:t>
      </w:r>
      <w:r>
        <w:rPr>
          <w:rFonts w:ascii="Times New Roman" w:hAnsi="Times New Roman" w:cs="Times New Roman"/>
          <w:sz w:val="24"/>
          <w:szCs w:val="24"/>
          <w:lang w:val="en-US"/>
        </w:rPr>
        <w:t xml:space="preserve">, </w:t>
      </w:r>
      <w:r w:rsidRPr="00921314">
        <w:rPr>
          <w:rFonts w:ascii="Times New Roman" w:hAnsi="Times New Roman" w:cs="Times New Roman"/>
          <w:sz w:val="24"/>
          <w:szCs w:val="24"/>
          <w:lang w:val="en-US"/>
        </w:rPr>
        <w:t>Molecular Biology Reports</w:t>
      </w:r>
      <w:r>
        <w:rPr>
          <w:rFonts w:ascii="Times New Roman" w:hAnsi="Times New Roman" w:cs="Times New Roman"/>
          <w:sz w:val="24"/>
          <w:szCs w:val="24"/>
          <w:lang w:val="en-US"/>
        </w:rPr>
        <w:t xml:space="preserve"> (2023).</w:t>
      </w:r>
    </w:p>
    <w:p w14:paraId="6349411A" w14:textId="77777777" w:rsidR="00DC301B" w:rsidRPr="007D7034" w:rsidRDefault="00DC301B" w:rsidP="00DC301B">
      <w:pPr>
        <w:pStyle w:val="NoSpacing"/>
        <w:spacing w:line="480" w:lineRule="auto"/>
        <w:ind w:firstLine="0"/>
        <w:rPr>
          <w:rFonts w:ascii="Times New Roman" w:hAnsi="Times New Roman" w:cs="Times New Roman"/>
          <w:sz w:val="20"/>
          <w:szCs w:val="20"/>
          <w:lang w:val="en-US"/>
        </w:rPr>
      </w:pPr>
      <w:r w:rsidRPr="007D7034">
        <w:rPr>
          <w:rFonts w:ascii="Times New Roman" w:hAnsi="Times New Roman" w:cs="Times New Roman"/>
          <w:sz w:val="20"/>
          <w:szCs w:val="20"/>
          <w:lang w:val="en-US"/>
        </w:rPr>
        <w:t>Patrick HD Petersen</w:t>
      </w:r>
      <w:r w:rsidRPr="007D7034">
        <w:rPr>
          <w:rFonts w:ascii="Times New Roman" w:hAnsi="Times New Roman" w:cs="Times New Roman"/>
          <w:sz w:val="20"/>
          <w:szCs w:val="20"/>
          <w:vertAlign w:val="superscript"/>
          <w:lang w:val="en-US"/>
        </w:rPr>
        <w:t>1</w:t>
      </w:r>
      <w:r w:rsidRPr="007D7034">
        <w:rPr>
          <w:rFonts w:ascii="Times New Roman" w:hAnsi="Times New Roman" w:cs="Times New Roman"/>
          <w:sz w:val="20"/>
          <w:szCs w:val="20"/>
          <w:lang w:val="en-US"/>
        </w:rPr>
        <w:t>, Joanna Lopacinska-Jørgensen</w:t>
      </w:r>
      <w:r w:rsidRPr="007D7034">
        <w:rPr>
          <w:rFonts w:ascii="Times New Roman" w:hAnsi="Times New Roman" w:cs="Times New Roman"/>
          <w:sz w:val="20"/>
          <w:szCs w:val="20"/>
          <w:vertAlign w:val="superscript"/>
          <w:lang w:val="en-US"/>
        </w:rPr>
        <w:t>1</w:t>
      </w:r>
      <w:r w:rsidRPr="007D7034">
        <w:rPr>
          <w:rFonts w:ascii="Times New Roman" w:hAnsi="Times New Roman" w:cs="Times New Roman"/>
          <w:sz w:val="20"/>
          <w:szCs w:val="20"/>
          <w:lang w:val="en-US"/>
        </w:rPr>
        <w:t>, Douglas VNP Oliveira</w:t>
      </w:r>
      <w:r w:rsidRPr="007D7034">
        <w:rPr>
          <w:rFonts w:ascii="Times New Roman" w:hAnsi="Times New Roman" w:cs="Times New Roman"/>
          <w:sz w:val="20"/>
          <w:szCs w:val="20"/>
          <w:vertAlign w:val="superscript"/>
          <w:lang w:val="en-US"/>
        </w:rPr>
        <w:t>1</w:t>
      </w:r>
      <w:r w:rsidRPr="007D7034">
        <w:rPr>
          <w:rFonts w:ascii="Times New Roman" w:hAnsi="Times New Roman" w:cs="Times New Roman"/>
          <w:sz w:val="20"/>
          <w:szCs w:val="20"/>
          <w:lang w:val="en-US"/>
        </w:rPr>
        <w:t>, Claus K Høgdall</w:t>
      </w:r>
      <w:r w:rsidRPr="007D7034">
        <w:rPr>
          <w:rFonts w:ascii="Times New Roman" w:hAnsi="Times New Roman" w:cs="Times New Roman"/>
          <w:sz w:val="20"/>
          <w:szCs w:val="20"/>
          <w:vertAlign w:val="superscript"/>
          <w:lang w:val="en-US"/>
        </w:rPr>
        <w:t>2</w:t>
      </w:r>
      <w:r w:rsidRPr="007D7034">
        <w:rPr>
          <w:rFonts w:ascii="Times New Roman" w:hAnsi="Times New Roman" w:cs="Times New Roman"/>
          <w:sz w:val="20"/>
          <w:szCs w:val="20"/>
          <w:lang w:val="en-US"/>
        </w:rPr>
        <w:t>, Estrid V Høgdall</w:t>
      </w:r>
      <w:r w:rsidRPr="007D7034">
        <w:rPr>
          <w:rFonts w:ascii="Times New Roman" w:hAnsi="Times New Roman" w:cs="Times New Roman"/>
          <w:sz w:val="20"/>
          <w:szCs w:val="20"/>
          <w:vertAlign w:val="superscript"/>
          <w:lang w:val="en-US"/>
        </w:rPr>
        <w:t>1*</w:t>
      </w:r>
    </w:p>
    <w:p w14:paraId="0C5361D5" w14:textId="77777777" w:rsidR="00DC301B" w:rsidRPr="007D7034" w:rsidRDefault="00DC301B" w:rsidP="00DC301B">
      <w:pPr>
        <w:rPr>
          <w:rFonts w:ascii="Times New Roman" w:hAnsi="Times New Roman" w:cs="Times New Roman"/>
          <w:i/>
          <w:iCs/>
          <w:sz w:val="20"/>
          <w:szCs w:val="20"/>
          <w:lang w:val="en-US"/>
        </w:rPr>
      </w:pPr>
      <w:r w:rsidRPr="007D7034">
        <w:rPr>
          <w:rFonts w:ascii="Times New Roman" w:hAnsi="Times New Roman" w:cs="Times New Roman"/>
          <w:i/>
          <w:iCs/>
          <w:sz w:val="20"/>
          <w:szCs w:val="20"/>
          <w:vertAlign w:val="superscript"/>
          <w:lang w:val="en-US"/>
        </w:rPr>
        <w:t>1</w:t>
      </w:r>
      <w:r w:rsidRPr="007D7034">
        <w:rPr>
          <w:rFonts w:ascii="Times New Roman" w:hAnsi="Times New Roman" w:cs="Times New Roman"/>
          <w:i/>
          <w:iCs/>
          <w:sz w:val="20"/>
          <w:szCs w:val="20"/>
          <w:lang w:val="en-US"/>
        </w:rPr>
        <w:t xml:space="preserve">Department of Pathology, </w:t>
      </w:r>
      <w:proofErr w:type="spellStart"/>
      <w:r w:rsidRPr="007D7034">
        <w:rPr>
          <w:rFonts w:ascii="Times New Roman" w:hAnsi="Times New Roman" w:cs="Times New Roman"/>
          <w:i/>
          <w:iCs/>
          <w:sz w:val="20"/>
          <w:szCs w:val="20"/>
          <w:lang w:val="en-US"/>
        </w:rPr>
        <w:t>Herlev</w:t>
      </w:r>
      <w:proofErr w:type="spellEnd"/>
      <w:r w:rsidRPr="007D7034">
        <w:rPr>
          <w:rFonts w:ascii="Times New Roman" w:hAnsi="Times New Roman" w:cs="Times New Roman"/>
          <w:i/>
          <w:iCs/>
          <w:sz w:val="20"/>
          <w:szCs w:val="20"/>
          <w:lang w:val="en-US"/>
        </w:rPr>
        <w:t xml:space="preserve"> Hospital, University of Copenhagen, 2730 </w:t>
      </w:r>
      <w:proofErr w:type="spellStart"/>
      <w:r w:rsidRPr="007D7034">
        <w:rPr>
          <w:rFonts w:ascii="Times New Roman" w:hAnsi="Times New Roman" w:cs="Times New Roman"/>
          <w:i/>
          <w:iCs/>
          <w:sz w:val="20"/>
          <w:szCs w:val="20"/>
          <w:lang w:val="en-US"/>
        </w:rPr>
        <w:t>Herlev</w:t>
      </w:r>
      <w:proofErr w:type="spellEnd"/>
      <w:r w:rsidRPr="007D7034">
        <w:rPr>
          <w:rFonts w:ascii="Times New Roman" w:hAnsi="Times New Roman" w:cs="Times New Roman"/>
          <w:i/>
          <w:iCs/>
          <w:sz w:val="20"/>
          <w:szCs w:val="20"/>
          <w:lang w:val="en-US"/>
        </w:rPr>
        <w:t xml:space="preserve">, Denmark, </w:t>
      </w:r>
      <w:r w:rsidRPr="007D7034">
        <w:rPr>
          <w:rFonts w:ascii="Times New Roman" w:hAnsi="Times New Roman" w:cs="Times New Roman"/>
          <w:i/>
          <w:iCs/>
          <w:sz w:val="20"/>
          <w:szCs w:val="20"/>
          <w:vertAlign w:val="superscript"/>
          <w:lang w:val="en-US"/>
        </w:rPr>
        <w:t>2</w:t>
      </w:r>
      <w:r w:rsidRPr="007D7034">
        <w:rPr>
          <w:rFonts w:ascii="Times New Roman" w:hAnsi="Times New Roman" w:cs="Times New Roman"/>
          <w:i/>
          <w:iCs/>
          <w:sz w:val="20"/>
          <w:szCs w:val="20"/>
          <w:lang w:val="en-US"/>
        </w:rPr>
        <w:t xml:space="preserve">Department of Gynecology, The Juliane Marie Centre, </w:t>
      </w:r>
      <w:proofErr w:type="spellStart"/>
      <w:r w:rsidRPr="007D7034">
        <w:rPr>
          <w:rFonts w:ascii="Times New Roman" w:hAnsi="Times New Roman" w:cs="Times New Roman"/>
          <w:i/>
          <w:iCs/>
          <w:sz w:val="20"/>
          <w:szCs w:val="20"/>
          <w:lang w:val="en-US"/>
        </w:rPr>
        <w:t>Rigshospitalet</w:t>
      </w:r>
      <w:proofErr w:type="spellEnd"/>
      <w:r w:rsidRPr="007D7034">
        <w:rPr>
          <w:rFonts w:ascii="Times New Roman" w:hAnsi="Times New Roman" w:cs="Times New Roman"/>
          <w:i/>
          <w:iCs/>
          <w:sz w:val="20"/>
          <w:szCs w:val="20"/>
          <w:lang w:val="en-US"/>
        </w:rPr>
        <w:t>, University of Copenhagen, 2100 Copenhagen, Denmark.</w:t>
      </w:r>
    </w:p>
    <w:p w14:paraId="75DCE49E" w14:textId="77777777" w:rsidR="00DC301B" w:rsidRPr="007D7034" w:rsidRDefault="00DC301B" w:rsidP="00DC301B">
      <w:pPr>
        <w:pStyle w:val="NoSpacing"/>
        <w:ind w:firstLine="0"/>
        <w:rPr>
          <w:rFonts w:ascii="Times New Roman" w:hAnsi="Times New Roman" w:cs="Times New Roman"/>
          <w:sz w:val="20"/>
          <w:szCs w:val="20"/>
          <w:lang w:val="en-US"/>
        </w:rPr>
      </w:pPr>
    </w:p>
    <w:p w14:paraId="363B831A" w14:textId="77777777" w:rsidR="00DC301B" w:rsidRPr="007D7034" w:rsidRDefault="00DC301B" w:rsidP="00DC301B">
      <w:pPr>
        <w:pStyle w:val="NoSpacing"/>
        <w:ind w:firstLine="0"/>
        <w:rPr>
          <w:rFonts w:ascii="Times New Roman" w:hAnsi="Times New Roman" w:cs="Times New Roman"/>
          <w:sz w:val="20"/>
          <w:szCs w:val="20"/>
          <w:lang w:val="en-US"/>
        </w:rPr>
      </w:pPr>
      <w:r w:rsidRPr="007D7034">
        <w:rPr>
          <w:rFonts w:ascii="Times New Roman" w:hAnsi="Times New Roman" w:cs="Times New Roman"/>
          <w:sz w:val="20"/>
          <w:szCs w:val="20"/>
          <w:lang w:val="en-US"/>
        </w:rPr>
        <w:t xml:space="preserve">Corresponding author: </w:t>
      </w:r>
    </w:p>
    <w:p w14:paraId="2421401C" w14:textId="77777777" w:rsidR="00DC301B" w:rsidRPr="007D7034" w:rsidRDefault="00DC301B" w:rsidP="00DC301B">
      <w:pPr>
        <w:pStyle w:val="NoSpacing"/>
        <w:ind w:firstLine="0"/>
        <w:rPr>
          <w:rFonts w:ascii="Times New Roman" w:hAnsi="Times New Roman" w:cs="Times New Roman"/>
          <w:sz w:val="20"/>
          <w:szCs w:val="20"/>
          <w:lang w:val="en-US"/>
        </w:rPr>
      </w:pPr>
      <w:r w:rsidRPr="007D7034">
        <w:rPr>
          <w:rFonts w:ascii="Times New Roman" w:hAnsi="Times New Roman" w:cs="Times New Roman"/>
          <w:sz w:val="20"/>
          <w:szCs w:val="20"/>
          <w:lang w:val="en-US"/>
        </w:rPr>
        <w:t>Prof. Estrid Høgdall</w:t>
      </w:r>
    </w:p>
    <w:p w14:paraId="2AA52679" w14:textId="77777777" w:rsidR="00DC301B" w:rsidRPr="007D7034" w:rsidRDefault="00DC301B" w:rsidP="00DC301B">
      <w:pPr>
        <w:pStyle w:val="NoSpacing"/>
        <w:ind w:firstLine="0"/>
        <w:rPr>
          <w:rFonts w:ascii="Times New Roman" w:hAnsi="Times New Roman" w:cs="Times New Roman"/>
          <w:sz w:val="20"/>
          <w:szCs w:val="20"/>
          <w:lang w:val="en-US"/>
        </w:rPr>
      </w:pPr>
      <w:r w:rsidRPr="007D7034">
        <w:rPr>
          <w:rFonts w:ascii="Times New Roman" w:hAnsi="Times New Roman" w:cs="Times New Roman"/>
          <w:sz w:val="20"/>
          <w:szCs w:val="20"/>
          <w:lang w:val="en-US"/>
        </w:rPr>
        <w:t xml:space="preserve">Department of Pathology, </w:t>
      </w:r>
      <w:proofErr w:type="spellStart"/>
      <w:r w:rsidRPr="007D7034">
        <w:rPr>
          <w:rFonts w:ascii="Times New Roman" w:hAnsi="Times New Roman" w:cs="Times New Roman"/>
          <w:sz w:val="20"/>
          <w:szCs w:val="20"/>
          <w:lang w:val="en-US"/>
        </w:rPr>
        <w:t>Herlev</w:t>
      </w:r>
      <w:proofErr w:type="spellEnd"/>
      <w:r w:rsidRPr="007D7034">
        <w:rPr>
          <w:rFonts w:ascii="Times New Roman" w:hAnsi="Times New Roman" w:cs="Times New Roman"/>
          <w:sz w:val="20"/>
          <w:szCs w:val="20"/>
          <w:lang w:val="en-US"/>
        </w:rPr>
        <w:t xml:space="preserve"> Hospital</w:t>
      </w:r>
    </w:p>
    <w:p w14:paraId="1CC1C18E" w14:textId="77777777" w:rsidR="00DC301B" w:rsidRPr="007D7034" w:rsidRDefault="00DC301B" w:rsidP="00DC301B">
      <w:pPr>
        <w:pStyle w:val="NoSpacing"/>
        <w:ind w:firstLine="0"/>
        <w:rPr>
          <w:rFonts w:ascii="Times New Roman" w:hAnsi="Times New Roman" w:cs="Times New Roman"/>
          <w:sz w:val="20"/>
          <w:szCs w:val="20"/>
        </w:rPr>
      </w:pPr>
      <w:r w:rsidRPr="007D7034">
        <w:rPr>
          <w:rFonts w:ascii="Times New Roman" w:hAnsi="Times New Roman" w:cs="Times New Roman"/>
          <w:sz w:val="20"/>
          <w:szCs w:val="20"/>
        </w:rPr>
        <w:t>University of Copenhagen</w:t>
      </w:r>
    </w:p>
    <w:p w14:paraId="502B3702" w14:textId="77777777" w:rsidR="00DC301B" w:rsidRPr="007D7034" w:rsidRDefault="00DC301B" w:rsidP="00DC301B">
      <w:pPr>
        <w:pStyle w:val="NoSpacing"/>
        <w:ind w:firstLine="0"/>
        <w:rPr>
          <w:rFonts w:ascii="Times New Roman" w:hAnsi="Times New Roman" w:cs="Times New Roman"/>
          <w:sz w:val="20"/>
          <w:szCs w:val="20"/>
        </w:rPr>
      </w:pPr>
      <w:r w:rsidRPr="007D7034">
        <w:rPr>
          <w:rFonts w:ascii="Times New Roman" w:hAnsi="Times New Roman" w:cs="Times New Roman"/>
          <w:sz w:val="20"/>
          <w:szCs w:val="20"/>
        </w:rPr>
        <w:t>Borgmester Ib Juuls Vej 25</w:t>
      </w:r>
    </w:p>
    <w:p w14:paraId="24EA1A13" w14:textId="77777777" w:rsidR="00DC301B" w:rsidRPr="007D7034" w:rsidRDefault="00DC301B" w:rsidP="00DC301B">
      <w:pPr>
        <w:pStyle w:val="NoSpacing"/>
        <w:ind w:firstLine="0"/>
        <w:rPr>
          <w:rFonts w:ascii="Times New Roman" w:hAnsi="Times New Roman" w:cs="Times New Roman"/>
          <w:sz w:val="20"/>
          <w:szCs w:val="20"/>
        </w:rPr>
      </w:pPr>
      <w:r w:rsidRPr="007D7034">
        <w:rPr>
          <w:rFonts w:ascii="Times New Roman" w:hAnsi="Times New Roman" w:cs="Times New Roman"/>
          <w:sz w:val="20"/>
          <w:szCs w:val="20"/>
        </w:rPr>
        <w:t>2730 Herlev, Denmark</w:t>
      </w:r>
    </w:p>
    <w:p w14:paraId="43F71648" w14:textId="77777777" w:rsidR="00DC301B" w:rsidRDefault="00DC301B" w:rsidP="00DC301B">
      <w:pPr>
        <w:pStyle w:val="NoSpacing"/>
        <w:ind w:firstLine="0"/>
        <w:rPr>
          <w:rStyle w:val="Hyperlink"/>
          <w:rFonts w:ascii="Times New Roman" w:hAnsi="Times New Roman" w:cs="Times New Roman"/>
          <w:sz w:val="20"/>
          <w:szCs w:val="20"/>
          <w:lang w:val="en-US"/>
        </w:rPr>
      </w:pPr>
      <w:r w:rsidRPr="007D7034">
        <w:rPr>
          <w:rFonts w:ascii="Times New Roman" w:hAnsi="Times New Roman" w:cs="Times New Roman"/>
          <w:sz w:val="20"/>
          <w:szCs w:val="20"/>
          <w:lang w:val="en-US"/>
        </w:rPr>
        <w:t xml:space="preserve">e-mail: </w:t>
      </w:r>
      <w:hyperlink r:id="rId5" w:history="1">
        <w:r w:rsidRPr="007D7034">
          <w:rPr>
            <w:rStyle w:val="Hyperlink"/>
            <w:rFonts w:ascii="Times New Roman" w:hAnsi="Times New Roman" w:cs="Times New Roman"/>
            <w:sz w:val="20"/>
            <w:szCs w:val="20"/>
            <w:lang w:val="en-US"/>
          </w:rPr>
          <w:t>estrid.hoegdall@regionh.dk</w:t>
        </w:r>
      </w:hyperlink>
    </w:p>
    <w:p w14:paraId="03F35B78" w14:textId="18017A87" w:rsidR="00DC301B" w:rsidRDefault="00DC301B">
      <w:pPr>
        <w:spacing w:before="0" w:after="160" w:line="259" w:lineRule="auto"/>
        <w:ind w:firstLine="0"/>
        <w:jc w:val="left"/>
        <w:rPr>
          <w:lang w:val="en-US"/>
        </w:rPr>
      </w:pPr>
      <w:r>
        <w:rPr>
          <w:lang w:val="en-US"/>
        </w:rPr>
        <w:br w:type="page"/>
      </w:r>
    </w:p>
    <w:p w14:paraId="0BC658E0" w14:textId="534C35F5" w:rsidR="00DC301B" w:rsidRDefault="00DC301B">
      <w:pPr>
        <w:spacing w:before="0" w:after="160" w:line="259" w:lineRule="auto"/>
        <w:ind w:firstLine="0"/>
        <w:jc w:val="left"/>
        <w:rPr>
          <w:lang w:val="en-US"/>
        </w:rPr>
      </w:pPr>
    </w:p>
    <w:p w14:paraId="06C34E4B" w14:textId="3B10860C" w:rsidR="001229FA" w:rsidRPr="00DC301B" w:rsidRDefault="001229FA" w:rsidP="001229FA">
      <w:pPr>
        <w:pStyle w:val="Caption"/>
        <w:spacing w:line="240" w:lineRule="auto"/>
        <w:ind w:firstLine="0"/>
        <w:rPr>
          <w:rFonts w:ascii="Times New Roman" w:hAnsi="Times New Roman" w:cs="Times New Roman"/>
          <w:b w:val="0"/>
          <w:bCs w:val="0"/>
          <w:i/>
          <w:iCs/>
          <w:color w:val="44546A" w:themeColor="text2"/>
          <w:sz w:val="18"/>
          <w:szCs w:val="14"/>
          <w:lang w:val="en-US"/>
        </w:rPr>
      </w:pPr>
      <w:r w:rsidRPr="00DC301B">
        <w:rPr>
          <w:rFonts w:ascii="Times New Roman" w:hAnsi="Times New Roman" w:cs="Times New Roman"/>
          <w:b w:val="0"/>
          <w:bCs w:val="0"/>
          <w:i/>
          <w:iCs/>
          <w:color w:val="44546A" w:themeColor="text2"/>
          <w:sz w:val="18"/>
          <w:szCs w:val="14"/>
          <w:lang w:val="en-US"/>
        </w:rPr>
        <w:t>Table S</w:t>
      </w:r>
      <w:r w:rsidRPr="00DC301B">
        <w:rPr>
          <w:rFonts w:ascii="Times New Roman" w:hAnsi="Times New Roman" w:cs="Times New Roman"/>
          <w:b w:val="0"/>
          <w:bCs w:val="0"/>
          <w:i/>
          <w:iCs/>
          <w:color w:val="44546A" w:themeColor="text2"/>
          <w:sz w:val="18"/>
          <w:szCs w:val="14"/>
          <w:lang w:val="en-US"/>
        </w:rPr>
        <w:fldChar w:fldCharType="begin"/>
      </w:r>
      <w:r w:rsidRPr="00DC301B">
        <w:rPr>
          <w:rFonts w:ascii="Times New Roman" w:hAnsi="Times New Roman" w:cs="Times New Roman"/>
          <w:b w:val="0"/>
          <w:bCs w:val="0"/>
          <w:i/>
          <w:iCs/>
          <w:color w:val="44546A" w:themeColor="text2"/>
          <w:sz w:val="18"/>
          <w:szCs w:val="14"/>
          <w:lang w:val="en-US"/>
        </w:rPr>
        <w:instrText xml:space="preserve"> SEQ Table_S \* ARABIC </w:instrText>
      </w:r>
      <w:r w:rsidRPr="00DC301B">
        <w:rPr>
          <w:rFonts w:ascii="Times New Roman" w:hAnsi="Times New Roman" w:cs="Times New Roman"/>
          <w:b w:val="0"/>
          <w:bCs w:val="0"/>
          <w:i/>
          <w:iCs/>
          <w:color w:val="44546A" w:themeColor="text2"/>
          <w:sz w:val="18"/>
          <w:szCs w:val="14"/>
          <w:lang w:val="en-US"/>
        </w:rPr>
        <w:fldChar w:fldCharType="separate"/>
      </w:r>
      <w:r w:rsidRPr="00DC301B">
        <w:rPr>
          <w:rFonts w:ascii="Times New Roman" w:hAnsi="Times New Roman" w:cs="Times New Roman"/>
          <w:b w:val="0"/>
          <w:bCs w:val="0"/>
          <w:i/>
          <w:iCs/>
          <w:color w:val="44546A" w:themeColor="text2"/>
          <w:sz w:val="18"/>
          <w:szCs w:val="14"/>
          <w:lang w:val="en-US"/>
        </w:rPr>
        <w:t>1</w:t>
      </w:r>
      <w:r w:rsidRPr="00DC301B">
        <w:rPr>
          <w:rFonts w:ascii="Times New Roman" w:hAnsi="Times New Roman" w:cs="Times New Roman"/>
          <w:b w:val="0"/>
          <w:bCs w:val="0"/>
          <w:i/>
          <w:iCs/>
          <w:color w:val="44546A" w:themeColor="text2"/>
          <w:sz w:val="18"/>
          <w:szCs w:val="14"/>
          <w:lang w:val="en-US"/>
        </w:rPr>
        <w:fldChar w:fldCharType="end"/>
      </w:r>
      <w:r w:rsidRPr="00DC301B">
        <w:rPr>
          <w:rFonts w:ascii="Times New Roman" w:hAnsi="Times New Roman" w:cs="Times New Roman"/>
          <w:b w:val="0"/>
          <w:bCs w:val="0"/>
          <w:i/>
          <w:iCs/>
          <w:color w:val="44546A" w:themeColor="text2"/>
          <w:sz w:val="18"/>
          <w:szCs w:val="14"/>
          <w:lang w:val="en-US"/>
        </w:rPr>
        <w:t xml:space="preserve">: </w:t>
      </w:r>
      <w:bookmarkEnd w:id="0"/>
      <w:r w:rsidRPr="00DC301B">
        <w:rPr>
          <w:rFonts w:ascii="Times New Roman" w:hAnsi="Times New Roman" w:cs="Times New Roman"/>
          <w:b w:val="0"/>
          <w:bCs w:val="0"/>
          <w:i/>
          <w:iCs/>
          <w:color w:val="44546A" w:themeColor="text2"/>
          <w:sz w:val="18"/>
          <w:szCs w:val="14"/>
          <w:lang w:val="en-US"/>
        </w:rPr>
        <w:t xml:space="preserve">Stable endogenous control and biomarker candidates investigated in the study. </w:t>
      </w:r>
    </w:p>
    <w:tbl>
      <w:tblPr>
        <w:tblW w:w="9214" w:type="dxa"/>
        <w:tblLayout w:type="fixed"/>
        <w:tblLook w:val="0420" w:firstRow="1" w:lastRow="0" w:firstColumn="0" w:lastColumn="0" w:noHBand="0" w:noVBand="1"/>
      </w:tblPr>
      <w:tblGrid>
        <w:gridCol w:w="2127"/>
        <w:gridCol w:w="7087"/>
      </w:tblGrid>
      <w:tr w:rsidR="0041214A" w:rsidRPr="00904F13" w14:paraId="6B79C0F0" w14:textId="77777777" w:rsidTr="00DC301B">
        <w:trPr>
          <w:cantSplit/>
          <w:tblHeader/>
        </w:trPr>
        <w:tc>
          <w:tcPr>
            <w:tcW w:w="9214" w:type="dxa"/>
            <w:gridSpan w:val="2"/>
            <w:tcBorders>
              <w:top w:val="single" w:sz="18" w:space="0" w:color="666666"/>
              <w:bottom w:val="single" w:sz="16" w:space="0" w:color="666666"/>
            </w:tcBorders>
            <w:shd w:val="clear" w:color="auto" w:fill="FFFFFF"/>
            <w:tcMar>
              <w:top w:w="0" w:type="dxa"/>
              <w:left w:w="0" w:type="dxa"/>
              <w:bottom w:w="0" w:type="dxa"/>
              <w:right w:w="0" w:type="dxa"/>
            </w:tcMar>
            <w:vAlign w:val="center"/>
          </w:tcPr>
          <w:p w14:paraId="6E45166A" w14:textId="77777777" w:rsidR="0041214A" w:rsidRPr="00904F13" w:rsidRDefault="0041214A" w:rsidP="00583D01">
            <w:pPr>
              <w:pStyle w:val="TextTable"/>
              <w:framePr w:hSpace="0" w:wrap="auto" w:vAnchor="margin" w:hAnchor="text" w:yAlign="inline"/>
              <w:spacing w:before="0" w:after="0"/>
              <w:rPr>
                <w:b/>
                <w:bCs/>
                <w:sz w:val="22"/>
                <w:szCs w:val="22"/>
              </w:rPr>
            </w:pPr>
            <w:r w:rsidRPr="00904F13">
              <w:rPr>
                <w:b/>
                <w:bCs/>
                <w:sz w:val="22"/>
                <w:szCs w:val="22"/>
              </w:rPr>
              <w:t>Stable endogenous control candidates</w:t>
            </w:r>
          </w:p>
        </w:tc>
      </w:tr>
      <w:tr w:rsidR="0041214A" w:rsidRPr="00DC301B" w14:paraId="4499D814" w14:textId="77777777" w:rsidTr="00DC301B">
        <w:trPr>
          <w:cantSplit/>
          <w:tblHeader/>
        </w:trPr>
        <w:tc>
          <w:tcPr>
            <w:tcW w:w="9214" w:type="dxa"/>
            <w:gridSpan w:val="2"/>
            <w:shd w:val="clear" w:color="auto" w:fill="FFFFFF"/>
            <w:tcMar>
              <w:top w:w="0" w:type="dxa"/>
              <w:left w:w="0" w:type="dxa"/>
              <w:bottom w:w="0" w:type="dxa"/>
              <w:right w:w="0" w:type="dxa"/>
            </w:tcMar>
            <w:vAlign w:val="center"/>
          </w:tcPr>
          <w:p w14:paraId="38EBAEB3" w14:textId="533D5ABA" w:rsidR="0041214A" w:rsidRPr="0041214A" w:rsidRDefault="0041214A" w:rsidP="00583D01">
            <w:pPr>
              <w:pStyle w:val="TextTable"/>
              <w:framePr w:hSpace="0" w:wrap="auto" w:vAnchor="margin" w:hAnchor="text" w:yAlign="inline"/>
              <w:spacing w:before="0" w:after="0"/>
              <w:rPr>
                <w:sz w:val="22"/>
                <w:szCs w:val="22"/>
              </w:rPr>
            </w:pPr>
            <w:r w:rsidRPr="0041214A">
              <w:rPr>
                <w:sz w:val="22"/>
                <w:szCs w:val="22"/>
              </w:rPr>
              <w:t xml:space="preserve">hsa-miR-103a-3p </w:t>
            </w:r>
            <w:r>
              <w:rPr>
                <w:sz w:val="22"/>
                <w:szCs w:val="22"/>
                <w:lang w:val="da-DK"/>
              </w:rPr>
              <w:fldChar w:fldCharType="begin" w:fldLock="1"/>
            </w:r>
            <w:r w:rsidR="00930057">
              <w:rPr>
                <w:sz w:val="22"/>
                <w:szCs w:val="22"/>
              </w:rPr>
              <w:instrText>ADDIN CSL_CITATION {"citationItems":[{"id":"ITEM-1","itemData":{"DOI":"10.1111/jcmm.12927","ISSN":"15821838","PMID":"27419385","abstract":"MicroRNAs (miRNAs) belong to a family of small non-coding RNAs (sncRNAs) playing important roles in human carcinogenesis. Multiple investigations reported miRNAs aberrantly expressed in several cancers, including high-grade serous ovarian carcinoma (HGS-OvCa). Quantitative PCR is widely used in studies investigating miRNA expression and the identification of reliable endogenous controls is crucial for proper data normalization. In this study, we aimed to experimentally identify the most stable reference sncRNAs for normalization of miRNA qPCR expression data in HGS-OvCa. Eleven putative reference sncRNAs for normalization (U6, SNORD48, miR-92a-3p, let-7a-5p, SNORD61, SNORD72, SNORD68, miR-103a-3p, miR-423-3p, miR-191-5p, miR-16-5p) were analysed on a total of 75 HGS-OvCa and 30 normal tissues, using a highly specific qPCR. Both the normal tissues considered to initiate HGS-OvCa malignant transformation, namely ovary and fallopian tube epithelia, were included in our study. Stability of candidate endogenous controls was evaluated using an equivalence test and validated by geNorm and NormFinder algorithms. Combining results from the three different statistical approaches, SNORD48 emerged as stably and equivalently expressed between malignant and normal tissues. Among malignant samples, considering groups based on residual tumour, miR-191-5p was identified as the most equivalent sncRNA. On the basis of our results, we support the use of SNORD48 as best reference sncRNA for relative quantification in miRNA expression studies between HGS-OvCa and normal controls, including the first time both the normal tissues supposed to be HGS-OvCa progenitors. In addition, we recommend miR-191-5p as best reference sncRNA in miRNA expression studies with prognostic intent on HGS-OvCa tissues.","author":[{"dropping-particle":"","family":"Bignotti","given":"Eliana","non-dropping-particle":"","parse-names":false,"suffix":""},{"dropping-particle":"","family":"Calza","given":"Stefano","non-dropping-particle":"","parse-names":false,"suffix":""},{"dropping-particle":"","family":"Tassi","given":"Renata A.","non-dropping-particle":"","parse-names":false,"suffix":""},{"dropping-particle":"","family":"Zanotti","given":"Laura","non-dropping-particle":"","parse-names":false,"suffix":""},{"dropping-particle":"","family":"Bandiera","given":"Elisabetta","non-dropping-particle":"","parse-names":false,"suffix":""},{"dropping-particle":"","family":"Sartori","given":"Enrico","non-dropping-particle":"","parse-names":false,"suffix":""},{"dropping-particle":"","family":"Odicino","given":"Franco E.","non-dropping-particle":"","parse-names":false,"suffix":""},{"dropping-particle":"","family":"Ravaggi","given":"Antonella","non-dropping-particle":"","parse-names":false,"suffix":""},{"dropping-particle":"","family":"Todeschini","given":"Paola","non-dropping-particle":"","parse-names":false,"suffix":""},{"dropping-particle":"","family":"Romani","given":"Chiara","non-dropping-particle":"","parse-names":false,"suffix":""}],"container-title":"Journal of Cellular and Molecular Medicine","id":"ITEM-1","issue":"12","issued":{"date-parts":[["2016"]]},"page":"2341-2348","title":"Identification of stably expressed reference small non-coding RNAs for microRNA quantification in high-grade serous ovarian carcinoma tissues","type":"article-journal","volume":"20"},"uris":["http://www.mendeley.com/documents/?uuid=5db921c9-9ade-48ee-af26-12eb19b43fb8"]}],"mendeley":{"formattedCitation":"[2]","plainTextFormattedCitation":"[2]","previouslyFormattedCitation":"[1]"},"properties":{"noteIndex":0},"schema":"https://github.com/citation-style-language/schema/raw/master/csl-citation.json"}</w:instrText>
            </w:r>
            <w:r>
              <w:rPr>
                <w:sz w:val="22"/>
                <w:szCs w:val="22"/>
                <w:lang w:val="da-DK"/>
              </w:rPr>
              <w:fldChar w:fldCharType="separate"/>
            </w:r>
            <w:r w:rsidR="00930057" w:rsidRPr="00930057">
              <w:rPr>
                <w:noProof/>
                <w:sz w:val="22"/>
                <w:szCs w:val="22"/>
              </w:rPr>
              <w:t>[2]</w:t>
            </w:r>
            <w:r>
              <w:rPr>
                <w:sz w:val="22"/>
                <w:szCs w:val="22"/>
                <w:lang w:val="da-DK"/>
              </w:rPr>
              <w:fldChar w:fldCharType="end"/>
            </w:r>
            <w:r w:rsidRPr="0041214A">
              <w:rPr>
                <w:sz w:val="22"/>
                <w:szCs w:val="22"/>
              </w:rPr>
              <w:t xml:space="preserve">, hsa-miR-106b-3p </w:t>
            </w:r>
            <w:r>
              <w:rPr>
                <w:sz w:val="22"/>
                <w:szCs w:val="22"/>
              </w:rPr>
              <w:fldChar w:fldCharType="begin" w:fldLock="1"/>
            </w:r>
            <w:r w:rsidR="00930057">
              <w:rPr>
                <w:sz w:val="22"/>
                <w:szCs w:val="22"/>
              </w:rPr>
              <w:instrText>ADDIN CSL_CITATION {"citationItems":[{"id":"ITEM-1","itemData":{"DOI":"10.21873/invivo.12803","ISSN":"1791-7549","PMID":"35478140","abstract":"BACKGROUND/AIM MicroRNAs (miRNAs) are small non-coding RNA molecules that regulate gene expression and have been associated with the development of various cancers, including epithelial ovarian cancer (EOC). Accurate quantification of miRNA levels is important for determining their role in tumorigenesis and as biomarkers. Currently, U6 is widely used as a normalization control when investigating miRNAs in EOC; however, its variable expression across cancers has been reported. As only a few studies have been published to date on the identification of endogenous miRNA controls in EOC, our aim was to identify stable miRNAs based on global microarray profiling of 197 EOC patients and verify their stability in external datasets. MATERIALS AND METHODS We collected miRNA-microarray data from four datasets: the in-house \"Pelvic Mass\", and three public datasets with primary EOC patients: The Cancer Genome Atlas, GSE47841, and GSE73581. The expression stability of endogenous control candidates was evaluated by their coefficient of variation. RESULTS All miRNA results in the used cohorts were produced by either Affymetrix or Agilent technologies, which show similar intra-platform patterns. Nonetheless, a clear difference in a cross-platform comparison was observed. We identified hsa-miR-92b-5p and hsa-miR-106b-3p as stable candidates shared between four datasets. Moreover, we investigated the stability performance of eight miRNAs that have been previously reported as stable endogenous controls in EOC and various performance was observed in four datasets. CONCLUSION The selection of suitable endogenous miRNA normalization controls in EOC remains to be resolved, as variability in miRNA performance between platforms might have a crucial impact on the biological interpretation of data.","author":[{"dropping-particle":"","family":"Lopacinska-Joergensen","given":"Joanna","non-dropping-particle":"","parse-names":false,"suffix":""},{"dropping-particle":"","family":"Oliveira","given":"Douglas V N P","non-dropping-particle":"","parse-names":false,"suffix":""},{"dropping-particle":"","family":"Hoegdall","given":"Claus K","non-dropping-particle":"","parse-names":false,"suffix":""},{"dropping-particle":"V","family":"Hoegdall","given":"Estrid","non-dropping-particle":"","parse-names":false,"suffix":""}],"container-title":"In vivo (Athens, Greece)","id":"ITEM-1","issue":"3","issued":{"date-parts":[["2022","4","27"]]},"page":"1059-1066","title":"Identification of Stably Expressed Reference microRNAs in Epithelial Ovarian Cancer.","type":"article-journal","volume":"36"},"uris":["http://www.mendeley.com/documents/?uuid=62534455-38ce-4c3d-bb83-091fce95f583"]}],"mendeley":{"formattedCitation":"[3]","plainTextFormattedCitation":"[3]","previouslyFormattedCitation":"[2]"},"properties":{"noteIndex":0},"schema":"https://github.com/citation-style-language/schema/raw/master/csl-citation.json"}</w:instrText>
            </w:r>
            <w:r>
              <w:rPr>
                <w:sz w:val="22"/>
                <w:szCs w:val="22"/>
              </w:rPr>
              <w:fldChar w:fldCharType="separate"/>
            </w:r>
            <w:r w:rsidR="00930057" w:rsidRPr="00930057">
              <w:rPr>
                <w:noProof/>
                <w:sz w:val="22"/>
                <w:szCs w:val="22"/>
              </w:rPr>
              <w:t>[3]</w:t>
            </w:r>
            <w:r>
              <w:rPr>
                <w:sz w:val="22"/>
                <w:szCs w:val="22"/>
              </w:rPr>
              <w:fldChar w:fldCharType="end"/>
            </w:r>
            <w:r w:rsidRPr="0041214A">
              <w:rPr>
                <w:sz w:val="22"/>
                <w:szCs w:val="22"/>
              </w:rPr>
              <w:t xml:space="preserve">, hsa-miR-149-3p </w:t>
            </w:r>
            <w:r>
              <w:rPr>
                <w:sz w:val="22"/>
                <w:szCs w:val="22"/>
              </w:rPr>
              <w:fldChar w:fldCharType="begin" w:fldLock="1"/>
            </w:r>
            <w:r w:rsidR="00930057">
              <w:rPr>
                <w:sz w:val="22"/>
                <w:szCs w:val="22"/>
              </w:rPr>
              <w:instrText>ADDIN CSL_CITATION {"citationItems":[{"id":"ITEM-1","itemData":{"DOI":"10.1038/s41467-018-06434-4","ISSN":"20411723","PMID":"30333487","abstract":"A major obstacle to improving prognoses in ovarian cancer is the lack of effective screening methods for early detection. Circulating microRNAs (miRNAs) have been recognized as promising biomarkers that could lead to clinical applications. Here, to develop an optimal detection method, we use microarrays to obtain comprehensive miRNA profiles from 4046 serum samples, including 428 patients with ovarian tumors. A diagnostic model based on expression levels of ten miRNAs is constructed in the discovery set. Validation in an independent cohort reveals that the model is very accurate (sensitivity, 0.99; specificity, 1.00), and the diagnostic accuracy is maintained even in early-stage ovarian cancers. Furthermore, we construct two additional models, each using 9–10 serum miRNAs, aimed at discriminating ovarian cancers from the other types of solid tumors or benign ovarian tumors. Our findings provide robust evidence that the serum miRNA profile represents a promising diagnostic biomarker for ovarian cancer.","author":[{"dropping-particle":"","family":"Yokoi","given":"Akira","non-dropping-particle":"","parse-names":false,"suffix":""},{"dropping-particle":"","family":"Matsuzaki","given":"Juntaro","non-dropping-particle":"","parse-names":false,"suffix":""},{"dropping-particle":"","family":"Yamamoto","given":"Yusuke","non-dropping-particle":"","parse-names":false,"suffix":""},{"dropping-particle":"","family":"Yoneoka","given":"Yutaka","non-dropping-particle":"","parse-names":false,"suffix":""},{"dropping-particle":"","family":"Takahashi","given":"Kenta","non-dropping-particle":"","parse-names":false,"suffix":""},{"dropping-particle":"","family":"Shimizu","given":"Hanako","non-dropping-particle":"","parse-names":false,"suffix":""},{"dropping-particle":"","family":"Uehara","given":"Takashi","non-dropping-particle":"","parse-names":false,"suffix":""},{"dropping-particle":"","family":"Ishikawa","given":"Mitsuya","non-dropping-particle":"","parse-names":false,"suffix":""},{"dropping-particle":"","family":"Ikeda","given":"Shun ichi","non-dropping-particle":"","parse-names":false,"suffix":""},{"dropping-particle":"","family":"Sonoda","given":"Takumi","non-dropping-particle":"","parse-names":false,"suffix":""},{"dropping-particle":"","family":"Kawauchi","given":"Junpei","non-dropping-particle":"","parse-names":false,"suffix":""},{"dropping-particle":"","family":"Takizawa","given":"Satoko","non-dropping-particle":"","parse-names":false,"suffix":""},{"dropping-particle":"","family":"Aoki","given":"Yoshiaki","non-dropping-particle":"","parse-names":false,"suffix":""},{"dropping-particle":"","family":"Niida","given":"Shumpei","non-dropping-particle":"","parse-names":false,"suffix":""},{"dropping-particle":"","family":"Sakamoto","given":"Hiromi","non-dropping-particle":"","parse-names":false,"suffix":""},{"dropping-particle":"","family":"Kato","given":"Ken","non-dropping-particle":"","parse-names":false,"suffix":""},{"dropping-particle":"","family":"Kato","given":"Tomoyasu","non-dropping-particle":"","parse-names":false,"suffix":""},{"dropping-particle":"","family":"Ochiya","given":"Takahiro","non-dropping-particle":"","parse-names":false,"suffix":""}],"container-title":"Nature Communications","id":"ITEM-1","issue":"1","issued":{"date-parts":[["2018"]]},"page":"2-6","publisher":"Springer US","title":"Integrated extracellular microRNA profiling for ovarian cancer screening","type":"article-journal","volume":"9"},"uris":["http://www.mendeley.com/documents/?uuid=d758ca47-a203-48c5-baef-883bd4bf3899"]}],"mendeley":{"formattedCitation":"[4]","plainTextFormattedCitation":"[4]","previouslyFormattedCitation":"[3]"},"properties":{"noteIndex":0},"schema":"https://github.com/citation-style-language/schema/raw/master/csl-citation.json"}</w:instrText>
            </w:r>
            <w:r>
              <w:rPr>
                <w:sz w:val="22"/>
                <w:szCs w:val="22"/>
              </w:rPr>
              <w:fldChar w:fldCharType="separate"/>
            </w:r>
            <w:r w:rsidR="00930057" w:rsidRPr="00930057">
              <w:rPr>
                <w:noProof/>
                <w:sz w:val="22"/>
                <w:szCs w:val="22"/>
              </w:rPr>
              <w:t>[4]</w:t>
            </w:r>
            <w:r>
              <w:rPr>
                <w:sz w:val="22"/>
                <w:szCs w:val="22"/>
              </w:rPr>
              <w:fldChar w:fldCharType="end"/>
            </w:r>
            <w:r w:rsidRPr="0041214A">
              <w:rPr>
                <w:sz w:val="22"/>
                <w:szCs w:val="22"/>
              </w:rPr>
              <w:t xml:space="preserve">, hsa-miR-191-5p </w:t>
            </w:r>
            <w:r>
              <w:rPr>
                <w:sz w:val="22"/>
                <w:szCs w:val="22"/>
                <w:lang w:val="da-DK"/>
              </w:rPr>
              <w:fldChar w:fldCharType="begin" w:fldLock="1"/>
            </w:r>
            <w:r w:rsidR="00930057">
              <w:rPr>
                <w:sz w:val="22"/>
                <w:szCs w:val="22"/>
              </w:rPr>
              <w:instrText>ADDIN CSL_CITATION {"citationItems":[{"id":"ITEM-1","itemData":{"DOI":"10.1111/jcmm.12927","ISSN":"15821838","PMID":"27419385","abstract":"MicroRNAs (miRNAs) belong to a family of small non-coding RNAs (sncRNAs) playing important roles in human carcinogenesis. Multiple investigations reported miRNAs aberrantly expressed in several cancers, including high-grade serous ovarian carcinoma (HGS-OvCa). Quantitative PCR is widely used in studies investigating miRNA expression and the identification of reliable endogenous controls is crucial for proper data normalization. In this study, we aimed to experimentally identify the most stable reference sncRNAs for normalization of miRNA qPCR expression data in HGS-OvCa. Eleven putative reference sncRNAs for normalization (U6, SNORD48, miR-92a-3p, let-7a-5p, SNORD61, SNORD72, SNORD68, miR-103a-3p, miR-423-3p, miR-191-5p, miR-16-5p) were analysed on a total of 75 HGS-OvCa and 30 normal tissues, using a highly specific qPCR. Both the normal tissues considered to initiate HGS-OvCa malignant transformation, namely ovary and fallopian tube epithelia, were included in our study. Stability of candidate endogenous controls was evaluated using an equivalence test and validated by geNorm and NormFinder algorithms. Combining results from the three different statistical approaches, SNORD48 emerged as stably and equivalently expressed between malignant and normal tissues. Among malignant samples, considering groups based on residual tumour, miR-191-5p was identified as the most equivalent sncRNA. On the basis of our results, we support the use of SNORD48 as best reference sncRNA for relative quantification in miRNA expression studies between HGS-OvCa and normal controls, including the first time both the normal tissues supposed to be HGS-OvCa progenitors. In addition, we recommend miR-191-5p as best reference sncRNA in miRNA expression studies with prognostic intent on HGS-OvCa tissues.","author":[{"dropping-particle":"","family":"Bignotti","given":"Eliana","non-dropping-particle":"","parse-names":false,"suffix":""},{"dropping-particle":"","family":"Calza","given":"Stefano","non-dropping-particle":"","parse-names":false,"suffix":""},{"dropping-particle":"","family":"Tassi","given":"Renata A.","non-dropping-particle":"","parse-names":false,"suffix":""},{"dropping-particle":"","family":"Zanotti","given":"Laura","non-dropping-particle":"","parse-names":false,"suffix":""},{"dropping-particle":"","family":"Bandiera","given":"Elisabetta","non-dropping-particle":"","parse-names":false,"suffix":""},{"dropping-particle":"","family":"Sartori","given":"Enrico","non-dropping-particle":"","parse-names":false,"suffix":""},{"dropping-particle":"","family":"Odicino","given":"Franco E.","non-dropping-particle":"","parse-names":false,"suffix":""},{"dropping-particle":"","family":"Ravaggi","given":"Antonella","non-dropping-particle":"","parse-names":false,"suffix":""},{"dropping-particle":"","family":"Todeschini","given":"Paola","non-dropping-particle":"","parse-names":false,"suffix":""},{"dropping-particle":"","family":"Romani","given":"Chiara","non-dropping-particle":"","parse-names":false,"suffix":""}],"container-title":"Journal of Cellular and Molecular Medicine","id":"ITEM-1","issue":"12","issued":{"date-parts":[["2016"]]},"page":"2341-2348","title":"Identification of stably expressed reference small non-coding RNAs for microRNA quantification in high-grade serous ovarian carcinoma tissues","type":"article-journal","volume":"20"},"uris":["http://www.mendeley.com/documents/?uuid=5db921c9-9ade-48ee-af26-12eb19b43fb8"]}],"mendeley":{"formattedCitation":"[2]","plainTextFormattedCitation":"[2]","previouslyFormattedCitation":"[1]"},"properties":{"noteIndex":0},"schema":"https://github.com/citation-style-language/schema/raw/master/csl-citation.json"}</w:instrText>
            </w:r>
            <w:r>
              <w:rPr>
                <w:sz w:val="22"/>
                <w:szCs w:val="22"/>
                <w:lang w:val="da-DK"/>
              </w:rPr>
              <w:fldChar w:fldCharType="separate"/>
            </w:r>
            <w:r w:rsidR="00930057" w:rsidRPr="00930057">
              <w:rPr>
                <w:noProof/>
                <w:sz w:val="22"/>
                <w:szCs w:val="22"/>
              </w:rPr>
              <w:t>[2]</w:t>
            </w:r>
            <w:r>
              <w:rPr>
                <w:sz w:val="22"/>
                <w:szCs w:val="22"/>
                <w:lang w:val="da-DK"/>
              </w:rPr>
              <w:fldChar w:fldCharType="end"/>
            </w:r>
            <w:r w:rsidRPr="0041214A">
              <w:rPr>
                <w:sz w:val="22"/>
                <w:szCs w:val="22"/>
              </w:rPr>
              <w:t>, hsa-miR-24-2-5p</w:t>
            </w:r>
            <w:r>
              <w:rPr>
                <w:sz w:val="22"/>
                <w:szCs w:val="22"/>
              </w:rPr>
              <w:fldChar w:fldCharType="begin" w:fldLock="1"/>
            </w:r>
            <w:r w:rsidR="00930057">
              <w:rPr>
                <w:sz w:val="22"/>
                <w:szCs w:val="22"/>
              </w:rPr>
              <w:instrText>ADDIN CSL_CITATION {"citationItems":[{"id":"ITEM-1","itemData":{"DOI":"10.21873/invivo.12803","ISSN":"1791-7549","PMID":"35478140","abstract":"BACKGROUND/AIM MicroRNAs (miRNAs) are small non-coding RNA molecules that regulate gene expression and have been associated with the development of various cancers, including epithelial ovarian cancer (EOC). Accurate quantification of miRNA levels is important for determining their role in tumorigenesis and as biomarkers. Currently, U6 is widely used as a normalization control when investigating miRNAs in EOC; however, its variable expression across cancers has been reported. As only a few studies have been published to date on the identification of endogenous miRNA controls in EOC, our aim was to identify stable miRNAs based on global microarray profiling of 197 EOC patients and verify their stability in external datasets. MATERIALS AND METHODS We collected miRNA-microarray data from four datasets: the in-house \"Pelvic Mass\", and three public datasets with primary EOC patients: The Cancer Genome Atlas, GSE47841, and GSE73581. The expression stability of endogenous control candidates was evaluated by their coefficient of variation. RESULTS All miRNA results in the used cohorts were produced by either Affymetrix or Agilent technologies, which show similar intra-platform patterns. Nonetheless, a clear difference in a cross-platform comparison was observed. We identified hsa-miR-92b-5p and hsa-miR-106b-3p as stable candidates shared between four datasets. Moreover, we investigated the stability performance of eight miRNAs that have been previously reported as stable endogenous controls in EOC and various performance was observed in four datasets. CONCLUSION The selection of suitable endogenous miRNA normalization controls in EOC remains to be resolved, as variability in miRNA performance between platforms might have a crucial impact on the biological interpretation of data.","author":[{"dropping-particle":"","family":"Lopacinska-Joergensen","given":"Joanna","non-dropping-particle":"","parse-names":false,"suffix":""},{"dropping-particle":"","family":"Oliveira","given":"Douglas V N P","non-dropping-particle":"","parse-names":false,"suffix":""},{"dropping-particle":"","family":"Hoegdall","given":"Claus K","non-dropping-particle":"","parse-names":false,"suffix":""},{"dropping-particle":"V","family":"Hoegdall","given":"Estrid","non-dropping-particle":"","parse-names":false,"suffix":""}],"container-title":"In vivo (Athens, Greece)","id":"ITEM-1","issue":"3","issued":{"date-parts":[["2022","4","27"]]},"page":"1059-1066","title":"Identification of Stably Expressed Reference microRNAs in Epithelial Ovarian Cancer.","type":"article-journal","volume":"36"},"uris":["http://www.mendeley.com/documents/?uuid=62534455-38ce-4c3d-bb83-091fce95f583"]}],"mendeley":{"formattedCitation":"[3]","plainTextFormattedCitation":"[3]","previouslyFormattedCitation":"[2]"},"properties":{"noteIndex":0},"schema":"https://github.com/citation-style-language/schema/raw/master/csl-citation.json"}</w:instrText>
            </w:r>
            <w:r>
              <w:rPr>
                <w:sz w:val="22"/>
                <w:szCs w:val="22"/>
              </w:rPr>
              <w:fldChar w:fldCharType="separate"/>
            </w:r>
            <w:r w:rsidR="00930057" w:rsidRPr="00930057">
              <w:rPr>
                <w:noProof/>
                <w:sz w:val="22"/>
                <w:szCs w:val="22"/>
              </w:rPr>
              <w:t>[3]</w:t>
            </w:r>
            <w:r>
              <w:rPr>
                <w:sz w:val="22"/>
                <w:szCs w:val="22"/>
              </w:rPr>
              <w:fldChar w:fldCharType="end"/>
            </w:r>
            <w:r w:rsidRPr="0041214A">
              <w:rPr>
                <w:sz w:val="22"/>
                <w:szCs w:val="22"/>
              </w:rPr>
              <w:t xml:space="preserve">, hsa-miR-24-3p </w:t>
            </w:r>
            <w:r>
              <w:rPr>
                <w:sz w:val="22"/>
                <w:szCs w:val="22"/>
              </w:rPr>
              <w:fldChar w:fldCharType="begin" w:fldLock="1"/>
            </w:r>
            <w:r w:rsidR="00930057">
              <w:rPr>
                <w:sz w:val="22"/>
                <w:szCs w:val="22"/>
              </w:rPr>
              <w:instrText>ADDIN CSL_CITATION {"citationItems":[{"id":"ITEM-1","itemData":{"DOI":"10.21873/invivo.12803","ISSN":"1791-7549","PMID":"35478140","abstract":"BACKGROUND/AIM MicroRNAs (miRNAs) are small non-coding RNA molecules that regulate gene expression and have been associated with the development of various cancers, including epithelial ovarian cancer (EOC). Accurate quantification of miRNA levels is important for determining their role in tumorigenesis and as biomarkers. Currently, U6 is widely used as a normalization control when investigating miRNAs in EOC; however, its variable expression across cancers has been reported. As only a few studies have been published to date on the identification of endogenous miRNA controls in EOC, our aim was to identify stable miRNAs based on global microarray profiling of 197 EOC patients and verify their stability in external datasets. MATERIALS AND METHODS We collected miRNA-microarray data from four datasets: the in-house \"Pelvic Mass\", and three public datasets with primary EOC patients: The Cancer Genome Atlas, GSE47841, and GSE73581. The expression stability of endogenous control candidates was evaluated by their coefficient of variation. RESULTS All miRNA results in the used cohorts were produced by either Affymetrix or Agilent technologies, which show similar intra-platform patterns. Nonetheless, a clear difference in a cross-platform comparison was observed. We identified hsa-miR-92b-5p and hsa-miR-106b-3p as stable candidates shared between four datasets. Moreover, we investigated the stability performance of eight miRNAs that have been previously reported as stable endogenous controls in EOC and various performance was observed in four datasets. CONCLUSION The selection of suitable endogenous miRNA normalization controls in EOC remains to be resolved, as variability in miRNA performance between platforms might have a crucial impact on the biological interpretation of data.","author":[{"dropping-particle":"","family":"Lopacinska-Joergensen","given":"Joanna","non-dropping-particle":"","parse-names":false,"suffix":""},{"dropping-particle":"","family":"Oliveira","given":"Douglas V N P","non-dropping-particle":"","parse-names":false,"suffix":""},{"dropping-particle":"","family":"Hoegdall","given":"Claus K","non-dropping-particle":"","parse-names":false,"suffix":""},{"dropping-particle":"V","family":"Hoegdall","given":"Estrid","non-dropping-particle":"","parse-names":false,"suffix":""}],"container-title":"In vivo (Athens, Greece)","id":"ITEM-1","issue":"3","issued":{"date-parts":[["2022","4","27"]]},"page":"1059-1066","title":"Identification of Stably Expressed Reference microRNAs in Epithelial Ovarian Cancer.","type":"article-journal","volume":"36"},"uris":["http://www.mendeley.com/documents/?uuid=62534455-38ce-4c3d-bb83-091fce95f583"]}],"mendeley":{"formattedCitation":"[3]","plainTextFormattedCitation":"[3]","previouslyFormattedCitation":"[2]"},"properties":{"noteIndex":0},"schema":"https://github.com/citation-style-language/schema/raw/master/csl-citation.json"}</w:instrText>
            </w:r>
            <w:r>
              <w:rPr>
                <w:sz w:val="22"/>
                <w:szCs w:val="22"/>
              </w:rPr>
              <w:fldChar w:fldCharType="separate"/>
            </w:r>
            <w:r w:rsidR="00930057" w:rsidRPr="00930057">
              <w:rPr>
                <w:noProof/>
                <w:sz w:val="22"/>
                <w:szCs w:val="22"/>
              </w:rPr>
              <w:t>[3]</w:t>
            </w:r>
            <w:r>
              <w:rPr>
                <w:sz w:val="22"/>
                <w:szCs w:val="22"/>
              </w:rPr>
              <w:fldChar w:fldCharType="end"/>
            </w:r>
            <w:r w:rsidRPr="0041214A">
              <w:rPr>
                <w:sz w:val="22"/>
                <w:szCs w:val="22"/>
              </w:rPr>
              <w:t xml:space="preserve">, hsa-miR-302d-3p </w:t>
            </w:r>
            <w:r>
              <w:rPr>
                <w:sz w:val="22"/>
                <w:szCs w:val="22"/>
              </w:rPr>
              <w:fldChar w:fldCharType="begin" w:fldLock="1"/>
            </w:r>
            <w:r w:rsidR="00930057">
              <w:rPr>
                <w:sz w:val="22"/>
                <w:szCs w:val="22"/>
              </w:rPr>
              <w:instrText>ADDIN CSL_CITATION {"citationItems":[{"id":"ITEM-1","itemData":{"DOI":"10.21873/invivo.12803","ISSN":"1791-7549","PMID":"35478140","abstract":"BACKGROUND/AIM MicroRNAs (miRNAs) are small non-coding RNA molecules that regulate gene expression and have been associated with the development of various cancers, including epithelial ovarian cancer (EOC). Accurate quantification of miRNA levels is important for determining their role in tumorigenesis and as biomarkers. Currently, U6 is widely used as a normalization control when investigating miRNAs in EOC; however, its variable expression across cancers has been reported. As only a few studies have been published to date on the identification of endogenous miRNA controls in EOC, our aim was to identify stable miRNAs based on global microarray profiling of 197 EOC patients and verify their stability in external datasets. MATERIALS AND METHODS We collected miRNA-microarray data from four datasets: the in-house \"Pelvic Mass\", and three public datasets with primary EOC patients: The Cancer Genome Atlas, GSE47841, and GSE73581. The expression stability of endogenous control candidates was evaluated by their coefficient of variation. RESULTS All miRNA results in the used cohorts were produced by either Affymetrix or Agilent technologies, which show similar intra-platform patterns. Nonetheless, a clear difference in a cross-platform comparison was observed. We identified hsa-miR-92b-5p and hsa-miR-106b-3p as stable candidates shared between four datasets. Moreover, we investigated the stability performance of eight miRNAs that have been previously reported as stable endogenous controls in EOC and various performance was observed in four datasets. CONCLUSION The selection of suitable endogenous miRNA normalization controls in EOC remains to be resolved, as variability in miRNA performance between platforms might have a crucial impact on the biological interpretation of data.","author":[{"dropping-particle":"","family":"Lopacinska-Joergensen","given":"Joanna","non-dropping-particle":"","parse-names":false,"suffix":""},{"dropping-particle":"","family":"Oliveira","given":"Douglas V N P","non-dropping-particle":"","parse-names":false,"suffix":""},{"dropping-particle":"","family":"Hoegdall","given":"Claus K","non-dropping-particle":"","parse-names":false,"suffix":""},{"dropping-particle":"V","family":"Hoegdall","given":"Estrid","non-dropping-particle":"","parse-names":false,"suffix":""}],"container-title":"In vivo (Athens, Greece)","id":"ITEM-1","issue":"3","issued":{"date-parts":[["2022","4","27"]]},"page":"1059-1066","title":"Identification of Stably Expressed Reference microRNAs in Epithelial Ovarian Cancer.","type":"article-journal","volume":"36"},"uris":["http://www.mendeley.com/documents/?uuid=62534455-38ce-4c3d-bb83-091fce95f583"]}],"mendeley":{"formattedCitation":"[3]","plainTextFormattedCitation":"[3]","previouslyFormattedCitation":"[2]"},"properties":{"noteIndex":0},"schema":"https://github.com/citation-style-language/schema/raw/master/csl-citation.json"}</w:instrText>
            </w:r>
            <w:r>
              <w:rPr>
                <w:sz w:val="22"/>
                <w:szCs w:val="22"/>
              </w:rPr>
              <w:fldChar w:fldCharType="separate"/>
            </w:r>
            <w:r w:rsidR="00930057" w:rsidRPr="00930057">
              <w:rPr>
                <w:noProof/>
                <w:sz w:val="22"/>
                <w:szCs w:val="22"/>
              </w:rPr>
              <w:t>[3]</w:t>
            </w:r>
            <w:r>
              <w:rPr>
                <w:sz w:val="22"/>
                <w:szCs w:val="22"/>
              </w:rPr>
              <w:fldChar w:fldCharType="end"/>
            </w:r>
            <w:r w:rsidRPr="0041214A">
              <w:rPr>
                <w:sz w:val="22"/>
                <w:szCs w:val="22"/>
              </w:rPr>
              <w:t xml:space="preserve">, hsa-miR-92b-5p </w:t>
            </w:r>
            <w:r>
              <w:rPr>
                <w:sz w:val="22"/>
                <w:szCs w:val="22"/>
              </w:rPr>
              <w:fldChar w:fldCharType="begin" w:fldLock="1"/>
            </w:r>
            <w:r w:rsidR="00930057">
              <w:rPr>
                <w:sz w:val="22"/>
                <w:szCs w:val="22"/>
              </w:rPr>
              <w:instrText>ADDIN CSL_CITATION {"citationItems":[{"id":"ITEM-1","itemData":{"DOI":"10.21873/invivo.12803","ISSN":"1791-7549","PMID":"35478140","abstract":"BACKGROUND/AIM MicroRNAs (miRNAs) are small non-coding RNA molecules that regulate gene expression and have been associated with the development of various cancers, including epithelial ovarian cancer (EOC). Accurate quantification of miRNA levels is important for determining their role in tumorigenesis and as biomarkers. Currently, U6 is widely used as a normalization control when investigating miRNAs in EOC; however, its variable expression across cancers has been reported. As only a few studies have been published to date on the identification of endogenous miRNA controls in EOC, our aim was to identify stable miRNAs based on global microarray profiling of 197 EOC patients and verify their stability in external datasets. MATERIALS AND METHODS We collected miRNA-microarray data from four datasets: the in-house \"Pelvic Mass\", and three public datasets with primary EOC patients: The Cancer Genome Atlas, GSE47841, and GSE73581. The expression stability of endogenous control candidates was evaluated by their coefficient of variation. RESULTS All miRNA results in the used cohorts were produced by either Affymetrix or Agilent technologies, which show similar intra-platform patterns. Nonetheless, a clear difference in a cross-platform comparison was observed. We identified hsa-miR-92b-5p and hsa-miR-106b-3p as stable candidates shared between four datasets. Moreover, we investigated the stability performance of eight miRNAs that have been previously reported as stable endogenous controls in EOC and various performance was observed in four datasets. CONCLUSION The selection of suitable endogenous miRNA normalization controls in EOC remains to be resolved, as variability in miRNA performance between platforms might have a crucial impact on the biological interpretation of data.","author":[{"dropping-particle":"","family":"Lopacinska-Joergensen","given":"Joanna","non-dropping-particle":"","parse-names":false,"suffix":""},{"dropping-particle":"","family":"Oliveira","given":"Douglas V N P","non-dropping-particle":"","parse-names":false,"suffix":""},{"dropping-particle":"","family":"Hoegdall","given":"Claus K","non-dropping-particle":"","parse-names":false,"suffix":""},{"dropping-particle":"V","family":"Hoegdall","given":"Estrid","non-dropping-particle":"","parse-names":false,"suffix":""}],"container-title":"In vivo (Athens, Greece)","id":"ITEM-1","issue":"3","issued":{"date-parts":[["2022","4","27"]]},"page":"1059-1066","title":"Identification of Stably Expressed Reference microRNAs in Epithelial Ovarian Cancer.","type":"article-journal","volume":"36"},"uris":["http://www.mendeley.com/documents/?uuid=62534455-38ce-4c3d-bb83-091fce95f583"]}],"mendeley":{"formattedCitation":"[3]","plainTextFormattedCitation":"[3]","previouslyFormattedCitation":"[2]"},"properties":{"noteIndex":0},"schema":"https://github.com/citation-style-language/schema/raw/master/csl-citation.json"}</w:instrText>
            </w:r>
            <w:r>
              <w:rPr>
                <w:sz w:val="22"/>
                <w:szCs w:val="22"/>
              </w:rPr>
              <w:fldChar w:fldCharType="separate"/>
            </w:r>
            <w:r w:rsidR="00930057" w:rsidRPr="00930057">
              <w:rPr>
                <w:noProof/>
                <w:sz w:val="22"/>
                <w:szCs w:val="22"/>
              </w:rPr>
              <w:t>[3]</w:t>
            </w:r>
            <w:r>
              <w:rPr>
                <w:sz w:val="22"/>
                <w:szCs w:val="22"/>
              </w:rPr>
              <w:fldChar w:fldCharType="end"/>
            </w:r>
            <w:r w:rsidRPr="0041214A">
              <w:rPr>
                <w:sz w:val="22"/>
                <w:szCs w:val="22"/>
              </w:rPr>
              <w:t>, U6-snRNA</w:t>
            </w:r>
          </w:p>
        </w:tc>
      </w:tr>
      <w:tr w:rsidR="0041214A" w:rsidRPr="00DC301B" w14:paraId="7078FCBC" w14:textId="77777777" w:rsidTr="00DC301B">
        <w:trPr>
          <w:cantSplit/>
          <w:tblHeader/>
        </w:trPr>
        <w:tc>
          <w:tcPr>
            <w:tcW w:w="2127" w:type="dxa"/>
            <w:shd w:val="clear" w:color="auto" w:fill="FFFFFF"/>
            <w:tcMar>
              <w:top w:w="0" w:type="dxa"/>
              <w:left w:w="0" w:type="dxa"/>
              <w:bottom w:w="0" w:type="dxa"/>
              <w:right w:w="0" w:type="dxa"/>
            </w:tcMar>
            <w:vAlign w:val="center"/>
          </w:tcPr>
          <w:p w14:paraId="5D0342F1" w14:textId="77777777" w:rsidR="0041214A" w:rsidRPr="0041214A" w:rsidRDefault="0041214A" w:rsidP="00583D01">
            <w:pPr>
              <w:pStyle w:val="TextTable"/>
              <w:framePr w:hSpace="0" w:wrap="auto" w:vAnchor="margin" w:hAnchor="text" w:yAlign="inline"/>
              <w:spacing w:before="0" w:after="0"/>
              <w:rPr>
                <w:sz w:val="22"/>
                <w:szCs w:val="22"/>
              </w:rPr>
            </w:pPr>
          </w:p>
        </w:tc>
        <w:tc>
          <w:tcPr>
            <w:tcW w:w="7087" w:type="dxa"/>
            <w:shd w:val="clear" w:color="auto" w:fill="FFFFFF"/>
            <w:tcMar>
              <w:top w:w="0" w:type="dxa"/>
              <w:left w:w="0" w:type="dxa"/>
              <w:bottom w:w="0" w:type="dxa"/>
              <w:right w:w="0" w:type="dxa"/>
            </w:tcMar>
            <w:vAlign w:val="center"/>
          </w:tcPr>
          <w:p w14:paraId="612C02EC" w14:textId="77777777" w:rsidR="0041214A" w:rsidRPr="0041214A" w:rsidRDefault="0041214A" w:rsidP="00583D01">
            <w:pPr>
              <w:pStyle w:val="TextTable"/>
              <w:framePr w:hSpace="0" w:wrap="auto" w:vAnchor="margin" w:hAnchor="text" w:yAlign="inline"/>
              <w:spacing w:before="0" w:after="0"/>
              <w:rPr>
                <w:sz w:val="22"/>
                <w:szCs w:val="22"/>
              </w:rPr>
            </w:pPr>
          </w:p>
        </w:tc>
      </w:tr>
      <w:tr w:rsidR="0041214A" w:rsidRPr="00DC301B" w14:paraId="70DB59A0" w14:textId="77777777" w:rsidTr="00DC301B">
        <w:trPr>
          <w:cantSplit/>
          <w:tblHeader/>
        </w:trPr>
        <w:tc>
          <w:tcPr>
            <w:tcW w:w="2127"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C84B2CD" w14:textId="77777777" w:rsidR="0041214A" w:rsidRPr="00903089" w:rsidRDefault="0041214A" w:rsidP="00583D01">
            <w:pPr>
              <w:pStyle w:val="TextTable"/>
              <w:framePr w:hSpace="0" w:wrap="auto" w:vAnchor="margin" w:hAnchor="text" w:yAlign="inline"/>
              <w:spacing w:before="0" w:after="0"/>
              <w:rPr>
                <w:b/>
                <w:bCs/>
                <w:sz w:val="22"/>
                <w:szCs w:val="22"/>
              </w:rPr>
            </w:pPr>
            <w:r w:rsidRPr="00903089">
              <w:rPr>
                <w:b/>
                <w:bCs/>
                <w:sz w:val="22"/>
                <w:szCs w:val="22"/>
              </w:rPr>
              <w:t>Biomarker candidates</w:t>
            </w:r>
          </w:p>
        </w:tc>
        <w:tc>
          <w:tcPr>
            <w:tcW w:w="7087"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9CC6214" w14:textId="77777777" w:rsidR="0041214A" w:rsidRPr="00904F13" w:rsidRDefault="0041214A" w:rsidP="00583D01">
            <w:pPr>
              <w:pStyle w:val="TextTable"/>
              <w:framePr w:hSpace="0" w:wrap="auto" w:vAnchor="margin" w:hAnchor="text" w:yAlign="inline"/>
              <w:spacing w:before="0" w:after="0"/>
              <w:rPr>
                <w:b/>
                <w:bCs/>
                <w:sz w:val="22"/>
                <w:szCs w:val="22"/>
              </w:rPr>
            </w:pPr>
            <w:r w:rsidRPr="00904F13">
              <w:rPr>
                <w:b/>
                <w:bCs/>
                <w:sz w:val="22"/>
                <w:szCs w:val="22"/>
              </w:rPr>
              <w:t>Characteristics</w:t>
            </w:r>
          </w:p>
        </w:tc>
      </w:tr>
      <w:tr w:rsidR="0041214A" w:rsidRPr="0041214A" w14:paraId="3E4FCDEE" w14:textId="77777777" w:rsidTr="00DC301B">
        <w:trPr>
          <w:cantSplit/>
          <w:tblHeader/>
        </w:trPr>
        <w:tc>
          <w:tcPr>
            <w:tcW w:w="2127" w:type="dxa"/>
            <w:shd w:val="clear" w:color="auto" w:fill="FFFFFF"/>
            <w:tcMar>
              <w:top w:w="0" w:type="dxa"/>
              <w:left w:w="0" w:type="dxa"/>
              <w:bottom w:w="0" w:type="dxa"/>
              <w:right w:w="0" w:type="dxa"/>
            </w:tcMar>
          </w:tcPr>
          <w:p w14:paraId="2A0A5074" w14:textId="77777777" w:rsidR="0041214A" w:rsidRPr="00903089" w:rsidRDefault="0041214A" w:rsidP="00583D01">
            <w:pPr>
              <w:pStyle w:val="TextTable"/>
              <w:framePr w:hSpace="0" w:wrap="auto" w:vAnchor="margin" w:hAnchor="text" w:yAlign="inline"/>
              <w:spacing w:before="0" w:after="0"/>
              <w:rPr>
                <w:sz w:val="22"/>
                <w:szCs w:val="22"/>
              </w:rPr>
            </w:pPr>
            <w:r w:rsidRPr="00903089">
              <w:rPr>
                <w:sz w:val="22"/>
                <w:szCs w:val="22"/>
              </w:rPr>
              <w:t>hsa-miR-101-3p</w:t>
            </w:r>
          </w:p>
        </w:tc>
        <w:tc>
          <w:tcPr>
            <w:tcW w:w="7087" w:type="dxa"/>
            <w:shd w:val="clear" w:color="auto" w:fill="FFFFFF"/>
            <w:tcMar>
              <w:top w:w="0" w:type="dxa"/>
              <w:left w:w="0" w:type="dxa"/>
              <w:bottom w:w="0" w:type="dxa"/>
              <w:right w:w="0" w:type="dxa"/>
            </w:tcMar>
          </w:tcPr>
          <w:p w14:paraId="68BD3965" w14:textId="0D3F2F21" w:rsidR="0041214A" w:rsidRPr="00903089" w:rsidRDefault="0041214A" w:rsidP="00583D01">
            <w:pPr>
              <w:pStyle w:val="TextTable"/>
              <w:framePr w:hSpace="0" w:wrap="auto" w:vAnchor="margin" w:hAnchor="text" w:yAlign="inline"/>
              <w:spacing w:before="0" w:after="0"/>
              <w:rPr>
                <w:sz w:val="22"/>
                <w:szCs w:val="22"/>
              </w:rPr>
            </w:pPr>
            <w:r w:rsidRPr="004560B3">
              <w:rPr>
                <w:rFonts w:eastAsia="Times New Roman"/>
                <w:sz w:val="22"/>
                <w:szCs w:val="22"/>
                <w:lang w:eastAsia="da-DK"/>
              </w:rPr>
              <w:t>OS</w:t>
            </w:r>
            <w:r w:rsidRPr="00FC049F">
              <w:rPr>
                <w:rFonts w:eastAsia="Times New Roman"/>
                <w:sz w:val="22"/>
                <w:szCs w:val="22"/>
                <w:vertAlign w:val="superscript"/>
                <w:lang w:eastAsia="da-DK"/>
              </w:rPr>
              <w:t>1</w:t>
            </w:r>
            <w:r w:rsidRPr="00FC049F">
              <w:rPr>
                <w:rFonts w:eastAsia="Times New Roman"/>
                <w:sz w:val="22"/>
                <w:szCs w:val="22"/>
                <w:lang w:eastAsia="da-DK"/>
              </w:rPr>
              <w:t xml:space="preserve"> in other than E</w:t>
            </w:r>
            <w:r w:rsidRPr="00904F13">
              <w:rPr>
                <w:rFonts w:eastAsia="Times New Roman"/>
                <w:sz w:val="22"/>
                <w:szCs w:val="22"/>
                <w:lang w:eastAsia="da-DK"/>
              </w:rPr>
              <w:t>OC</w:t>
            </w:r>
            <w:r w:rsidRPr="00904F13">
              <w:rPr>
                <w:rFonts w:eastAsia="Times New Roman"/>
                <w:sz w:val="22"/>
                <w:szCs w:val="22"/>
                <w:vertAlign w:val="superscript"/>
                <w:lang w:eastAsia="da-DK"/>
              </w:rPr>
              <w:t>2</w:t>
            </w:r>
            <w:r w:rsidRPr="00904F13">
              <w:rPr>
                <w:rFonts w:eastAsia="Times New Roman"/>
                <w:sz w:val="22"/>
                <w:szCs w:val="22"/>
                <w:lang w:eastAsia="da-DK"/>
              </w:rPr>
              <w:t xml:space="preserve"> cancers </w:t>
            </w:r>
            <w:r w:rsidR="00856DD4">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{"citationItems":[{"id":"ITEM-1","itemData":{"DOI":"10.3802/jgo.2017.28.e75","ISBN":"0000000241595","ISSN":"20050399","PMID":"29027393","abstract":"Objective: MicroRNAs (miRNAs) play a vital role in pathogenesis and progression of many cancers, including cervical cancer. However, importance of serum level of miR-101 in cervical cancer has rarely been studied. In the present study, clinical significance and prognostic value of serum miR-101 for cervical cancer was investigated. Methods: Association between miR-101 level in cervical cancer tissues and prognosis of patients was analyzed by using data retrieved from The Cancer Genome Atlas (TCGA) database, which was followed with our clinical study in which miR-101 serum level comparison between cervical cancer patients and healthy controls was conducted by real-time quantitative polymerase chain reaction (PCR). Results: TCGA database demonstrated that miR-101 was down-regulated in cervical cancer tissues compared with normal cervical tissues, and univariate Cox regression analysis indicated that decreased miR-101 expression was a highly significant negative risk factor. Similar trend was found in the serum miR-101. Serum level of miR-101 was associated with International Federation of Gynecology and Obstetrics (FIGO) stage (p=0.003), lymph node metastasis (p=0.001), and serum squamous cell carcinoma antigen (SCC-Ag) level &gt;4 (p=0.007). The overall survival time of cervical cancer patients with a higher level of serum miR-101 was significantly longer than that of patients with a lower level of serum miR-101. Moreover, multivariate Cox regression analysis indicated that the down-regulated serum level of miR-101 was an independent predictor for the unfavorable prognosis of cervical cancer. Conclusion: Serum level of miR-101 is closely associated with metastasis and prognosis of cervical cancer; and, hence could be a potential biomarker and prognostic predictor for cervical cancer.","author":[{"dropping-particle":"","family":"Jiang","given":"Wei","non-dropping-particle":"","parse-names":false,"suffix":""},{"dropping-particle":"","family":"Pan","given":"Jia Jia","non-dropping-particle":"","parse-names":false,"suffix":""},{"dropping-particle":"","family":"Deng","given":"Ying Hui","non-dropping-particle":"","parse-names":false,"suffix":""},{"dropping-particle":"","family":"Liang","given":"Mei Rong","non-dropping-particle":"","parse-names":false,"suffix":""},{"dropping-particle":"","family":"Yao","given":"Li Hua","non-dropping-particle":"","parse-names":false,"suffix":""}],"container-title":"Journal of Gynecologic Oncology","id":"ITEM-1","issue":"6","issued":{"date-parts":[["2017"]]},"page":"1-10","title":"Down-regulated serum microRNA-101 is associated with aggressive progression and poor prognosis of cervical cancer","type":"article-journal","volume":"28"},"uris":["http://www.mendeley.com/documents/?uuid=10cd3f0d-f8fa-4f11-b9f5-a99bd67a4c1e"]}],"mendeley":{"formattedCitation":"[5]","plainTextFormattedCitation":"[5]","previouslyFormattedCitation":"[4]"},"properties":{"noteIndex":0},"schema":"https://github.com/citation-style-language/schema/raw/master/csl-citation.json"}</w:instrText>
            </w:r>
            <w:r w:rsidR="00856DD4">
              <w:rPr>
                <w:rFonts w:eastAsia="Times New Roman"/>
                <w:sz w:val="22"/>
                <w:szCs w:val="22"/>
                <w:lang w:eastAsia="da-DK"/>
              </w:rPr>
              <w:fldChar w:fldCharType="separate"/>
            </w:r>
            <w:r w:rsidR="00930057" w:rsidRPr="00930057">
              <w:rPr>
                <w:rFonts w:eastAsia="Times New Roman"/>
                <w:noProof/>
                <w:sz w:val="22"/>
                <w:szCs w:val="22"/>
                <w:lang w:eastAsia="da-DK"/>
              </w:rPr>
              <w:t>[5]</w:t>
            </w:r>
            <w:r w:rsidR="00856DD4">
              <w:rPr>
                <w:rFonts w:eastAsia="Times New Roman"/>
                <w:sz w:val="22"/>
                <w:szCs w:val="22"/>
                <w:lang w:eastAsia="da-DK"/>
              </w:rPr>
              <w:fldChar w:fldCharType="end"/>
            </w:r>
          </w:p>
        </w:tc>
      </w:tr>
      <w:tr w:rsidR="0041214A" w:rsidRPr="0041214A" w14:paraId="6580B01A" w14:textId="77777777" w:rsidTr="00DC301B">
        <w:trPr>
          <w:cantSplit/>
          <w:tblHeader/>
        </w:trPr>
        <w:tc>
          <w:tcPr>
            <w:tcW w:w="2127" w:type="dxa"/>
            <w:shd w:val="clear" w:color="auto" w:fill="FFFFFF"/>
            <w:tcMar>
              <w:top w:w="0" w:type="dxa"/>
              <w:left w:w="0" w:type="dxa"/>
              <w:bottom w:w="0" w:type="dxa"/>
              <w:right w:w="0" w:type="dxa"/>
            </w:tcMar>
          </w:tcPr>
          <w:p w14:paraId="169BEF11" w14:textId="77777777" w:rsidR="0041214A" w:rsidRPr="00903089" w:rsidRDefault="0041214A" w:rsidP="00583D01">
            <w:pPr>
              <w:pStyle w:val="TextTable"/>
              <w:framePr w:hSpace="0" w:wrap="auto" w:vAnchor="margin" w:hAnchor="text" w:yAlign="inline"/>
              <w:spacing w:before="0" w:after="0"/>
              <w:rPr>
                <w:sz w:val="22"/>
                <w:szCs w:val="22"/>
              </w:rPr>
            </w:pPr>
            <w:r w:rsidRPr="00903089">
              <w:rPr>
                <w:sz w:val="22"/>
                <w:szCs w:val="22"/>
              </w:rPr>
              <w:t>hsa-miR-1183</w:t>
            </w:r>
          </w:p>
        </w:tc>
        <w:tc>
          <w:tcPr>
            <w:tcW w:w="7087" w:type="dxa"/>
            <w:shd w:val="clear" w:color="auto" w:fill="FFFFFF"/>
            <w:tcMar>
              <w:top w:w="0" w:type="dxa"/>
              <w:left w:w="0" w:type="dxa"/>
              <w:bottom w:w="0" w:type="dxa"/>
              <w:right w:w="0" w:type="dxa"/>
            </w:tcMar>
          </w:tcPr>
          <w:p w14:paraId="772F1D37" w14:textId="396530DE"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4560B3">
              <w:rPr>
                <w:rFonts w:eastAsia="Times New Roman"/>
                <w:sz w:val="22"/>
                <w:szCs w:val="22"/>
                <w:lang w:eastAsia="da-DK"/>
              </w:rPr>
              <w:t xml:space="preserve">OS </w:t>
            </w:r>
            <w:r>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Pr>
                <w:rFonts w:eastAsia="Times New Roman"/>
                <w:sz w:val="22"/>
                <w:szCs w:val="22"/>
                <w:lang w:eastAsia="da-DK"/>
              </w:rPr>
              <w:fldChar w:fldCharType="separate"/>
            </w:r>
            <w:r w:rsidR="00930057" w:rsidRPr="00930057">
              <w:rPr>
                <w:rFonts w:eastAsia="Times New Roman"/>
                <w:noProof/>
                <w:sz w:val="22"/>
                <w:szCs w:val="22"/>
                <w:lang w:eastAsia="da-DK"/>
              </w:rPr>
              <w:t>[6]</w:t>
            </w:r>
            <w:r>
              <w:rPr>
                <w:rFonts w:eastAsia="Times New Roman"/>
                <w:sz w:val="22"/>
                <w:szCs w:val="22"/>
                <w:lang w:eastAsia="da-DK"/>
              </w:rPr>
              <w:fldChar w:fldCharType="end"/>
            </w:r>
          </w:p>
        </w:tc>
      </w:tr>
      <w:tr w:rsidR="0041214A" w:rsidRPr="0041214A" w14:paraId="4380C2F5" w14:textId="77777777" w:rsidTr="00DC301B">
        <w:trPr>
          <w:cantSplit/>
          <w:tblHeader/>
        </w:trPr>
        <w:tc>
          <w:tcPr>
            <w:tcW w:w="2127" w:type="dxa"/>
            <w:shd w:val="clear" w:color="auto" w:fill="FFFFFF"/>
            <w:tcMar>
              <w:top w:w="0" w:type="dxa"/>
              <w:left w:w="0" w:type="dxa"/>
              <w:bottom w:w="0" w:type="dxa"/>
              <w:right w:w="0" w:type="dxa"/>
            </w:tcMar>
          </w:tcPr>
          <w:p w14:paraId="14F0CFA8" w14:textId="77777777" w:rsidR="0041214A" w:rsidRPr="00903089" w:rsidRDefault="0041214A" w:rsidP="00583D01">
            <w:pPr>
              <w:pStyle w:val="TextTable"/>
              <w:framePr w:hSpace="0" w:wrap="auto" w:vAnchor="margin" w:hAnchor="text" w:yAlign="inline"/>
              <w:spacing w:before="0" w:after="0"/>
              <w:rPr>
                <w:sz w:val="22"/>
                <w:szCs w:val="22"/>
              </w:rPr>
            </w:pPr>
            <w:r w:rsidRPr="00903089">
              <w:rPr>
                <w:sz w:val="22"/>
                <w:szCs w:val="22"/>
              </w:rPr>
              <w:t>hsa-miR-1234</w:t>
            </w:r>
          </w:p>
        </w:tc>
        <w:tc>
          <w:tcPr>
            <w:tcW w:w="7087" w:type="dxa"/>
            <w:shd w:val="clear" w:color="auto" w:fill="FFFFFF"/>
            <w:tcMar>
              <w:top w:w="0" w:type="dxa"/>
              <w:left w:w="0" w:type="dxa"/>
              <w:bottom w:w="0" w:type="dxa"/>
              <w:right w:w="0" w:type="dxa"/>
            </w:tcMar>
          </w:tcPr>
          <w:p w14:paraId="755B1D52" w14:textId="769D03CF"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4560B3">
              <w:rPr>
                <w:rFonts w:eastAsia="Times New Roman"/>
                <w:sz w:val="22"/>
                <w:szCs w:val="22"/>
                <w:lang w:eastAsia="da-DK"/>
              </w:rPr>
              <w:t>Resistan</w:t>
            </w:r>
            <w:r w:rsidRPr="00FC049F">
              <w:rPr>
                <w:rFonts w:eastAsia="Times New Roman"/>
                <w:sz w:val="22"/>
                <w:szCs w:val="22"/>
                <w:lang w:eastAsia="da-DK"/>
              </w:rPr>
              <w:t xml:space="preserve">ce to chemotherapy </w:t>
            </w:r>
            <w:r>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Pr>
                <w:rFonts w:eastAsia="Times New Roman"/>
                <w:sz w:val="22"/>
                <w:szCs w:val="22"/>
                <w:lang w:eastAsia="da-DK"/>
              </w:rPr>
              <w:fldChar w:fldCharType="separate"/>
            </w:r>
            <w:r w:rsidR="00930057" w:rsidRPr="00930057">
              <w:rPr>
                <w:rFonts w:eastAsia="Times New Roman"/>
                <w:noProof/>
                <w:sz w:val="22"/>
                <w:szCs w:val="22"/>
                <w:lang w:eastAsia="da-DK"/>
              </w:rPr>
              <w:t>[6]</w:t>
            </w:r>
            <w:r>
              <w:rPr>
                <w:rFonts w:eastAsia="Times New Roman"/>
                <w:sz w:val="22"/>
                <w:szCs w:val="22"/>
                <w:lang w:eastAsia="da-DK"/>
              </w:rPr>
              <w:fldChar w:fldCharType="end"/>
            </w:r>
          </w:p>
        </w:tc>
      </w:tr>
      <w:tr w:rsidR="0041214A" w:rsidRPr="0041214A" w14:paraId="485D290F" w14:textId="77777777" w:rsidTr="00DC301B">
        <w:trPr>
          <w:cantSplit/>
          <w:tblHeader/>
        </w:trPr>
        <w:tc>
          <w:tcPr>
            <w:tcW w:w="2127" w:type="dxa"/>
            <w:shd w:val="clear" w:color="auto" w:fill="FFFFFF"/>
            <w:tcMar>
              <w:top w:w="0" w:type="dxa"/>
              <w:left w:w="0" w:type="dxa"/>
              <w:bottom w:w="0" w:type="dxa"/>
              <w:right w:w="0" w:type="dxa"/>
            </w:tcMar>
          </w:tcPr>
          <w:p w14:paraId="3DC407B2" w14:textId="77777777" w:rsidR="0041214A" w:rsidRPr="00903089" w:rsidRDefault="0041214A" w:rsidP="00583D01">
            <w:pPr>
              <w:pStyle w:val="TextTable"/>
              <w:framePr w:hSpace="0" w:wrap="auto" w:vAnchor="margin" w:hAnchor="text" w:yAlign="inline"/>
              <w:spacing w:before="0" w:after="0"/>
              <w:rPr>
                <w:sz w:val="22"/>
                <w:szCs w:val="22"/>
              </w:rPr>
            </w:pPr>
            <w:r w:rsidRPr="00903089">
              <w:rPr>
                <w:sz w:val="22"/>
                <w:szCs w:val="22"/>
              </w:rPr>
              <w:t>hsa-miR-126-3p</w:t>
            </w:r>
          </w:p>
        </w:tc>
        <w:tc>
          <w:tcPr>
            <w:tcW w:w="7087" w:type="dxa"/>
            <w:shd w:val="clear" w:color="auto" w:fill="FFFFFF"/>
            <w:tcMar>
              <w:top w:w="0" w:type="dxa"/>
              <w:left w:w="0" w:type="dxa"/>
              <w:bottom w:w="0" w:type="dxa"/>
              <w:right w:w="0" w:type="dxa"/>
            </w:tcMar>
          </w:tcPr>
          <w:p w14:paraId="24681793" w14:textId="409886C8"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930057">
              <w:rPr>
                <w:rFonts w:eastAsia="Times New Roman"/>
                <w:sz w:val="22"/>
                <w:szCs w:val="22"/>
                <w:lang w:val="da-DK" w:eastAsia="da-DK"/>
              </w:rPr>
              <w:t xml:space="preserve">OS </w:t>
            </w:r>
            <w:r w:rsidR="00930057">
              <w:rPr>
                <w:rFonts w:eastAsia="Times New Roman"/>
                <w:sz w:val="22"/>
                <w:szCs w:val="22"/>
                <w:lang w:eastAsia="da-DK"/>
              </w:rPr>
              <w:fldChar w:fldCharType="begin" w:fldLock="1"/>
            </w:r>
            <w:r w:rsidR="00930057">
              <w:rPr>
                <w:rFonts w:eastAsia="Times New Roman"/>
                <w:sz w:val="22"/>
                <w:szCs w:val="22"/>
                <w:lang w:val="da-DK" w:eastAsia="da-DK"/>
              </w:rPr>
              <w:instrText>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sidR="00930057">
              <w:rPr>
                <w:rFonts w:eastAsia="Times New Roman"/>
                <w:sz w:val="22"/>
                <w:szCs w:val="22"/>
                <w:lang w:eastAsia="da-DK"/>
              </w:rPr>
              <w:fldChar w:fldCharType="separate"/>
            </w:r>
            <w:r w:rsidR="00930057" w:rsidRPr="00930057">
              <w:rPr>
                <w:rFonts w:eastAsia="Times New Roman"/>
                <w:noProof/>
                <w:sz w:val="22"/>
                <w:szCs w:val="22"/>
                <w:lang w:val="da-DK" w:eastAsia="da-DK"/>
              </w:rPr>
              <w:t>[6]</w:t>
            </w:r>
            <w:r w:rsidR="00930057">
              <w:rPr>
                <w:rFonts w:eastAsia="Times New Roman"/>
                <w:sz w:val="22"/>
                <w:szCs w:val="22"/>
                <w:lang w:eastAsia="da-DK"/>
              </w:rPr>
              <w:fldChar w:fldCharType="end"/>
            </w:r>
            <w:r w:rsidRPr="00930057">
              <w:rPr>
                <w:rFonts w:eastAsia="Times New Roman"/>
                <w:sz w:val="22"/>
                <w:szCs w:val="22"/>
                <w:lang w:val="da-DK" w:eastAsia="da-DK"/>
              </w:rPr>
              <w:t xml:space="preserve">, </w:t>
            </w:r>
            <w:proofErr w:type="spellStart"/>
            <w:r w:rsidRPr="00930057">
              <w:rPr>
                <w:rFonts w:eastAsia="Times New Roman"/>
                <w:sz w:val="22"/>
                <w:szCs w:val="22"/>
                <w:lang w:val="da-DK" w:eastAsia="da-DK"/>
              </w:rPr>
              <w:t>miRNA:mRNA</w:t>
            </w:r>
            <w:proofErr w:type="spellEnd"/>
            <w:r w:rsidRPr="00930057">
              <w:rPr>
                <w:rFonts w:eastAsia="Times New Roman"/>
                <w:sz w:val="22"/>
                <w:szCs w:val="22"/>
                <w:lang w:val="da-DK" w:eastAsia="da-DK"/>
              </w:rPr>
              <w:t xml:space="preserve"> </w:t>
            </w:r>
            <w:proofErr w:type="spellStart"/>
            <w:r w:rsidRPr="00930057">
              <w:rPr>
                <w:rFonts w:eastAsia="Times New Roman"/>
                <w:sz w:val="22"/>
                <w:szCs w:val="22"/>
                <w:lang w:val="da-DK" w:eastAsia="da-DK"/>
              </w:rPr>
              <w:t>signatures</w:t>
            </w:r>
            <w:proofErr w:type="spellEnd"/>
            <w:r w:rsidRPr="00930057">
              <w:rPr>
                <w:rFonts w:eastAsia="Times New Roman"/>
                <w:sz w:val="22"/>
                <w:szCs w:val="22"/>
                <w:lang w:val="da-DK" w:eastAsia="da-DK"/>
              </w:rPr>
              <w:t xml:space="preserve"> </w:t>
            </w:r>
            <w:proofErr w:type="spellStart"/>
            <w:r w:rsidRPr="00930057">
              <w:rPr>
                <w:rFonts w:eastAsia="Times New Roman"/>
                <w:sz w:val="22"/>
                <w:szCs w:val="22"/>
                <w:lang w:val="da-DK" w:eastAsia="da-DK"/>
              </w:rPr>
              <w:t>associated</w:t>
            </w:r>
            <w:proofErr w:type="spellEnd"/>
            <w:r w:rsidRPr="00930057">
              <w:rPr>
                <w:rFonts w:eastAsia="Times New Roman"/>
                <w:sz w:val="22"/>
                <w:szCs w:val="22"/>
                <w:lang w:val="da-DK" w:eastAsia="da-DK"/>
              </w:rPr>
              <w:t xml:space="preserve"> with OS </w:t>
            </w:r>
            <w:r w:rsidR="00856DD4">
              <w:rPr>
                <w:rFonts w:eastAsia="Times New Roman"/>
                <w:sz w:val="22"/>
                <w:szCs w:val="22"/>
                <w:lang w:eastAsia="da-DK"/>
              </w:rPr>
              <w:fldChar w:fldCharType="begin" w:fldLock="1"/>
            </w:r>
            <w:r w:rsidR="00930057">
              <w:rPr>
                <w:rFonts w:eastAsia="Times New Roman"/>
                <w:sz w:val="22"/>
                <w:szCs w:val="22"/>
                <w:lang w:val="da-DK"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szCs w:val="22"/>
                <w:lang w:eastAsia="da-DK"/>
              </w:rPr>
              <w:fldChar w:fldCharType="separate"/>
            </w:r>
            <w:r w:rsidR="00930057" w:rsidRPr="00930057">
              <w:rPr>
                <w:rFonts w:eastAsia="Times New Roman"/>
                <w:noProof/>
                <w:sz w:val="22"/>
                <w:szCs w:val="22"/>
                <w:lang w:eastAsia="da-DK"/>
              </w:rPr>
              <w:t>[7]</w:t>
            </w:r>
            <w:r w:rsidR="00856DD4">
              <w:rPr>
                <w:rFonts w:eastAsia="Times New Roman"/>
                <w:sz w:val="22"/>
                <w:szCs w:val="22"/>
                <w:lang w:eastAsia="da-DK"/>
              </w:rPr>
              <w:fldChar w:fldCharType="end"/>
            </w:r>
          </w:p>
        </w:tc>
      </w:tr>
      <w:tr w:rsidR="0041214A" w:rsidRPr="0041214A" w14:paraId="59D9A4E7" w14:textId="77777777" w:rsidTr="00DC301B">
        <w:trPr>
          <w:cantSplit/>
          <w:tblHeader/>
        </w:trPr>
        <w:tc>
          <w:tcPr>
            <w:tcW w:w="2127" w:type="dxa"/>
            <w:shd w:val="clear" w:color="auto" w:fill="FFFFFF"/>
            <w:tcMar>
              <w:top w:w="0" w:type="dxa"/>
              <w:left w:w="0" w:type="dxa"/>
              <w:bottom w:w="0" w:type="dxa"/>
              <w:right w:w="0" w:type="dxa"/>
            </w:tcMar>
          </w:tcPr>
          <w:p w14:paraId="38FD094E"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hsa-miR-1301</w:t>
            </w:r>
          </w:p>
        </w:tc>
        <w:tc>
          <w:tcPr>
            <w:tcW w:w="7087" w:type="dxa"/>
            <w:shd w:val="clear" w:color="auto" w:fill="FFFFFF"/>
            <w:tcMar>
              <w:top w:w="0" w:type="dxa"/>
              <w:left w:w="0" w:type="dxa"/>
              <w:bottom w:w="0" w:type="dxa"/>
              <w:right w:w="0" w:type="dxa"/>
            </w:tcMar>
          </w:tcPr>
          <w:p w14:paraId="5E5ABB8B" w14:textId="48B320E0" w:rsidR="0041214A" w:rsidRPr="00903089" w:rsidRDefault="00930057" w:rsidP="00583D01">
            <w:pPr>
              <w:pStyle w:val="TextTable"/>
              <w:framePr w:hSpace="0" w:wrap="auto" w:vAnchor="margin" w:hAnchor="text" w:yAlign="inline"/>
              <w:spacing w:before="0" w:after="0"/>
              <w:rPr>
                <w:rFonts w:eastAsia="Times New Roman"/>
                <w:sz w:val="22"/>
                <w:szCs w:val="22"/>
                <w:lang w:eastAsia="da-DK"/>
              </w:rPr>
            </w:pPr>
            <w:r w:rsidRPr="00903089">
              <w:rPr>
                <w:rFonts w:eastAsiaTheme="minorHAnsi"/>
                <w:sz w:val="22"/>
                <w:szCs w:val="22"/>
              </w:rPr>
              <w:t xml:space="preserve">Tumor </w:t>
            </w:r>
            <w:r w:rsidR="0041214A" w:rsidRPr="00FC049F">
              <w:rPr>
                <w:rFonts w:eastAsiaTheme="minorHAnsi"/>
                <w:sz w:val="22"/>
                <w:szCs w:val="22"/>
              </w:rPr>
              <w:t xml:space="preserve">grade </w:t>
            </w:r>
            <w:r w:rsidR="00856DD4">
              <w:rPr>
                <w:rFonts w:eastAsiaTheme="minorHAnsi"/>
                <w:sz w:val="22"/>
                <w:szCs w:val="22"/>
              </w:rPr>
              <w:fldChar w:fldCharType="begin" w:fldLock="1"/>
            </w:r>
            <w:r>
              <w:rPr>
                <w:rFonts w:eastAsiaTheme="minorHAnsi"/>
                <w:sz w:val="22"/>
                <w:szCs w:val="22"/>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szCs w:val="22"/>
              </w:rPr>
              <w:fldChar w:fldCharType="separate"/>
            </w:r>
            <w:r w:rsidRPr="00930057">
              <w:rPr>
                <w:rFonts w:eastAsiaTheme="minorHAnsi"/>
                <w:noProof/>
                <w:sz w:val="22"/>
                <w:szCs w:val="22"/>
              </w:rPr>
              <w:t>[8]</w:t>
            </w:r>
            <w:r w:rsidR="00856DD4">
              <w:rPr>
                <w:rFonts w:eastAsiaTheme="minorHAnsi"/>
                <w:sz w:val="22"/>
                <w:szCs w:val="22"/>
              </w:rPr>
              <w:fldChar w:fldCharType="end"/>
            </w:r>
            <w:r w:rsidR="0041214A" w:rsidRPr="00903089">
              <w:rPr>
                <w:rFonts w:eastAsiaTheme="minorHAnsi"/>
                <w:sz w:val="22"/>
                <w:szCs w:val="22"/>
              </w:rPr>
              <w:t xml:space="preserve">, cisplatin resistance </w:t>
            </w:r>
            <w:r w:rsidR="00856DD4">
              <w:rPr>
                <w:rFonts w:eastAsiaTheme="minorHAnsi"/>
                <w:sz w:val="22"/>
                <w:szCs w:val="22"/>
              </w:rPr>
              <w:fldChar w:fldCharType="begin" w:fldLock="1"/>
            </w:r>
            <w:r>
              <w:rPr>
                <w:rFonts w:eastAsiaTheme="minorHAnsi"/>
                <w:sz w:val="22"/>
                <w:szCs w:val="22"/>
              </w:rPr>
              <w:instrText>ADDIN CSL_CITATION {"citationItems":[{"id":"ITEM-1","itemData":{"DOI":"10.3389/fonc.2021.789626","ISSN":"2234943X","abstract":"miR-1301 is a newly discovered miRNA, which is abnormally expressed in 14 types of tumors. miR-1301 inhibits 23 target genes, forms a ceRNA network with 2 circRNAs and 8 lncRNAs, and participates in 6 signaling pathways, thereby affecting tumor cell proliferation, invasion, metastasis, apoptosis, angiogenesis, etc. Abnormal expression of miR-1301 is often associated with poor prognosis of cancer patients. In addition, miR-1301 is related to the anti-tumor effect of epirubicin on osteosarcoma and imatinib on chronic myeloid leukemia(CML) and can enhance the cisplatin sensitivity of ovarian cancer. This work systematically summarizes the abnormal expression and prognostic value of miR-1301 in a variety of cancers, depicts the miR-1301-related signaling pathways and ceRNA network, and provides potential clues for future miR-1301 research.","author":[{"dropping-particle":"","family":"Zhong","given":"Chenming","non-dropping-particle":"","parse-names":false,"suffix":""},{"dropping-particle":"","family":"Dong","given":"Yiyao","non-dropping-particle":"","parse-names":false,"suffix":""},{"dropping-particle":"","family":"Zhang","given":"Qiudan","non-dropping-particle":"","parse-names":false,"suffix":""},{"dropping-particle":"","family":"Yuan","given":"Chunhui","non-dropping-particle":"","parse-names":false,"suffix":""},{"dropping-particle":"","family":"Duan","given":"Shiwei","non-dropping-particle":"","parse-names":false,"suffix":""}],"container-title":"Frontiers in Oncology","id":"ITEM-1","issue":"January","issued":{"date-parts":[["2022"]]},"page":"1-13","title":"Aberrant Expression of miR-1301 in Human Cancer","type":"article-journal","volume":"11"},"uris":["http://www.mendeley.com/documents/?uuid=592c2237-fc56-4d90-b7ea-3b934dfb8440"]}],"mendeley":{"formattedCitation":"[9]","plainTextFormattedCitation":"[9]","previouslyFormattedCitation":"[8]"},"properties":{"noteIndex":0},"schema":"https://github.com/citation-style-language/schema/raw/master/csl-citation.json"}</w:instrText>
            </w:r>
            <w:r w:rsidR="00856DD4">
              <w:rPr>
                <w:rFonts w:eastAsiaTheme="minorHAnsi"/>
                <w:sz w:val="22"/>
                <w:szCs w:val="22"/>
              </w:rPr>
              <w:fldChar w:fldCharType="separate"/>
            </w:r>
            <w:r w:rsidRPr="00930057">
              <w:rPr>
                <w:rFonts w:eastAsiaTheme="minorHAnsi"/>
                <w:noProof/>
                <w:sz w:val="22"/>
                <w:szCs w:val="22"/>
              </w:rPr>
              <w:t>[9]</w:t>
            </w:r>
            <w:r w:rsidR="00856DD4">
              <w:rPr>
                <w:rFonts w:eastAsiaTheme="minorHAnsi"/>
                <w:sz w:val="22"/>
                <w:szCs w:val="22"/>
              </w:rPr>
              <w:fldChar w:fldCharType="end"/>
            </w:r>
          </w:p>
        </w:tc>
      </w:tr>
      <w:tr w:rsidR="0041214A" w:rsidRPr="00DC301B" w14:paraId="1D5622C3" w14:textId="77777777" w:rsidTr="00DC301B">
        <w:trPr>
          <w:cantSplit/>
          <w:tblHeader/>
        </w:trPr>
        <w:tc>
          <w:tcPr>
            <w:tcW w:w="2127" w:type="dxa"/>
            <w:shd w:val="clear" w:color="auto" w:fill="FFFFFF"/>
            <w:tcMar>
              <w:top w:w="0" w:type="dxa"/>
              <w:left w:w="0" w:type="dxa"/>
              <w:bottom w:w="0" w:type="dxa"/>
              <w:right w:w="0" w:type="dxa"/>
            </w:tcMar>
          </w:tcPr>
          <w:p w14:paraId="0D9810DB"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hsa-miR-130a</w:t>
            </w:r>
          </w:p>
        </w:tc>
        <w:tc>
          <w:tcPr>
            <w:tcW w:w="7087" w:type="dxa"/>
            <w:shd w:val="clear" w:color="auto" w:fill="FFFFFF"/>
            <w:tcMar>
              <w:top w:w="0" w:type="dxa"/>
              <w:left w:w="0" w:type="dxa"/>
              <w:bottom w:w="0" w:type="dxa"/>
              <w:right w:w="0" w:type="dxa"/>
            </w:tcMar>
          </w:tcPr>
          <w:p w14:paraId="1DCB5A5B" w14:textId="70D81E6A" w:rsidR="0041214A" w:rsidRPr="00903089" w:rsidRDefault="0041214A" w:rsidP="00583D01">
            <w:pPr>
              <w:pStyle w:val="TextTable"/>
              <w:framePr w:hSpace="0" w:wrap="auto" w:vAnchor="margin" w:hAnchor="text" w:yAlign="inline"/>
              <w:spacing w:before="0" w:after="0"/>
              <w:rPr>
                <w:rFonts w:eastAsiaTheme="minorHAnsi"/>
                <w:sz w:val="22"/>
                <w:szCs w:val="22"/>
              </w:rPr>
            </w:pPr>
            <w:r w:rsidRPr="00FC049F">
              <w:rPr>
                <w:rFonts w:eastAsiaTheme="minorHAnsi"/>
                <w:sz w:val="22"/>
                <w:szCs w:val="22"/>
              </w:rPr>
              <w:t>Histologic subtype, advanced FIGO</w:t>
            </w:r>
            <w:r w:rsidRPr="00FC049F">
              <w:rPr>
                <w:rFonts w:eastAsiaTheme="minorHAnsi"/>
                <w:sz w:val="22"/>
                <w:szCs w:val="22"/>
                <w:vertAlign w:val="superscript"/>
              </w:rPr>
              <w:t>3</w:t>
            </w:r>
            <w:r w:rsidRPr="00FC049F">
              <w:rPr>
                <w:rFonts w:eastAsiaTheme="minorHAnsi"/>
                <w:sz w:val="22"/>
                <w:szCs w:val="22"/>
              </w:rPr>
              <w:t xml:space="preserve"> stage </w:t>
            </w:r>
            <w:r w:rsidR="00856DD4">
              <w:rPr>
                <w:rFonts w:eastAsiaTheme="minorHAnsi"/>
                <w:sz w:val="22"/>
                <w:szCs w:val="22"/>
              </w:rPr>
              <w:fldChar w:fldCharType="begin" w:fldLock="1"/>
            </w:r>
            <w:r w:rsidR="00930057">
              <w:rPr>
                <w:rFonts w:eastAsiaTheme="minorHAnsi"/>
                <w:sz w:val="22"/>
                <w:szCs w:val="22"/>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szCs w:val="22"/>
              </w:rPr>
              <w:fldChar w:fldCharType="separate"/>
            </w:r>
            <w:r w:rsidR="00930057" w:rsidRPr="00930057">
              <w:rPr>
                <w:rFonts w:eastAsiaTheme="minorHAnsi"/>
                <w:noProof/>
                <w:sz w:val="22"/>
                <w:szCs w:val="22"/>
              </w:rPr>
              <w:t>[8]</w:t>
            </w:r>
            <w:r w:rsidR="00856DD4">
              <w:rPr>
                <w:rFonts w:eastAsiaTheme="minorHAnsi"/>
                <w:sz w:val="22"/>
                <w:szCs w:val="22"/>
              </w:rPr>
              <w:fldChar w:fldCharType="end"/>
            </w:r>
          </w:p>
        </w:tc>
      </w:tr>
      <w:tr w:rsidR="0041214A" w:rsidRPr="0041214A" w14:paraId="16C7153F" w14:textId="77777777" w:rsidTr="00DC301B">
        <w:trPr>
          <w:cantSplit/>
          <w:tblHeader/>
        </w:trPr>
        <w:tc>
          <w:tcPr>
            <w:tcW w:w="2127" w:type="dxa"/>
            <w:shd w:val="clear" w:color="auto" w:fill="FFFFFF"/>
            <w:tcMar>
              <w:top w:w="0" w:type="dxa"/>
              <w:left w:w="0" w:type="dxa"/>
              <w:bottom w:w="0" w:type="dxa"/>
              <w:right w:w="0" w:type="dxa"/>
            </w:tcMar>
          </w:tcPr>
          <w:p w14:paraId="0C80542E"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hsa-miR-135a-3p</w:t>
            </w:r>
          </w:p>
        </w:tc>
        <w:tc>
          <w:tcPr>
            <w:tcW w:w="7087" w:type="dxa"/>
            <w:shd w:val="clear" w:color="auto" w:fill="FFFFFF"/>
            <w:tcMar>
              <w:top w:w="0" w:type="dxa"/>
              <w:left w:w="0" w:type="dxa"/>
              <w:bottom w:w="0" w:type="dxa"/>
              <w:right w:w="0" w:type="dxa"/>
            </w:tcMar>
          </w:tcPr>
          <w:p w14:paraId="322A2B2C" w14:textId="15254E7E" w:rsidR="0041214A" w:rsidRPr="004560B3" w:rsidRDefault="0041214A" w:rsidP="00583D01">
            <w:pPr>
              <w:pStyle w:val="TextTable"/>
              <w:framePr w:hSpace="0" w:wrap="auto" w:vAnchor="margin" w:hAnchor="text" w:yAlign="inline"/>
              <w:spacing w:before="0" w:after="0"/>
              <w:rPr>
                <w:rFonts w:eastAsiaTheme="minorHAnsi"/>
                <w:sz w:val="22"/>
                <w:szCs w:val="22"/>
              </w:rPr>
            </w:pPr>
            <w:r w:rsidRPr="00FC049F">
              <w:rPr>
                <w:rFonts w:eastAsia="Times New Roman"/>
                <w:sz w:val="22"/>
                <w:szCs w:val="22"/>
                <w:lang w:eastAsia="da-DK"/>
              </w:rPr>
              <w:t xml:space="preserve">OS </w:t>
            </w:r>
            <w:r w:rsidR="00C80950">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{"citationItems":[{"id":"ITEM-1","itemData":{"DOI":"10.1016/j.cellsig.2014.03.002","ISSN":"18733913","PMID":"24607788","abstract":"The activation of homeobox A10 (HOXA10) has been proved to be an important event in epithelial ovarian carcinogenesis, yet its regulation in epithelial ovarian cancer (EOC) is still not fully understood. Here, we aimed to reveal the mechanism that a predicted target miRNA regulates HOXA10 expression and the association of its expression with progression of EOC. Here, by using computer-assisted algorithms from PicTar, TargetScan, and miRBase, we identified that the predicted target miRNA of HOXA10 was miR-135a. MiR-135a expression in EOC tissues and controls was measured with quantitative RT-PCR. The role of miR-135a and HOXA10 in the growth and survival of several EOC cell lines was determined with several in vitro approaches. We found that miR-135a expression was downregulated in an EOC patient cohort. Also, patients with low miR-135a expression had shorter overall survival and progression-free survival durations than those with high expression. Functional analysis of three EOC-derived cell lines (SKOV-3, HEY, and OVCAR-3) demonstrated that miR-135a directly regulated HOXA10 expression by targeting its 3'-UTR. Inhibition of HOXA10 expression with miR-135a mimics and HOXA10 siRNA consistently resulted in cell apoptosis with concomitant enhancement of caspase-3, increase of p53 expression and reduction of Bcl-2 expression, and also suppressed cell growth and adhesion. These findings suggest that ubiquitous loss of miR-135a expression is a critical mechanism for the overexpression of HOXA10 in EOC cells, which is implicated in epithelial ovarian carcinogenesis. Furthermore, miR-135a may be predictive of EOC prognosis. © 2014.","author":[{"dropping-particle":"","family":"Tang","given":"Weiwei","non-dropping-particle":"","parse-names":false,"suffix":""},{"dropping-particle":"","family":"Jiang","given":"Yi","non-dropping-particle":"","parse-names":false,"suffix":""},{"dropping-particle":"","family":"Mu","given":"Xiaoxin","non-dropping-particle":"","parse-names":false,"suffix":""},{"dropping-particle":"","family":"Xu","given":"Lei","non-dropping-particle":"","parse-names":false,"suffix":""},{"dropping-particle":"","family":"Cheng","given":"Wenjun","non-dropping-particle":"","parse-names":false,"suffix":""},{"dropping-particle":"","family":"Wang","given":"Xinru","non-dropping-particle":"","parse-names":false,"suffix":""}],"container-title":"Cellular Signalling","id":"ITEM-1","issue":"7","issued":{"date-parts":[["2014"]]},"page":"1420-1426","publisher":"Elsevier Inc.","title":"MiR-135a functions as a tumor suppressor in epithelial ovarian cancer and regulates HOXA10 expression","type":"article-journal","volume":"26"},"uris":["http://www.mendeley.com/documents/?uuid=cdd5fd57-af34-41b8-aa1f-6442e72055e2"]}],"mendeley":{"formattedCitation":"[10]","plainTextFormattedCitation":"[10]","previouslyFormattedCitation":"[9]"},"properties":{"noteIndex":0},"schema":"https://github.com/citation-style-language/schema/raw/master/csl-citation.json"}</w:instrText>
            </w:r>
            <w:r w:rsidR="00C80950">
              <w:rPr>
                <w:rFonts w:eastAsia="Times New Roman"/>
                <w:sz w:val="22"/>
                <w:szCs w:val="22"/>
                <w:lang w:eastAsia="da-DK"/>
              </w:rPr>
              <w:fldChar w:fldCharType="separate"/>
            </w:r>
            <w:r w:rsidR="00930057" w:rsidRPr="00930057">
              <w:rPr>
                <w:rFonts w:eastAsia="Times New Roman"/>
                <w:noProof/>
                <w:sz w:val="22"/>
                <w:szCs w:val="22"/>
                <w:lang w:eastAsia="da-DK"/>
              </w:rPr>
              <w:t>[10]</w:t>
            </w:r>
            <w:r w:rsidR="00C80950">
              <w:rPr>
                <w:rFonts w:eastAsia="Times New Roman"/>
                <w:sz w:val="22"/>
                <w:szCs w:val="22"/>
                <w:lang w:eastAsia="da-DK"/>
              </w:rPr>
              <w:fldChar w:fldCharType="end"/>
            </w:r>
            <w:r w:rsidRPr="00903089">
              <w:rPr>
                <w:rFonts w:eastAsia="Times New Roman"/>
                <w:sz w:val="22"/>
                <w:szCs w:val="22"/>
                <w:lang w:eastAsia="da-DK"/>
              </w:rPr>
              <w:t xml:space="preserve">, progression‐free survival </w:t>
            </w:r>
            <w:r w:rsidR="00C80950">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{"citationItems":[{"id":"ITEM-1","itemData":{"DOI":"10.1016/j.cellsig.2014.03.002","ISSN":"18733913","PMID":"24607788","abstract":"The activation of homeobox A10 (HOXA10) has been proved to be an important event in epithelial ovarian carcinogenesis, yet its regulation in epithelial ovarian cancer (EOC) is still not fully understood. Here, we aimed to reveal the mechanism that a predicted target miRNA regulates HOXA10 expression and the association of its expression with progression of EOC. Here, by using computer-assisted algorithms from PicTar, TargetScan, and miRBase, we identified that the predicted target miRNA of HOXA10 was miR-135a. MiR-135a expression in EOC tissues and controls was measured with quantitative RT-PCR. The role of miR-135a and HOXA10 in the growth and survival of several EOC cell lines was determined with several in vitro approaches. We found that miR-135a expression was downregulated in an EOC patient cohort. Also, patients with low miR-135a expression had shorter overall survival and progression-free survival durations than those with high expression. Functional analysis of three EOC-derived cell lines (SKOV-3, HEY, and OVCAR-3) demonstrated that miR-135a directly regulated HOXA10 expression by targeting its 3'-UTR. Inhibition of HOXA10 expression with miR-135a mimics and HOXA10 siRNA consistently resulted in cell apoptosis with concomitant enhancement of caspase-3, increase of p53 expression and reduction of Bcl-2 expression, and also suppressed cell growth and adhesion. These findings suggest that ubiquitous loss of miR-135a expression is a critical mechanism for the overexpression of HOXA10 in EOC cells, which is implicated in epithelial ovarian carcinogenesis. Furthermore, miR-135a may be predictive of EOC prognosis. © 2014.","author":[{"dropping-particle":"","family":"Tang","given":"Weiwei","non-dropping-particle":"","parse-names":false,"suffix":""},{"dropping-particle":"","family":"Jiang","given":"Yi","non-dropping-particle":"","parse-names":false,"suffix":""},{"dropping-particle":"","family":"Mu","given":"Xiaoxin","non-dropping-particle":"","parse-names":false,"suffix":""},{"dropping-particle":"","family":"Xu","given":"Lei","non-dropping-particle":"","parse-names":false,"suffix":""},{"dropping-particle":"","family":"Cheng","given":"Wenjun","non-dropping-particle":"","parse-names":false,"suffix":""},{"dropping-particle":"","family":"Wang","given":"Xinru","non-dropping-particle":"","parse-names":false,"suffix":""}],"container-title":"Cellular Signalling","id":"ITEM-1","issue":"7","issued":{"date-parts":[["2014"]]},"page":"1420-1426","publisher":"Elsevier Inc.","title":"MiR-135a functions as a tumor suppressor in epithelial ovarian cancer and regulates HOXA10 expression","type":"article-journal","volume":"26"},"uris":["http://www.mendeley.com/documents/?uuid=cdd5fd57-af34-41b8-aa1f-6442e72055e2"]},{"id":"ITEM-2","itemData":{"DOI":"10.1111/cas.13210","ISBN":"8192801101","ISSN":"13497006","PMID":"28231414","abstract":"Ovarian cancer is the most lethal gynecologic malignancy. Recently, several molecularly targeted anticancer agents have been developed for ovarian cancer; however, its prognosis remains extremely poor. The development of molecularly targeted therapy, as well as companion diagnostics, is required to improve outcomes for patients with ovarian cancer. In this study, to identify microRNAs (miRNAs) involved in the progression of ovarian cancer we analyzed serum miRNAs in patients with ovarian cancer using miRNA array and quantitative RT-PCR and examined the anticancer properties of miRNA expression in ovarian cancer cells. In patients with ovarian cancer, high amount of miR-135a-3p in serum samples was significantly associated with favorable clinical prognosis. The amount of miR-135a-3p was significantly decreased in patients with ovarian cancer compared with patients with ovarian cysts or normal ovaries. In SKOV-3 and ES-2 human ovarian cancer cells, enhanced expression of miR-135a-3p induced drug sensitivity to cisplatin and paclitaxel and suppressed cell proliferation and xenograft tumor growth. These findings suggest that miR-135a-3p may be considered as a biomarker and a therapeutic agent in ovarian cancer.","author":[{"dropping-particle":"","family":"Fukagawa","given":"Satoshi","non-dropping-particle":"","parse-names":false,"suffix":""},{"dropping-particle":"","family":"Miyata","given":"Kohei","non-dropping-particle":"","parse-names":false,"suffix":""},{"dropping-particle":"","family":"Yotsumoto","given":"Fusanori","non-dropping-particle":"","parse-names":false,"suffix":""},{"dropping-particle":"","family":"Kiyoshima","given":"Chihiro","non-dropping-particle":"","parse-names":false,"suffix":""},{"dropping-particle":"","family":"Nam","given":"Sung Ouk","non-dropping-particle":"","parse-names":false,"suffix":""},{"dropping-particle":"","family":"Anan","given":"Haruchika","non-dropping-particle":"","parse-names":false,"suffix":""},{"dropping-particle":"","family":"Katsuda","given":"Takahiro","non-dropping-particle":"","parse-names":false,"suffix":""},{"dropping-particle":"","family":"Miyahara","given":"Daisuke","non-dropping-particle":"","parse-names":false,"suffix":""},{"dropping-particle":"","family":"Murata","given":"Masaharu","non-dropping-particle":"","parse-names":false,"suffix":""},{"dropping-particle":"","family":"Yagi","given":"Hiroshi","non-dropping-particle":"","parse-names":false,"suffix":""},{"dropping-particle":"","family":"Shirota","given":"Kyoko","non-dropping-particle":"","parse-names":false,"suffix":""},{"dropping-particle":"","family":"Yasunaga","given":"Shin'ichiro","non-dropping-particle":"","parse-names":false,"suffix":""},{"dropping-particle":"","family":"Kato","given":"Kiyoko","non-dropping-particle":"","parse-names":false,"suffix":""},{"dropping-particle":"","family":"Miyamoto","given":"Shingo","non-dropping-particle":"","parse-names":false,"suffix":""}],"container-title":"Cancer Science","id":"ITEM-2","issue":"5","issued":{"date-parts":[["2017"]]},"page":"886-896","title":"MicroRNA-135a-3p as a promising biomarker and nucleic acid therapeutic agent for ovarian cancer","type":"article-journal","volume":"108"},"uris":["http://www.mendeley.com/documents/?uuid=9a3bc047-eeae-418d-84e8-1d2d5ba49ca7"]}],"mendeley":{"formattedCitation":"[10,11]","plainTextFormattedCitation":"[10,11]","previouslyFormattedCitation":"[9,10]"},"properties":{"noteIndex":0},"schema":"https://github.com/citation-style-language/schema/raw/master/csl-citation.json"}</w:instrText>
            </w:r>
            <w:r w:rsidR="00C80950">
              <w:rPr>
                <w:rFonts w:eastAsia="Times New Roman"/>
                <w:sz w:val="22"/>
                <w:szCs w:val="22"/>
                <w:lang w:eastAsia="da-DK"/>
              </w:rPr>
              <w:fldChar w:fldCharType="separate"/>
            </w:r>
            <w:r w:rsidR="00930057" w:rsidRPr="00930057">
              <w:rPr>
                <w:rFonts w:eastAsia="Times New Roman"/>
                <w:noProof/>
                <w:sz w:val="22"/>
                <w:szCs w:val="22"/>
                <w:lang w:eastAsia="da-DK"/>
              </w:rPr>
              <w:t>[10,11]</w:t>
            </w:r>
            <w:r w:rsidR="00C80950">
              <w:rPr>
                <w:rFonts w:eastAsia="Times New Roman"/>
                <w:sz w:val="22"/>
                <w:szCs w:val="22"/>
                <w:lang w:eastAsia="da-DK"/>
              </w:rPr>
              <w:fldChar w:fldCharType="end"/>
            </w:r>
          </w:p>
        </w:tc>
      </w:tr>
      <w:tr w:rsidR="0041214A" w:rsidRPr="0041214A" w14:paraId="51B4E3AF" w14:textId="77777777" w:rsidTr="00DC301B">
        <w:trPr>
          <w:cantSplit/>
          <w:tblHeader/>
        </w:trPr>
        <w:tc>
          <w:tcPr>
            <w:tcW w:w="2127" w:type="dxa"/>
            <w:shd w:val="clear" w:color="auto" w:fill="FFFFFF"/>
            <w:tcMar>
              <w:top w:w="0" w:type="dxa"/>
              <w:left w:w="0" w:type="dxa"/>
              <w:bottom w:w="0" w:type="dxa"/>
              <w:right w:w="0" w:type="dxa"/>
            </w:tcMar>
          </w:tcPr>
          <w:p w14:paraId="6E86D8B1"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hsa-miR-139-3p</w:t>
            </w:r>
          </w:p>
        </w:tc>
        <w:tc>
          <w:tcPr>
            <w:tcW w:w="7087" w:type="dxa"/>
            <w:shd w:val="clear" w:color="auto" w:fill="FFFFFF"/>
            <w:tcMar>
              <w:top w:w="0" w:type="dxa"/>
              <w:left w:w="0" w:type="dxa"/>
              <w:bottom w:w="0" w:type="dxa"/>
              <w:right w:w="0" w:type="dxa"/>
            </w:tcMar>
          </w:tcPr>
          <w:p w14:paraId="4633F117" w14:textId="7078C39E"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FC049F">
              <w:rPr>
                <w:sz w:val="22"/>
                <w:szCs w:val="22"/>
                <w:shd w:val="clear" w:color="auto" w:fill="FFFFFF"/>
              </w:rPr>
              <w:t xml:space="preserve">Time to progression </w:t>
            </w:r>
            <w:r>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Pr>
                <w:rFonts w:eastAsia="Times New Roman"/>
                <w:sz w:val="22"/>
                <w:szCs w:val="22"/>
                <w:lang w:eastAsia="da-DK"/>
              </w:rPr>
              <w:fldChar w:fldCharType="separate"/>
            </w:r>
            <w:r w:rsidR="00930057" w:rsidRPr="00930057">
              <w:rPr>
                <w:rFonts w:eastAsia="Times New Roman"/>
                <w:noProof/>
                <w:sz w:val="22"/>
                <w:szCs w:val="22"/>
                <w:lang w:eastAsia="da-DK"/>
              </w:rPr>
              <w:t>[6]</w:t>
            </w:r>
            <w:r>
              <w:rPr>
                <w:rFonts w:eastAsia="Times New Roman"/>
                <w:sz w:val="22"/>
                <w:szCs w:val="22"/>
                <w:lang w:eastAsia="da-DK"/>
              </w:rPr>
              <w:fldChar w:fldCharType="end"/>
            </w:r>
          </w:p>
        </w:tc>
      </w:tr>
      <w:tr w:rsidR="0041214A" w:rsidRPr="00DC301B" w14:paraId="625665F6" w14:textId="77777777" w:rsidTr="00DC301B">
        <w:trPr>
          <w:cantSplit/>
          <w:tblHeader/>
        </w:trPr>
        <w:tc>
          <w:tcPr>
            <w:tcW w:w="2127" w:type="dxa"/>
            <w:shd w:val="clear" w:color="auto" w:fill="FFFFFF"/>
            <w:tcMar>
              <w:top w:w="0" w:type="dxa"/>
              <w:left w:w="0" w:type="dxa"/>
              <w:bottom w:w="0" w:type="dxa"/>
              <w:right w:w="0" w:type="dxa"/>
            </w:tcMar>
          </w:tcPr>
          <w:p w14:paraId="238F92BB"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hsa-miR-141-3p</w:t>
            </w:r>
          </w:p>
        </w:tc>
        <w:tc>
          <w:tcPr>
            <w:tcW w:w="7087" w:type="dxa"/>
            <w:shd w:val="clear" w:color="auto" w:fill="FFFFFF"/>
            <w:tcMar>
              <w:top w:w="0" w:type="dxa"/>
              <w:left w:w="0" w:type="dxa"/>
              <w:bottom w:w="0" w:type="dxa"/>
              <w:right w:w="0" w:type="dxa"/>
            </w:tcMar>
          </w:tcPr>
          <w:p w14:paraId="55FCE7D3" w14:textId="3C2EBACC" w:rsidR="0041214A" w:rsidRPr="00903089" w:rsidRDefault="0041214A" w:rsidP="00583D01">
            <w:pPr>
              <w:pStyle w:val="TextTable"/>
              <w:framePr w:hSpace="0" w:wrap="auto" w:vAnchor="margin" w:hAnchor="text" w:yAlign="inline"/>
              <w:spacing w:before="0" w:after="0"/>
              <w:rPr>
                <w:sz w:val="22"/>
                <w:szCs w:val="22"/>
                <w:shd w:val="clear" w:color="auto" w:fill="FFFFFF"/>
              </w:rPr>
            </w:pPr>
            <w:r w:rsidRPr="00FC049F">
              <w:rPr>
                <w:rFonts w:eastAsia="Times New Roman"/>
                <w:sz w:val="22"/>
                <w:szCs w:val="22"/>
                <w:lang w:eastAsia="da-DK"/>
              </w:rPr>
              <w:t xml:space="preserve">OS and progression-free survival </w:t>
            </w:r>
            <w:r w:rsidR="00C80950">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{"citationItems":[{"id":"ITEM-1","itemData":{"DOI":"10.1097/MD.0000000000011505","ISBN":"0000000000","ISSN":"15365964","PMID":"30095616","abstract":"Background: MicroRNAs (miRs) play a vital role in the occurrence, development, and progression of human cancers, but its role in the prognosis of ovarian cancer is unclear. Methods: We performed a meta-analysis by searching PubMed, Embase, and Web of Science databases for eligible studies. The pooled hazard ratios (HRs) and 95% confidence intervals (CIs) were used to explore the association between miRs expression and overall survival (OS) and progression-free survival (PFS) on ovarian cancer patients. We also used Kaplan–Meier to analyze the relationship between miRs and OS in OncoLnc dataset. Results: A total of 15 records were included into the meta-analysis. The expression level of miR-200 family showed significant association with OS (HR = 0.78, 95% CI: 0.64–0.94) and insignificant association with PFS (HR = 0.72, 95% CI: 0.50–1.03). Subgroup analysis revealed that an increased expression level of miR-200c was associated with better OS (HR = 0.59, 95% CI: 0.45–0.74). An increased expression level of miR-200a, miR-200c, and miR-141 was associated with better PFS (miR-200a, HR = 0.59, 95% CI: 0.42–0.75; miR-200c, HR = 0.50, 95% CI: 0.14–0.87, miR-141, HR = 0.38, 95% CI: 0.12–0.63). Similarly, higher expression of miR-30 family was associated with elevated OS/PFS for ovarian cancer (OS, HR = 0.43, 95% CI: 0.13–0.74; PFS, HR = 0.76, 95% CI: 0.64–0.87). The OncoLnc dataset presented that elevated expression level of miR-30d-5p was associated with better OS (n = 470, P = .0197). Conclusion: The meta-analysis reveals that miR-200 family and miR-30 family could be promising prognostic biomarkers of ovarian cancer.","author":[{"dropping-particle":"","family":"Shi","given":"Min","non-dropping-particle":"","parse-names":false,"suffix":""},{"dropping-particle":"","family":"Mu","given":"Yulan","non-dropping-particle":"","parse-names":false,"suffix":""},{"dropping-particle":"","family":"Zhang","given":"Hui","non-dropping-particle":"","parse-names":false,"suffix":""},{"dropping-particle":"","family":"Liu","given":"Ming","non-dropping-particle":"","parse-names":false,"suffix":""},{"dropping-particle":"","family":"Wan","given":"Jipeng","non-dropping-particle":"","parse-names":false,"suffix":""},{"dropping-particle":"","family":"Qin","given":"Xiaoyan","non-dropping-particle":"","parse-names":false,"suffix":""},{"dropping-particle":"","family":"Li","given":"Changzhong","non-dropping-particle":"","parse-names":false,"suffix":""}],"container-title":"Medicine (United States)","id":"ITEM-1","issue":"32","issued":{"date-parts":[["2018"]]},"page":"1-9","title":"MicroRNA-200 and microRNA-30 family as prognostic molecular signatures in ovarian cancer: A meta-analysis","type":"article-journal","volume":"97"},"uris":["http://www.mendeley.com/documents/?uuid=acdd3c06-7488-48b5-b444-502f1bdebd3b"]}],"mendeley":{"formattedCitation":"[12]","plainTextFormattedCitation":"[12]","previouslyFormattedCitation":"[11]"},"properties":{"noteIndex":0},"schema":"https://github.com/citation-style-language/schema/raw/master/csl-citation.json"}</w:instrText>
            </w:r>
            <w:r w:rsidR="00C80950">
              <w:rPr>
                <w:rFonts w:eastAsia="Times New Roman"/>
                <w:sz w:val="22"/>
                <w:szCs w:val="22"/>
                <w:lang w:eastAsia="da-DK"/>
              </w:rPr>
              <w:fldChar w:fldCharType="separate"/>
            </w:r>
            <w:r w:rsidR="00930057" w:rsidRPr="00930057">
              <w:rPr>
                <w:rFonts w:eastAsia="Times New Roman"/>
                <w:noProof/>
                <w:sz w:val="22"/>
                <w:szCs w:val="22"/>
                <w:lang w:eastAsia="da-DK"/>
              </w:rPr>
              <w:t>[12]</w:t>
            </w:r>
            <w:r w:rsidR="00C80950">
              <w:rPr>
                <w:rFonts w:eastAsia="Times New Roman"/>
                <w:sz w:val="22"/>
                <w:szCs w:val="22"/>
                <w:lang w:eastAsia="da-DK"/>
              </w:rPr>
              <w:fldChar w:fldCharType="end"/>
            </w:r>
          </w:p>
        </w:tc>
      </w:tr>
      <w:tr w:rsidR="0041214A" w:rsidRPr="0041214A" w14:paraId="1547F3C1" w14:textId="77777777" w:rsidTr="00DC301B">
        <w:trPr>
          <w:cantSplit/>
          <w:tblHeader/>
        </w:trPr>
        <w:tc>
          <w:tcPr>
            <w:tcW w:w="2127" w:type="dxa"/>
            <w:shd w:val="clear" w:color="auto" w:fill="FFFFFF"/>
            <w:tcMar>
              <w:top w:w="0" w:type="dxa"/>
              <w:left w:w="0" w:type="dxa"/>
              <w:bottom w:w="0" w:type="dxa"/>
              <w:right w:w="0" w:type="dxa"/>
            </w:tcMar>
          </w:tcPr>
          <w:p w14:paraId="2792862E"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hsa-miR-143-3p</w:t>
            </w:r>
          </w:p>
        </w:tc>
        <w:tc>
          <w:tcPr>
            <w:tcW w:w="7087" w:type="dxa"/>
            <w:shd w:val="clear" w:color="auto" w:fill="FFFFFF"/>
            <w:tcMar>
              <w:top w:w="0" w:type="dxa"/>
              <w:left w:w="0" w:type="dxa"/>
              <w:bottom w:w="0" w:type="dxa"/>
              <w:right w:w="0" w:type="dxa"/>
            </w:tcMar>
          </w:tcPr>
          <w:p w14:paraId="3B325732" w14:textId="1B9AB9C0"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904F13">
              <w:rPr>
                <w:rFonts w:eastAsia="Times New Roman"/>
                <w:sz w:val="22"/>
                <w:szCs w:val="22"/>
                <w:lang w:eastAsia="da-DK"/>
              </w:rPr>
              <w:t xml:space="preserve">OS and progression-free survival in other than EOC cancers </w:t>
            </w:r>
            <w:r w:rsidR="00C80950">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{"citationItems":[{"id":"ITEM-1","itemData":{"DOI":"10.21037/tcr-20-1294","ISSN":"22196803","abstract":"A thorough understanding of the tumor environment and underlying genetic factors helps in the better formulation of cancer management strategies. Availability of efficient diagnostic and prognostic biomarkers facilitates early detection and progression of the disease. MicroRNAs affect different biological processes participating in tumorigenesis through regulation of their target genes. An expanding list of unique RNAs and understanding of their regulatory role has opened up a new field in cancer research. Based on a comprehensive literature search, we identified 728 miRNAs dysregulated in sixteen cancer types namely bladder cancer (BC), breast cancer (BrC), cervical cancer (CC), colorectal cancer (CRC), esophageal cancer (EC), endometrial cancer (EnC), gastric cancer (GC), hepatocellular cancer (HCC), head and neck squamous cell cancer (HNSCC), lung cancer (LC), ovarian cancer (OC), pancreatic cancer (PC), prostate cancer (PrC), renal cell cancer (RCC), skin cancer (SC), and thyroid cancer (TC). Expression of 43 miRNAs was either upregulated or downregulated in six or more of these cancers. Finally, seven miRNAs namely mir-18a, mir-21, mir-143/145, mir-210, mir-218, mir-221, showing maximum dysregulation, either up- or down-regulation in the majority of cancers, were selected for a detailed presentation of their expression and evaluation of their potential as biomarkers in the diagnosis and prognosis of different cancers.","author":[{"dropping-particle":"","family":"Sharma","given":"Prakash Chand","non-dropping-particle":"","parse-names":false,"suffix":""},{"dropping-particle":"","family":"Gupta","given":"Alisha","non-dropping-particle":"","parse-names":false,"suffix":""}],"container-title":"Translational Cancer Research","id":"ITEM-1","issue":"9","issued":{"date-parts":[["2020"]]},"page":"5798-5818","title":"MicroRNAs: Potential biomarkers for diagnosis and prognosis of different cancers","type":"article-journal","volume":"9"},"uris":["http://www.mendeley.com/documents/?uuid=da1362be-0b7a-4589-a975-b225e7745769"]},{"id":"ITEM-2","itemData":{"DOI":"10.3390/ijms21093213","ISSN":"14220067","PMID":"32370060","abstract":"microRNA-143(miR-143) is a well-known tumor suppressive microRNA that exhibits anti-tumoral function by targeting KRAS signaling pathways in various malignancies. We hypothesized that miR-143 suppresses breast cancer progression by targeting KRAS and its effector molecules. We further hypothesized that high expression of miR-143 is associated with a favorable tumor immune microenvironment of estrogen receptor (ER)-positive breast cancer patients which result in improved survival. Two major publicly available breast cancer cohorts; The Cancer Genome Atlas (TCGA) and Molecular Taxonomy of Breast Cancer International Consortium (METABRIC) were used. The miR-143 high expression group was associated with increased infiltration of anti-cancer immune cells and decreased pro-cancer immune cells, as well as enrichment of the genes relating to T helper (Th1) cells resulting in improved overall survival (OS) in ER-positive breast cancer patients. To the best of our knowledge, this is the first study to demonstrate that high expression of miR-143 in cancer cells associates with a favorable tumor immune microenvironment, upregulation of anti-cancer immune cells, and suppression of the pro-cancer immune cells, associating with better survival of the breast cancer patients.","author":[{"dropping-particle":"","family":"Tokumaru","given":"Yoshihisa","non-dropping-particle":"","parse-names":false,"suffix":""},{"dropping-particle":"","family":"Asaoka","given":"Mariko","non-dropping-particle":"","parse-names":false,"suffix":""},{"dropping-particle":"","family":"Oshi","given":"Masanori","non-dropping-particle":"","parse-names":false,"suffix":""},{"dropping-particle":"","family":"Katsuta","given":"Eriko","non-dropping-particle":"","parse-names":false,"suffix":""},{"dropping-particle":"","family":"Yan","given":"Li","non-dropping-particle":"","parse-names":false,"suffix":""},{"dropping-particle":"","family":"Narayanan","given":"Sumana","non-dropping-particle":"","parse-names":false,"suffix":""},{"dropping-particle":"","family":"Sugito","given":"Nobuhiko","non-dropping-particle":"","parse-names":false,"suffix":""},{"dropping-particle":"","family":"Matsuhashi","given":"Nobuhisa","non-dropping-particle":"","parse-names":false,"suffix":""},{"dropping-particle":"","family":"Futamura","given":"Manabu","non-dropping-particle":"","parse-names":false,"suffix":""},{"dropping-particle":"","family":"Akao","given":"Yukihiro","non-dropping-particle":"","parse-names":false,"suffix":""},{"dropping-particle":"","family":"Yoshida","given":"Kazuhiro","non-dropping-particle":"","parse-names":false,"suffix":""},{"dropping-particle":"","family":"Takabe","given":"Kazuaki","non-dropping-particle":"","parse-names":false,"suffix":""}],"container-title":"International Journal of Molecular Sciences","id":"ITEM-2","issue":"9","issued":{"date-parts":[["2020"]]},"page":"1-17","title":"High expression of microRNA-143 is associated with favorable tumor immune microenvironment and better survival in estrogen receptor positive breast cancer","type":"article-journal","volume":"21"},"uris":["http://www.mendeley.com/documents/?uuid=1f462ab2-75b7-4e54-8cbb-e6a64531a1e4"]}],"mendeley":{"formattedCitation":"[13,14]","plainTextFormattedCitation":"[13,14]","previouslyFormattedCitation":"[12,13]"},"properties":{"noteIndex":0},"schema":"https://github.com/citation-style-language/schema/raw/master/csl-citation.json"}</w:instrText>
            </w:r>
            <w:r w:rsidR="00C80950">
              <w:rPr>
                <w:rFonts w:eastAsia="Times New Roman"/>
                <w:sz w:val="22"/>
                <w:szCs w:val="22"/>
                <w:lang w:eastAsia="da-DK"/>
              </w:rPr>
              <w:fldChar w:fldCharType="separate"/>
            </w:r>
            <w:r w:rsidR="00930057" w:rsidRPr="00930057">
              <w:rPr>
                <w:rFonts w:eastAsia="Times New Roman"/>
                <w:noProof/>
                <w:sz w:val="22"/>
                <w:szCs w:val="22"/>
                <w:lang w:eastAsia="da-DK"/>
              </w:rPr>
              <w:t>[13,14]</w:t>
            </w:r>
            <w:r w:rsidR="00C80950">
              <w:rPr>
                <w:rFonts w:eastAsia="Times New Roman"/>
                <w:sz w:val="22"/>
                <w:szCs w:val="22"/>
                <w:lang w:eastAsia="da-DK"/>
              </w:rPr>
              <w:fldChar w:fldCharType="end"/>
            </w:r>
          </w:p>
        </w:tc>
      </w:tr>
      <w:tr w:rsidR="0041214A" w:rsidRPr="0041214A" w14:paraId="6D3BE4A5" w14:textId="77777777" w:rsidTr="00DC301B">
        <w:trPr>
          <w:cantSplit/>
          <w:tblHeader/>
        </w:trPr>
        <w:tc>
          <w:tcPr>
            <w:tcW w:w="2127" w:type="dxa"/>
            <w:shd w:val="clear" w:color="auto" w:fill="FFFFFF"/>
            <w:tcMar>
              <w:top w:w="0" w:type="dxa"/>
              <w:left w:w="0" w:type="dxa"/>
              <w:bottom w:w="0" w:type="dxa"/>
              <w:right w:w="0" w:type="dxa"/>
            </w:tcMar>
          </w:tcPr>
          <w:p w14:paraId="045EFDBF"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hsa-miR-146b-5p</w:t>
            </w:r>
          </w:p>
        </w:tc>
        <w:tc>
          <w:tcPr>
            <w:tcW w:w="7087" w:type="dxa"/>
            <w:shd w:val="clear" w:color="auto" w:fill="FFFFFF"/>
            <w:tcMar>
              <w:top w:w="0" w:type="dxa"/>
              <w:left w:w="0" w:type="dxa"/>
              <w:bottom w:w="0" w:type="dxa"/>
              <w:right w:w="0" w:type="dxa"/>
            </w:tcMar>
          </w:tcPr>
          <w:p w14:paraId="4B393891" w14:textId="7D15C262"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FC049F">
              <w:rPr>
                <w:rFonts w:eastAsiaTheme="minorHAnsi"/>
                <w:sz w:val="22"/>
                <w:szCs w:val="22"/>
              </w:rPr>
              <w:t xml:space="preserve">OS </w:t>
            </w:r>
            <w:r w:rsidR="00C80950">
              <w:rPr>
                <w:rFonts w:eastAsiaTheme="minorHAnsi"/>
                <w:sz w:val="22"/>
                <w:szCs w:val="22"/>
              </w:rPr>
              <w:fldChar w:fldCharType="begin" w:fldLock="1"/>
            </w:r>
            <w:r w:rsidR="00930057">
              <w:rPr>
                <w:rFonts w:eastAsiaTheme="minorHAnsi"/>
                <w:sz w:val="22"/>
                <w:szCs w:val="22"/>
              </w:rPr>
              <w:instrText>ADDIN CSL_CITATION {"citationItems":[{"id":"ITEM-1","itemData":{"DOI":"10.3892/ol.2017.6477","ISSN":"17921082","abstract":"The aim of the present retrospective study was to compare microRNA (miR)-146a expression levels in primary tumors and omental metastases of 48 patients, who had undergone surgery for advanced ovarian serous cancer. Possible correlations between miR-146a expression level and clinicopathological features were investigated, including chemosensitivity and survival. miR-146a was evaluated in formalin-fixed, paraffin-embedded samples. miR-146a expression level in primary tumors was demonstrated to be increased in comparison with normal ovary tissues (P=0.02) and metastases (P=0.01). A negative correlation was demonstrated between miR-146a expression in primary tumors and serum levels of cancer antigen 125 (R=-0.37; P=0.03) and Risk of Malignancy Algorithm index (R=-0.79; P=0.0007). Overall survival positively correlated with miR-146a expression in primary tumor tissue samples (R=0.38; P=0.01). Probability of survival was decreased in patients with low miR-146a expression levels in primary tumor tissues (hazard ratio=0.21; P=0.003). Lower levels of miR-146a in primary tumor tissue samples were correlated with a shorter progression-free survival (P=0.04) and platinum-resistance of metastases (P=0.006). In conclusion, miR-146a may be a prognostic marker for serous ovarian cancer.","author":[{"dropping-particle":"","family":"Wilczyński","given":"Miłosz","non-dropping-particle":"","parse-names":false,"suffix":""},{"dropping-particle":"","family":"Żytko","given":"Ewelina","non-dropping-particle":"","parse-names":false,"suffix":""},{"dropping-particle":"","family":"Szymańska","given":"Bożena","non-dropping-particle":"","parse-names":false,"suffix":""},{"dropping-particle":"","family":"Dzieniecka","given":"Monika","non-dropping-particle":"","parse-names":false,"suffix":""},{"dropping-particle":"","family":"Nowak","given":"Marek","non-dropping-particle":"","parse-names":false,"suffix":""},{"dropping-particle":"","family":"Danielska","given":"Justyna","non-dropping-particle":"","parse-names":false,"suffix":""},{"dropping-particle":"","family":"Stachowiak","given":"Grzegorz","non-dropping-particle":"","parse-names":false,"suffix":""},{"dropping-particle":"","family":"Wilczyński","given":"Jacek R.","non-dropping-particle":"","parse-names":false,"suffix":""}],"container-title":"Oncology Letters","id":"ITEM-1","issue":"3","issued":{"date-parts":[["2017"]]},"page":"3207-3214","title":"Expression of miR-146a in patients with ovarian cancer and its clinical significance","type":"article-journal","volume":"14"},"uris":["http://www.mendeley.com/documents/?uuid=50e41a09-2d6b-4990-a286-465fb796e152"]}],"mendeley":{"formattedCitation":"[15]","plainTextFormattedCitation":"[15]","previouslyFormattedCitation":"[14]"},"properties":{"noteIndex":0},"schema":"https://github.com/citation-style-language/schema/raw/master/csl-citation.json"}</w:instrText>
            </w:r>
            <w:r w:rsidR="00C80950">
              <w:rPr>
                <w:rFonts w:eastAsiaTheme="minorHAnsi"/>
                <w:sz w:val="22"/>
                <w:szCs w:val="22"/>
              </w:rPr>
              <w:fldChar w:fldCharType="separate"/>
            </w:r>
            <w:r w:rsidR="00930057" w:rsidRPr="00930057">
              <w:rPr>
                <w:rFonts w:eastAsiaTheme="minorHAnsi"/>
                <w:noProof/>
                <w:sz w:val="22"/>
                <w:szCs w:val="22"/>
              </w:rPr>
              <w:t>[15]</w:t>
            </w:r>
            <w:r w:rsidR="00C80950">
              <w:rPr>
                <w:rFonts w:eastAsiaTheme="minorHAnsi"/>
                <w:sz w:val="22"/>
                <w:szCs w:val="22"/>
              </w:rPr>
              <w:fldChar w:fldCharType="end"/>
            </w:r>
            <w:r w:rsidRPr="00903089">
              <w:rPr>
                <w:rFonts w:eastAsiaTheme="minorHAnsi"/>
                <w:sz w:val="22"/>
                <w:szCs w:val="22"/>
              </w:rPr>
              <w:t xml:space="preserve">,Tumor grade </w:t>
            </w:r>
            <w:r w:rsidR="00856DD4">
              <w:rPr>
                <w:rFonts w:eastAsiaTheme="minorHAnsi"/>
                <w:sz w:val="22"/>
                <w:szCs w:val="22"/>
              </w:rPr>
              <w:fldChar w:fldCharType="begin" w:fldLock="1"/>
            </w:r>
            <w:r w:rsidR="00930057">
              <w:rPr>
                <w:rFonts w:eastAsiaTheme="minorHAnsi"/>
                <w:sz w:val="22"/>
                <w:szCs w:val="22"/>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szCs w:val="22"/>
              </w:rPr>
              <w:fldChar w:fldCharType="separate"/>
            </w:r>
            <w:r w:rsidR="00930057" w:rsidRPr="00930057">
              <w:rPr>
                <w:rFonts w:eastAsiaTheme="minorHAnsi"/>
                <w:noProof/>
                <w:sz w:val="22"/>
                <w:szCs w:val="22"/>
              </w:rPr>
              <w:t>[8]</w:t>
            </w:r>
            <w:r w:rsidR="00856DD4">
              <w:rPr>
                <w:rFonts w:eastAsiaTheme="minorHAnsi"/>
                <w:sz w:val="22"/>
                <w:szCs w:val="22"/>
              </w:rPr>
              <w:fldChar w:fldCharType="end"/>
            </w:r>
          </w:p>
        </w:tc>
      </w:tr>
      <w:tr w:rsidR="0041214A" w:rsidRPr="0041214A" w14:paraId="0FA1F4C3" w14:textId="77777777" w:rsidTr="00DC301B">
        <w:trPr>
          <w:cantSplit/>
          <w:tblHeader/>
        </w:trPr>
        <w:tc>
          <w:tcPr>
            <w:tcW w:w="2127" w:type="dxa"/>
            <w:shd w:val="clear" w:color="auto" w:fill="FFFFFF"/>
            <w:tcMar>
              <w:top w:w="0" w:type="dxa"/>
              <w:left w:w="0" w:type="dxa"/>
              <w:bottom w:w="0" w:type="dxa"/>
              <w:right w:w="0" w:type="dxa"/>
            </w:tcMar>
          </w:tcPr>
          <w:p w14:paraId="2DBF8335"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hsa-miR-193a-5p</w:t>
            </w:r>
          </w:p>
        </w:tc>
        <w:tc>
          <w:tcPr>
            <w:tcW w:w="7087" w:type="dxa"/>
            <w:shd w:val="clear" w:color="auto" w:fill="FFFFFF"/>
            <w:tcMar>
              <w:top w:w="0" w:type="dxa"/>
              <w:left w:w="0" w:type="dxa"/>
              <w:bottom w:w="0" w:type="dxa"/>
              <w:right w:w="0" w:type="dxa"/>
            </w:tcMar>
          </w:tcPr>
          <w:p w14:paraId="27194612" w14:textId="106BC1ED" w:rsidR="0041214A" w:rsidRPr="00903089" w:rsidRDefault="0041214A" w:rsidP="00583D01">
            <w:pPr>
              <w:pStyle w:val="TextTable"/>
              <w:framePr w:hSpace="0" w:wrap="auto" w:vAnchor="margin" w:hAnchor="text" w:yAlign="inline"/>
              <w:spacing w:before="0" w:after="0"/>
              <w:rPr>
                <w:rFonts w:eastAsiaTheme="minorHAnsi"/>
                <w:sz w:val="22"/>
                <w:szCs w:val="22"/>
              </w:rPr>
            </w:pPr>
            <w:r w:rsidRPr="00FC049F">
              <w:rPr>
                <w:rFonts w:eastAsiaTheme="minorHAnsi"/>
                <w:sz w:val="22"/>
                <w:szCs w:val="22"/>
              </w:rPr>
              <w:t xml:space="preserve">Type I or II </w:t>
            </w:r>
            <w:r w:rsidR="00930057" w:rsidRPr="00903089">
              <w:rPr>
                <w:rFonts w:eastAsiaTheme="minorHAnsi"/>
                <w:sz w:val="22"/>
                <w:szCs w:val="22"/>
              </w:rPr>
              <w:t xml:space="preserve">Tumor </w:t>
            </w:r>
            <w:r w:rsidR="00856DD4">
              <w:rPr>
                <w:rFonts w:eastAsiaTheme="minorHAnsi"/>
                <w:sz w:val="22"/>
                <w:szCs w:val="22"/>
              </w:rPr>
              <w:fldChar w:fldCharType="begin" w:fldLock="1"/>
            </w:r>
            <w:r w:rsidR="00930057">
              <w:rPr>
                <w:rFonts w:eastAsiaTheme="minorHAnsi"/>
                <w:sz w:val="22"/>
                <w:szCs w:val="22"/>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szCs w:val="22"/>
              </w:rPr>
              <w:fldChar w:fldCharType="separate"/>
            </w:r>
            <w:r w:rsidR="00930057" w:rsidRPr="00930057">
              <w:rPr>
                <w:rFonts w:eastAsiaTheme="minorHAnsi"/>
                <w:noProof/>
                <w:sz w:val="22"/>
                <w:szCs w:val="22"/>
              </w:rPr>
              <w:t>[8]</w:t>
            </w:r>
            <w:r w:rsidR="00856DD4">
              <w:rPr>
                <w:rFonts w:eastAsiaTheme="minorHAnsi"/>
                <w:sz w:val="22"/>
                <w:szCs w:val="22"/>
              </w:rPr>
              <w:fldChar w:fldCharType="end"/>
            </w:r>
            <w:r w:rsidR="00856DD4" w:rsidRPr="00235830">
              <w:rPr>
                <w:rFonts w:eastAsiaTheme="minorHAnsi"/>
                <w:noProof/>
                <w:sz w:val="22"/>
                <w:szCs w:val="22"/>
              </w:rPr>
              <w:t xml:space="preserve"> </w:t>
            </w:r>
          </w:p>
        </w:tc>
      </w:tr>
      <w:tr w:rsidR="0041214A" w:rsidRPr="00DC301B" w14:paraId="228A684A" w14:textId="77777777" w:rsidTr="00DC301B">
        <w:trPr>
          <w:cantSplit/>
          <w:tblHeader/>
        </w:trPr>
        <w:tc>
          <w:tcPr>
            <w:tcW w:w="2127" w:type="dxa"/>
            <w:shd w:val="clear" w:color="auto" w:fill="FFFFFF"/>
            <w:tcMar>
              <w:top w:w="0" w:type="dxa"/>
              <w:left w:w="0" w:type="dxa"/>
              <w:bottom w:w="0" w:type="dxa"/>
              <w:right w:w="0" w:type="dxa"/>
            </w:tcMar>
          </w:tcPr>
          <w:p w14:paraId="5337969C"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hsa-miR-195-5p</w:t>
            </w:r>
          </w:p>
        </w:tc>
        <w:tc>
          <w:tcPr>
            <w:tcW w:w="7087" w:type="dxa"/>
            <w:shd w:val="clear" w:color="auto" w:fill="FFFFFF"/>
            <w:tcMar>
              <w:top w:w="0" w:type="dxa"/>
              <w:left w:w="0" w:type="dxa"/>
              <w:bottom w:w="0" w:type="dxa"/>
              <w:right w:w="0" w:type="dxa"/>
            </w:tcMar>
          </w:tcPr>
          <w:p w14:paraId="1699BA3D" w14:textId="17B0DB5B" w:rsidR="0041214A" w:rsidRPr="00903089" w:rsidRDefault="0041214A" w:rsidP="00583D01">
            <w:pPr>
              <w:pStyle w:val="TextTable"/>
              <w:framePr w:hSpace="0" w:wrap="auto" w:vAnchor="margin" w:hAnchor="text" w:yAlign="inline"/>
              <w:spacing w:before="0" w:after="0"/>
              <w:rPr>
                <w:rFonts w:eastAsiaTheme="minorHAnsi"/>
                <w:sz w:val="22"/>
                <w:szCs w:val="22"/>
              </w:rPr>
            </w:pPr>
            <w:r w:rsidRPr="00FC049F">
              <w:rPr>
                <w:rFonts w:eastAsiaTheme="minorHAnsi"/>
                <w:sz w:val="22"/>
                <w:szCs w:val="22"/>
              </w:rPr>
              <w:t xml:space="preserve">Discriminate between benign and malignant cases </w:t>
            </w:r>
            <w:r w:rsidR="00FC6626">
              <w:rPr>
                <w:rFonts w:eastAsiaTheme="minorHAnsi"/>
                <w:sz w:val="22"/>
                <w:szCs w:val="22"/>
              </w:rPr>
              <w:fldChar w:fldCharType="begin" w:fldLock="1"/>
            </w:r>
            <w:r w:rsidR="00930057">
              <w:rPr>
                <w:rFonts w:eastAsiaTheme="minorHAnsi"/>
                <w:sz w:val="22"/>
                <w:szCs w:val="22"/>
              </w:rPr>
              <w:instrText>ADDIN CSL_CITATION {"citationItems":[{"id":"ITEM-1","itemData":{"DOI":"10.1371/journal.pone.0225249","ISBN":"1111111111","ISSN":"19326203","PMID":"31738788","abstract":"Background Ovarian cancer is the fifth most common cancer in women worldwide. Moreover, there are no reliable minimal invasive tests to secure the diagnosis of malignant pelvic masses. Cell-free, circulating microRNAs have the potential as diagnostic biomarkers in cancer. Here, we performed and validated a miRNA panel with the potential to distinguish OC from benign pelvic masses. Methods The profile of plasma microRNA was determined with a panel of 46 candidates in a discovery group and a validation group, each consisting of 190 pre-surgery plasma samples from age-matched patients with malignant (n = 95) and benign pelvic mass (n = 95), by real time RT-qPCR. Results Four up-regulated (miR-200c-3p, miR-221-3p, miR-21-5p, and miR-484) and two down-regulated (miR-195-5p and miR-451a) microRNAs were discovered. From those, miR-200c-3p and miR-221-3p were further confirmed in a validation cohort. A combination of these 2 microRNAs together with CA-125 yielded an overall diagnostic accuracy of AUC = 0.96. Conclusions We showed consistent plasma microRNA profiles that provide independent diagnostic information of late stage OC.","author":[{"dropping-particle":"","family":"Oliveira","given":"Douglas Nogueira Perez","non-dropping-particle":"","parse-names":false,"suffix":""},{"dropping-particle":"","family":"Carlsen","given":"Anting Liu","non-dropping-particle":"","parse-names":false,"suffix":""},{"dropping-particle":"","family":"Heegaard","given":"Niels H.H.","non-dropping-particle":"","parse-names":false,"suffix":""},{"dropping-particle":"","family":"Prahm","given":"Kira Philipsen","non-dropping-particle":"","parse-names":false,"suffix":""},{"dropping-particle":"","family":"Christensen","given":"Ib Jarle","non-dropping-particle":"","parse-names":false,"suffix":""},{"dropping-particle":"","family":"Høgdall","given":"Claus K.","non-dropping-particle":"","parse-names":false,"suffix":""},{"dropping-particle":"V.","family":"Høgdall","given":"Estrid","non-dropping-particle":"","parse-names":false,"suffix":""}],"container-title":"PLoS ONE","id":"ITEM-1","issue":"11","issued":{"date-parts":[["2019"]]},"page":"1-15","title":"Diagnostic plasma miRNA-profiles for ovarian cancer in patients with pelvic mass","type":"article-journal","volume":"14"},"uris":["http://www.mendeley.com/documents/?uuid=7e8c774b-8c82-4547-886d-5cbd20b9e809"]}],"mendeley":{"formattedCitation":"[16]","plainTextFormattedCitation":"[16]","previouslyFormattedCitation":"[15]"},"properties":{"noteIndex":0},"schema":"https://github.com/citation-style-language/schema/raw/master/csl-citation.json"}</w:instrText>
            </w:r>
            <w:r w:rsidR="00FC6626">
              <w:rPr>
                <w:rFonts w:eastAsiaTheme="minorHAnsi"/>
                <w:sz w:val="22"/>
                <w:szCs w:val="22"/>
              </w:rPr>
              <w:fldChar w:fldCharType="separate"/>
            </w:r>
            <w:r w:rsidR="00930057" w:rsidRPr="00930057">
              <w:rPr>
                <w:rFonts w:eastAsiaTheme="minorHAnsi"/>
                <w:noProof/>
                <w:sz w:val="22"/>
                <w:szCs w:val="22"/>
              </w:rPr>
              <w:t>[16]</w:t>
            </w:r>
            <w:r w:rsidR="00FC6626">
              <w:rPr>
                <w:rFonts w:eastAsiaTheme="minorHAnsi"/>
                <w:sz w:val="22"/>
                <w:szCs w:val="22"/>
              </w:rPr>
              <w:fldChar w:fldCharType="end"/>
            </w:r>
          </w:p>
        </w:tc>
      </w:tr>
      <w:tr w:rsidR="0041214A" w:rsidRPr="0041214A" w14:paraId="1F640023" w14:textId="77777777" w:rsidTr="00DC301B">
        <w:trPr>
          <w:cantSplit/>
          <w:tblHeader/>
        </w:trPr>
        <w:tc>
          <w:tcPr>
            <w:tcW w:w="2127" w:type="dxa"/>
            <w:shd w:val="clear" w:color="auto" w:fill="FFFFFF"/>
            <w:tcMar>
              <w:top w:w="0" w:type="dxa"/>
              <w:left w:w="0" w:type="dxa"/>
              <w:bottom w:w="0" w:type="dxa"/>
              <w:right w:w="0" w:type="dxa"/>
            </w:tcMar>
          </w:tcPr>
          <w:p w14:paraId="32CFA637"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hsa-miR-199a-3p</w:t>
            </w:r>
          </w:p>
        </w:tc>
        <w:tc>
          <w:tcPr>
            <w:tcW w:w="7087" w:type="dxa"/>
            <w:shd w:val="clear" w:color="auto" w:fill="FFFFFF"/>
            <w:tcMar>
              <w:top w:w="0" w:type="dxa"/>
              <w:left w:w="0" w:type="dxa"/>
              <w:bottom w:w="0" w:type="dxa"/>
              <w:right w:w="0" w:type="dxa"/>
            </w:tcMar>
          </w:tcPr>
          <w:p w14:paraId="632862D2" w14:textId="6002560B" w:rsidR="0041214A" w:rsidRPr="004560B3" w:rsidRDefault="0041214A" w:rsidP="00583D01">
            <w:pPr>
              <w:pStyle w:val="TextTable"/>
              <w:framePr w:hSpace="0" w:wrap="auto" w:vAnchor="margin" w:hAnchor="text" w:yAlign="inline"/>
              <w:spacing w:before="0" w:after="0"/>
              <w:rPr>
                <w:rFonts w:eastAsiaTheme="minorHAnsi"/>
                <w:sz w:val="22"/>
                <w:szCs w:val="22"/>
              </w:rPr>
            </w:pPr>
            <w:r w:rsidRPr="00FC049F">
              <w:rPr>
                <w:rFonts w:eastAsia="Times New Roman"/>
                <w:sz w:val="22"/>
                <w:szCs w:val="22"/>
                <w:lang w:eastAsia="da-DK"/>
              </w:rPr>
              <w:t>Cisplatin-resistance</w:t>
            </w:r>
            <w:r w:rsidR="00FC6626">
              <w:rPr>
                <w:rFonts w:eastAsia="Times New Roman"/>
                <w:sz w:val="22"/>
                <w:szCs w:val="22"/>
                <w:lang w:eastAsia="da-DK"/>
              </w:rPr>
              <w:t xml:space="preserve"> </w:t>
            </w:r>
            <w:r w:rsidR="00FC6626">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{"citationItems":[{"id":"ITEM-1","itemData":{"DOI":"10.2147/CMAR.S231971","ISSN":"11791322","abstract":"microRNAs (miRNAs) are a class of endogenous short, non-coding RNAs that regulate a multitude of genes at the post-transcriptional level. miR-199, which is a highly conserved miRNA family, consists of miR-199a and miR-199b. Researchers mainly focused on miR-199a over the past few years. Functional studies have demonstrated that mature miR-199a is a key player in the maintenance of normal homeostasis and in the regulation of disease pathogenesis. Here, we summarize the biological functions of miR-199a and review recent research on its roles in the physiological processes of cancer cells, such as proliferation, migration, invasion, apoptosis, autophagy and glycometabolism.","author":[{"dropping-particle":"","family":"Wang","given":"Qiwen","non-dropping-particle":"","parse-names":false,"suffix":""},{"dropping-particle":"","family":"Ye","given":"Bingyu","non-dropping-particle":"","parse-names":false,"suffix":""},{"dropping-particle":"","family":"Wang","given":"Ping","non-dropping-particle":"","parse-names":false,"suffix":""},{"dropping-particle":"","family":"Yao","given":"Fenjie","non-dropping-particle":"","parse-names":false,"suffix":""},{"dropping-particle":"","family":"Zhang","given":"Chunyan","non-dropping-particle":"","parse-names":false,"suffix":""},{"dropping-particle":"","family":"Yu","given":"Guoying","non-dropping-particle":"","parse-names":false,"suffix":""}],"container-title":"Cancer Management and Research","id":"ITEM-1","issued":{"date-parts":[["2019"]]},"page":"10327-10335","title":"Overview of microRNA-199a regulation in cancer","type":"article-journal","volume":"11"},"uris":["http://www.mendeley.com/documents/?uuid=f627a58c-7a80-49d8-b4c9-03a0f7eeab43"]}],"mendeley":{"formattedCitation":"[17]","plainTextFormattedCitation":"[17]","previouslyFormattedCitation":"[16]"},"properties":{"noteIndex":0},"schema":"https://github.com/citation-style-language/schema/raw/master/csl-citation.json"}</w:instrText>
            </w:r>
            <w:r w:rsidR="00FC6626">
              <w:rPr>
                <w:rFonts w:eastAsia="Times New Roman"/>
                <w:sz w:val="22"/>
                <w:szCs w:val="22"/>
                <w:lang w:eastAsia="da-DK"/>
              </w:rPr>
              <w:fldChar w:fldCharType="separate"/>
            </w:r>
            <w:r w:rsidR="00930057" w:rsidRPr="00930057">
              <w:rPr>
                <w:rFonts w:eastAsia="Times New Roman"/>
                <w:noProof/>
                <w:sz w:val="22"/>
                <w:szCs w:val="22"/>
                <w:lang w:eastAsia="da-DK"/>
              </w:rPr>
              <w:t>[17]</w:t>
            </w:r>
            <w:r w:rsidR="00FC6626">
              <w:rPr>
                <w:rFonts w:eastAsia="Times New Roman"/>
                <w:sz w:val="22"/>
                <w:szCs w:val="22"/>
                <w:lang w:eastAsia="da-DK"/>
              </w:rPr>
              <w:fldChar w:fldCharType="end"/>
            </w:r>
          </w:p>
        </w:tc>
      </w:tr>
      <w:tr w:rsidR="0041214A" w:rsidRPr="0041214A" w14:paraId="1F654663" w14:textId="77777777" w:rsidTr="00DC301B">
        <w:trPr>
          <w:cantSplit/>
          <w:tblHeader/>
        </w:trPr>
        <w:tc>
          <w:tcPr>
            <w:tcW w:w="2127" w:type="dxa"/>
            <w:shd w:val="clear" w:color="auto" w:fill="FFFFFF"/>
            <w:tcMar>
              <w:top w:w="0" w:type="dxa"/>
              <w:left w:w="0" w:type="dxa"/>
              <w:bottom w:w="0" w:type="dxa"/>
              <w:right w:w="0" w:type="dxa"/>
            </w:tcMar>
          </w:tcPr>
          <w:p w14:paraId="5A65FD21"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hsa-miR-199a-5p</w:t>
            </w:r>
          </w:p>
        </w:tc>
        <w:tc>
          <w:tcPr>
            <w:tcW w:w="7087" w:type="dxa"/>
            <w:shd w:val="clear" w:color="auto" w:fill="FFFFFF"/>
            <w:tcMar>
              <w:top w:w="0" w:type="dxa"/>
              <w:left w:w="0" w:type="dxa"/>
              <w:bottom w:w="0" w:type="dxa"/>
              <w:right w:w="0" w:type="dxa"/>
            </w:tcMar>
          </w:tcPr>
          <w:p w14:paraId="15ACC098" w14:textId="297778FC"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FC049F">
              <w:rPr>
                <w:rFonts w:eastAsia="Times New Roman"/>
                <w:sz w:val="22"/>
                <w:szCs w:val="22"/>
                <w:lang w:eastAsia="da-DK"/>
              </w:rPr>
              <w:t xml:space="preserve">Cisplatin-resistance </w:t>
            </w:r>
            <w:r w:rsidR="00FC6626">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{"citationItems":[{"id":"ITEM-1","itemData":{"DOI":"10.2147/CMAR.S231971","ISSN":"11791322","abstract":"microRNAs (miRNAs) are a class of endogenous short, non-coding RNAs that regulate a multitude of genes at the post-transcriptional level. miR-199, which is a highly conserved miRNA family, consists of miR-199a and miR-199b. Researchers mainly focused on miR-199a over the past few years. Functional studies have demonstrated that mature miR-199a is a key player in the maintenance of normal homeostasis and in the regulation of disease pathogenesis. Here, we summarize the biological functions of miR-199a and review recent research on its roles in the physiological processes of cancer cells, such as proliferation, migration, invasion, apoptosis, autophagy and glycometabolism.","author":[{"dropping-particle":"","family":"Wang","given":"Qiwen","non-dropping-particle":"","parse-names":false,"suffix":""},{"dropping-particle":"","family":"Ye","given":"Bingyu","non-dropping-particle":"","parse-names":false,"suffix":""},{"dropping-particle":"","family":"Wang","given":"Ping","non-dropping-particle":"","parse-names":false,"suffix":""},{"dropping-particle":"","family":"Yao","given":"Fenjie","non-dropping-particle":"","parse-names":false,"suffix":""},{"dropping-particle":"","family":"Zhang","given":"Chunyan","non-dropping-particle":"","parse-names":false,"suffix":""},{"dropping-particle":"","family":"Yu","given":"Guoying","non-dropping-particle":"","parse-names":false,"suffix":""}],"container-title":"Cancer Management and Research","id":"ITEM-1","issued":{"date-parts":[["2019"]]},"page":"10327-10335","title":"Overview of microRNA-199a regulation in cancer","type":"article-journal","volume":"11"},"uris":["http://www.mendeley.com/documents/?uuid=f627a58c-7a80-49d8-b4c9-03a0f7eeab43"]}],"mendeley":{"formattedCitation":"[17]","plainTextFormattedCitation":"[17]","previouslyFormattedCitation":"[16]"},"properties":{"noteIndex":0},"schema":"https://github.com/citation-style-language/schema/raw/master/csl-citation.json"}</w:instrText>
            </w:r>
            <w:r w:rsidR="00FC6626">
              <w:rPr>
                <w:rFonts w:eastAsia="Times New Roman"/>
                <w:sz w:val="22"/>
                <w:szCs w:val="22"/>
                <w:lang w:eastAsia="da-DK"/>
              </w:rPr>
              <w:fldChar w:fldCharType="separate"/>
            </w:r>
            <w:r w:rsidR="00930057" w:rsidRPr="00930057">
              <w:rPr>
                <w:rFonts w:eastAsia="Times New Roman"/>
                <w:noProof/>
                <w:sz w:val="22"/>
                <w:szCs w:val="22"/>
                <w:lang w:eastAsia="da-DK"/>
              </w:rPr>
              <w:t>[17]</w:t>
            </w:r>
            <w:r w:rsidR="00FC6626">
              <w:rPr>
                <w:rFonts w:eastAsia="Times New Roman"/>
                <w:sz w:val="22"/>
                <w:szCs w:val="22"/>
                <w:lang w:eastAsia="da-DK"/>
              </w:rPr>
              <w:fldChar w:fldCharType="end"/>
            </w:r>
          </w:p>
        </w:tc>
      </w:tr>
      <w:tr w:rsidR="0041214A" w:rsidRPr="0041214A" w14:paraId="443950B5" w14:textId="77777777" w:rsidTr="00DC301B">
        <w:trPr>
          <w:cantSplit/>
          <w:tblHeader/>
        </w:trPr>
        <w:tc>
          <w:tcPr>
            <w:tcW w:w="2127" w:type="dxa"/>
            <w:shd w:val="clear" w:color="auto" w:fill="FFFFFF"/>
            <w:tcMar>
              <w:top w:w="0" w:type="dxa"/>
              <w:left w:w="0" w:type="dxa"/>
              <w:bottom w:w="0" w:type="dxa"/>
              <w:right w:w="0" w:type="dxa"/>
            </w:tcMar>
          </w:tcPr>
          <w:p w14:paraId="0B49FC2A"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hsa-miR-200b-3p</w:t>
            </w:r>
          </w:p>
        </w:tc>
        <w:tc>
          <w:tcPr>
            <w:tcW w:w="7087" w:type="dxa"/>
            <w:shd w:val="clear" w:color="auto" w:fill="FFFFFF"/>
            <w:tcMar>
              <w:top w:w="0" w:type="dxa"/>
              <w:left w:w="0" w:type="dxa"/>
              <w:bottom w:w="0" w:type="dxa"/>
              <w:right w:w="0" w:type="dxa"/>
            </w:tcMar>
          </w:tcPr>
          <w:p w14:paraId="305B9394" w14:textId="7B45A681" w:rsidR="0041214A" w:rsidRPr="00903089" w:rsidRDefault="0041214A" w:rsidP="00583D01">
            <w:pPr>
              <w:pStyle w:val="TextTable"/>
              <w:framePr w:hSpace="0" w:wrap="auto" w:vAnchor="margin" w:hAnchor="text" w:yAlign="inline"/>
              <w:spacing w:before="0" w:after="0"/>
              <w:rPr>
                <w:rFonts w:eastAsia="Times New Roman"/>
                <w:sz w:val="22"/>
                <w:szCs w:val="22"/>
                <w:lang w:eastAsia="da-DK"/>
              </w:rPr>
            </w:pPr>
            <w:r w:rsidRPr="00FC049F">
              <w:rPr>
                <w:rFonts w:eastAsia="Times New Roman"/>
                <w:sz w:val="22"/>
                <w:szCs w:val="22"/>
                <w:lang w:eastAsia="da-DK"/>
              </w:rPr>
              <w:t xml:space="preserve">OS and progression-free survival </w:t>
            </w:r>
            <w:r w:rsidR="00FC6626">
              <w:rPr>
                <w:rFonts w:eastAsia="Times New Roman"/>
                <w:sz w:val="22"/>
                <w:szCs w:val="22"/>
                <w:lang w:eastAsia="da-DK"/>
              </w:rPr>
              <w:fldChar w:fldCharType="begin" w:fldLock="1"/>
            </w:r>
            <w:r w:rsidR="00930057">
              <w:rPr>
                <w:rFonts w:eastAsia="Times New Roman"/>
                <w:sz w:val="22"/>
                <w:szCs w:val="22"/>
                <w:lang w:eastAsia="da-DK"/>
              </w:rPr>
              <w:instrText>ADDIN CSL_CITATION {"citationItems":[{"id":"ITEM-1","itemData":{"DOI":"10.1097/MD.0000000000011505","ISBN":"0000000000","ISSN":"15365964","PMID":"30095616","abstract":"Background: MicroRNAs (miRs) play a vital role in the occurrence, development, and progression of human cancers, but its role in the prognosis of ovarian cancer is unclear. Methods: We performed a meta-analysis by searching PubMed, Embase, and Web of Science databases for eligible studies. The pooled hazard ratios (HRs) and 95% confidence intervals (CIs) were used to explore the association between miRs expression and overall survival (OS) and progression-free survival (PFS) on ovarian cancer patients. We also used Kaplan–Meier to analyze the relationship between miRs and OS in OncoLnc dataset. Results: A total of 15 records were included into the meta-analysis. The expression level of miR-200 family showed significant association with OS (HR = 0.78, 95% CI: 0.64–0.94) and insignificant association with PFS (HR = 0.72, 95% CI: 0.50–1.03). Subgroup analysis revealed that an increased expression level of miR-200c was associated with better OS (HR = 0.59, 95% CI: 0.45–0.74). An increased expression level of miR-200a, miR-200c, and miR-141 was associated with better PFS (miR-200a, HR = 0.59, 95% CI: 0.42–0.75; miR-200c, HR = 0.50, 95% CI: 0.14–0.87, miR-141, HR = 0.38, 95% CI: 0.12–0.63). Similarly, higher expression of miR-30 family was associated with elevated OS/PFS for ovarian cancer (OS, HR = 0.43, 95% CI: 0.13–0.74; PFS, HR = 0.76, 95% CI: 0.64–0.87). The OncoLnc dataset presented that elevated expression level of miR-30d-5p was associated with better OS (n = 470, P = .0197). Conclusion: The meta-analysis reveals that miR-200 family and miR-30 family could be promising prognostic biomarkers of ovarian cancer.","author":[{"dropping-particle":"","family":"Shi","given":"Min","non-dropping-particle":"","parse-names":false,"suffix":""},{"dropping-particle":"","family":"Mu","given":"Yulan","non-dropping-particle":"","parse-names":false,"suffix":""},{"dropping-particle":"","family":"Zhang","given":"Hui","non-dropping-particle":"","parse-names":false,"suffix":""},{"dropping-particle":"","family":"Liu","given":"Ming","non-dropping-particle":"","parse-names":false,"suffix":""},{"dropping-particle":"","family":"Wan","given":"Jipeng","non-dropping-particle":"","parse-names":false,"suffix":""},{"dropping-particle":"","family":"Qin","given":"Xiaoyan","non-dropping-particle":"","parse-names":false,"suffix":""},{"dropping-particle":"","family":"Li","given":"Changzhong","non-dropping-particle":"","parse-names":false,"suffix":""}],"container-title":"Medicine (United States)","id":"ITEM-1","issue":"32","issued":{"date-parts":[["2018"]]},"page":"1-9","title":"MicroRNA-200 and microRNA-30 family as prognostic molecular signatures in ovarian cancer: A meta-analysis","type":"article-journal","volume":"97"},"uris":["http://www.mendeley.com/documents/?uuid=acdd3c06-7488-48b5-b444-502f1bdebd3b"]}],"mendeley":{"formattedCitation":"[12]","plainTextFormattedCitation":"[12]","previouslyFormattedCitation":"[11]"},"properties":{"noteIndex":0},"schema":"https://github.com/citation-style-language/schema/raw/master/csl-citation.json"}</w:instrText>
            </w:r>
            <w:r w:rsidR="00FC6626">
              <w:rPr>
                <w:rFonts w:eastAsia="Times New Roman"/>
                <w:sz w:val="22"/>
                <w:szCs w:val="22"/>
                <w:lang w:eastAsia="da-DK"/>
              </w:rPr>
              <w:fldChar w:fldCharType="separate"/>
            </w:r>
            <w:r w:rsidR="00930057" w:rsidRPr="00930057">
              <w:rPr>
                <w:rFonts w:eastAsia="Times New Roman"/>
                <w:noProof/>
                <w:sz w:val="22"/>
                <w:szCs w:val="22"/>
                <w:lang w:eastAsia="da-DK"/>
              </w:rPr>
              <w:t>[12]</w:t>
            </w:r>
            <w:r w:rsidR="00FC6626">
              <w:rPr>
                <w:rFonts w:eastAsia="Times New Roman"/>
                <w:sz w:val="22"/>
                <w:szCs w:val="22"/>
                <w:lang w:eastAsia="da-DK"/>
              </w:rPr>
              <w:fldChar w:fldCharType="end"/>
            </w:r>
          </w:p>
        </w:tc>
      </w:tr>
      <w:tr w:rsidR="0041214A" w:rsidRPr="0041214A" w14:paraId="53857BB9" w14:textId="77777777" w:rsidTr="00DC301B">
        <w:trPr>
          <w:cantSplit/>
          <w:tblHeader/>
        </w:trPr>
        <w:tc>
          <w:tcPr>
            <w:tcW w:w="2127" w:type="dxa"/>
            <w:shd w:val="clear" w:color="auto" w:fill="FFFFFF"/>
            <w:tcMar>
              <w:top w:w="0" w:type="dxa"/>
              <w:left w:w="0" w:type="dxa"/>
              <w:bottom w:w="0" w:type="dxa"/>
              <w:right w:w="0" w:type="dxa"/>
            </w:tcMar>
          </w:tcPr>
          <w:p w14:paraId="65DA1594"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 xml:space="preserve">hsa-miR-200c-3p </w:t>
            </w:r>
          </w:p>
        </w:tc>
        <w:tc>
          <w:tcPr>
            <w:tcW w:w="7087" w:type="dxa"/>
            <w:shd w:val="clear" w:color="auto" w:fill="FFFFFF"/>
            <w:tcMar>
              <w:top w:w="0" w:type="dxa"/>
              <w:left w:w="0" w:type="dxa"/>
              <w:bottom w:w="0" w:type="dxa"/>
              <w:right w:w="0" w:type="dxa"/>
            </w:tcMar>
          </w:tcPr>
          <w:p w14:paraId="7A7AC932" w14:textId="2C65E4B3" w:rsidR="0041214A" w:rsidRPr="00903089" w:rsidRDefault="0041214A" w:rsidP="00583D01">
            <w:pPr>
              <w:spacing w:before="0" w:after="0" w:line="240" w:lineRule="auto"/>
              <w:ind w:firstLine="0"/>
              <w:rPr>
                <w:rFonts w:eastAsia="Times New Roman" w:cstheme="minorHAnsi"/>
                <w:sz w:val="22"/>
                <w:lang w:val="en-US" w:eastAsia="da-DK"/>
              </w:rPr>
            </w:pPr>
            <w:r w:rsidRPr="00FC049F">
              <w:rPr>
                <w:rFonts w:eastAsia="Times New Roman" w:cstheme="minorHAnsi"/>
                <w:sz w:val="22"/>
                <w:lang w:val="en-US" w:eastAsia="da-DK"/>
              </w:rPr>
              <w:t xml:space="preserve">OS and progression-free survival </w:t>
            </w:r>
            <w:r w:rsidR="00FC6626">
              <w:rPr>
                <w:rFonts w:eastAsia="Times New Roman" w:cstheme="minorHAnsi"/>
                <w:sz w:val="22"/>
                <w:lang w:val="en-US" w:eastAsia="da-DK"/>
              </w:rPr>
              <w:fldChar w:fldCharType="begin" w:fldLock="1"/>
            </w:r>
            <w:r w:rsidR="00930057">
              <w:rPr>
                <w:rFonts w:eastAsia="Times New Roman" w:cstheme="minorHAnsi"/>
                <w:sz w:val="22"/>
                <w:lang w:val="en-US" w:eastAsia="da-DK"/>
              </w:rPr>
              <w:instrText>ADDIN CSL_CITATION {"citationItems":[{"id":"ITEM-1","itemData":{"DOI":"10.1186/1471-2407-14-80","ISSN":"14712407","PMID":"24512620","abstract":"Background: Improved insight into the molecular characteristics of the different ovarian cancer subgroups is needed for developing a more individualized and optimized treatment regimen. The aim of this study was to a) identify differentially expressed miRNAs in high-grade serous ovarian carcinoma (HGSC), clear cell ovarian carcinoma (CCC) and ovarian surface epithelium (OSE), b) evaluate selected miRNAs for association with clinical parameters including survival and c) map miRNA-mRNA interactions.Methods: Differences in miRNA expression between HGSC, CCC and OSE were analyzed by global miRNA expression profiling (Affymetrix GeneChip miRNA 2.0 Arrays, n = 12, 9 and 9, respectively), validated by RT-qPCR (n = 35, 19 and 9, respectively), and evaluated for associations with clinical parameters. For HGSC, differentially expressed miRNAs were linked to differentially expressed mRNAs identified previously.Results: Differentially expressed miRNAs (n = 78) between HGSC, CCC and OSE were identified (FDR &lt; 0.01%), of which 18 were validated (p &lt; 0.01) using RT-qPCR in an extended cohort. Compared with OSE, miR-205-5p was the most overexpressed miRNA in HGSC. miR-200 family members and miR-182-5p were the most overexpressed in HGSC and CCC compared with OSE, whereas miR-383 was the most underexpressed. miR-205-5p and miR-200 members target epithelial-mesenchymal transition (EMT) regulators, apparently being important in tumor progression. miR-509-3-5p, miR-509-5p, miR-509-3p and miR-510 were among the strongest differentiators between HGSC and CCC, all being significantly overexpressed in CCC compared with HGSC. High miR-200c-3p expression was associated with poor progression-free (p = 0.031) and overall (p = 0.026) survival in HGSC patients. Interacting miRNA and mRNA targets, including those of a TP53-related pathway presented previously, were identified in HGSC.Conclusions: Several miRNAs differentially expressed between HGSC, CCC and OSE have been identified, suggesting a carcinogenetic role for these miRNAs. miR-200 family members, targeting EMT drivers, were mostly overexpressed in both subgroups, among which miR-200c-3p was associated with survival in HGSC patients. A set of miRNAs differentiates CCC from HGSC, of which miR-509-3-5p and miR-509-5p are the strongest classifiers. Several interactions between miRNAs and mRNAs in HGSC were mapped. © 2014 Vilming Elgaaen et al.; licensee BioMed Central Ltd.","author":[{"dropping-particle":"","family":"Vilming Elgaaen","given":"Bente","non-dropping-particle":"","parse-names":false,"suffix":""},{"dropping-particle":"","family":"Olstad","given":"Ole K.","non-dropping-particle":"","parse-names":false,"suffix":""},{"dropping-particle":"","family":"Haug","given":"Kari Bente F.","non-dropping-particle":"","parse-names":false,"suffix":""},{"dropping-particle":"","family":"Brusletto","given":"Berit","non-dropping-particle":"","parse-names":false,"suffix":""},{"dropping-particle":"","family":"Sandvik","given":"Leiv","non-dropping-particle":"","parse-names":false,"suffix":""},{"dropping-particle":"","family":"Staff","given":"Anne C.","non-dropping-particle":"","parse-names":false,"suffix":""},{"dropping-particle":"","family":"Gautvik","given":"Kaare M.","non-dropping-particle":"","parse-names":false,"suffix":""},{"dropping-particle":"","family":"Davidson","given":"Ben","non-dropping-particle":"","parse-names":false,"suffix":""}],"container-title":"BMC Cancer","id":"ITEM-1","issue":"1","issued":{"date-parts":[["2014"]]},"page":"1-13","title":"Global miRNA expression analysis of serous and clear cell ovarian carcinomas identifies differentially expressed miRNAs including miR-200c-3p as a prognostic marker","type":"article-journal","volume":"14"},"uris":["http://www.mendeley.com/documents/?uuid=df9b3927-2b50-4020-ab77-e50bf18b4f82"]},{"id":"ITEM-2","itemData":{"DOI":"10.1097/MD.0000000000011505","ISBN":"0000000000","ISSN":"15365964","PMID":"30095616","abstract":"Background: MicroRNAs (miRs) play a vital role in the occurrence, development, and progression of human cancers, but its role in the prognosis of ovarian cancer is unclear. Methods: We performed a meta-analysis by searching PubMed, Embase, and Web of Science databases for eligible studies. The pooled hazard ratios (HRs) and 95% confidence intervals (CIs) were used to explore the association between miRs expression and overall survival (OS) and progression-free survival (PFS) on ovarian cancer patients. We also used Kaplan–Meier to analyze the relationship between miRs and OS in OncoLnc dataset. Results: A total of 15 records were included into the meta-analysis. The expression level of miR-200 family showed significant association with OS (HR = 0.78, 95% CI: 0.64–0.94) and insignificant association with PFS (HR = 0.72, 95% CI: 0.50–1.03). Subgroup analysis revealed that an increased expression level of miR-200c was associated with better OS (HR = 0.59, 95% CI: 0.45–0.74). An increased expression level of miR-200a, miR-200c, and miR-141 was associated with better PFS (miR-200a, HR = 0.59, 95% CI: 0.42–0.75; miR-200c, HR = 0.50, 95% CI: 0.14–0.87, miR-141, HR = 0.38, 95% CI: 0.12–0.63). Similarly, higher expression of miR-30 family was associated with elevated OS/PFS for ovarian cancer (OS, HR = 0.43, 95% CI: 0.13–0.74; PFS, HR = 0.76, 95% CI: 0.64–0.87). The OncoLnc dataset presented that elevated expression level of miR-30d-5p was associated with better OS (n = 470, P = .0197). Conclusion: The meta-analysis reveals that miR-200 family and miR-30 family could be promising prognostic biomarkers of ovarian cancer.","author":[{"dropping-particle":"","family":"Shi","given":"Min","non-dropping-particle":"","parse-names":false,"suffix":""},{"dropping-particle":"","family":"Mu","given":"Yulan","non-dropping-particle":"","parse-names":false,"suffix":""},{"dropping-particle":"","family":"Zhang","given":"Hui","non-dropping-particle":"","parse-names":false,"suffix":""},{"dropping-particle":"","family":"Liu","given":"Ming","non-dropping-particle":"","parse-names":false,"suffix":""},{"dropping-particle":"","family":"Wan","given":"Jipeng","non-dropping-particle":"","parse-names":false,"suffix":""},{"dropping-particle":"","family":"Qin","given":"Xiaoyan","non-dropping-particle":"","parse-names":false,"suffix":""},{"dropping-particle":"","family":"Li","given":"Changzhong","non-dropping-particle":"","parse-names":false,"suffix":""}],"container-title":"Medicine (United States)","id":"ITEM-2","issue":"32","issued":{"date-parts":[["2018"]]},"page":"1-9","title":"MicroRNA-200 and microRNA-30 family as prognostic molecular signatures in ovarian cancer: A meta-analysis","type":"article-journal","volume":"97"},"uris":["http://www.mendeley.com/documents/?uuid=acdd3c06-7488-48b5-b444-502f1bdebd3b"]}],"mendeley":{"formattedCitation":"[12,18]","plainTextFormattedCitation":"[12,18]","previouslyFormattedCitation":"[11,17]"},"properties":{"noteIndex":0},"schema":"https://github.com/citation-style-language/schema/raw/master/csl-citation.json"}</w:instrText>
            </w:r>
            <w:r w:rsidR="00FC6626">
              <w:rPr>
                <w:rFonts w:eastAsia="Times New Roman" w:cstheme="minorHAnsi"/>
                <w:sz w:val="22"/>
                <w:lang w:val="en-US" w:eastAsia="da-DK"/>
              </w:rPr>
              <w:fldChar w:fldCharType="separate"/>
            </w:r>
            <w:r w:rsidR="00930057" w:rsidRPr="00930057">
              <w:rPr>
                <w:rFonts w:eastAsia="Times New Roman" w:cstheme="minorHAnsi"/>
                <w:noProof/>
                <w:sz w:val="22"/>
                <w:lang w:val="en-US" w:eastAsia="da-DK"/>
              </w:rPr>
              <w:t>[12,18]</w:t>
            </w:r>
            <w:r w:rsidR="00FC6626">
              <w:rPr>
                <w:rFonts w:eastAsia="Times New Roman" w:cstheme="minorHAnsi"/>
                <w:sz w:val="22"/>
                <w:lang w:val="en-US" w:eastAsia="da-DK"/>
              </w:rPr>
              <w:fldChar w:fldCharType="end"/>
            </w:r>
            <w:r w:rsidRPr="00903089">
              <w:rPr>
                <w:rFonts w:eastAsia="Times New Roman" w:cstheme="minorHAnsi"/>
                <w:sz w:val="22"/>
                <w:lang w:val="en-US" w:eastAsia="da-DK"/>
              </w:rPr>
              <w:t xml:space="preserve">, </w:t>
            </w:r>
            <w:r w:rsidRPr="004560B3">
              <w:rPr>
                <w:rFonts w:eastAsiaTheme="minorHAnsi" w:cstheme="minorHAnsi"/>
                <w:sz w:val="22"/>
                <w:lang w:val="en-US"/>
              </w:rPr>
              <w:t xml:space="preserve">discriminate between benign and malignant cases </w:t>
            </w:r>
            <w:r w:rsidR="00FC6626">
              <w:rPr>
                <w:rFonts w:eastAsiaTheme="minorHAnsi"/>
                <w:sz w:val="22"/>
              </w:rPr>
              <w:fldChar w:fldCharType="begin" w:fldLock="1"/>
            </w:r>
            <w:r w:rsidR="00930057">
              <w:rPr>
                <w:rFonts w:eastAsiaTheme="minorHAnsi"/>
                <w:sz w:val="22"/>
                <w:lang w:val="en-US"/>
              </w:rPr>
              <w:instrText>ADDIN CSL_CITATION {"citationItems":[{"id":"ITEM-1","itemData":{"DOI":"10.1371/journal.pone.0225249","ISBN":"1111111111","ISSN":"19326203","PMID":"31738788","abstract":"Background Ovarian cancer is the fifth most common cancer in women worldwide. Moreover, there are no reliable minimal invasive tests to secure the diagnosis of malignant pelvic masses. Cell-free, circulating microRNAs have the potential as diagnostic biomarkers in cancer. Here, we performed and validated a miRNA panel with the potential to distinguish OC from benign pelvic masses. Methods The profile of plasma microRNA was determined with a panel of 46 candidates in a discovery group and a validation group, each consisting of 190 pre-surgery plasma samples from age-matched patients with malignant (n = 95) and benign pelvic mass (n = 95), by real time RT-qPCR. Results Four up-regulated (miR-200c-3p, miR-221-3p, miR-21-5p, and miR-484) and two down-regulated (miR-195-5p and miR-451a) microRNAs were discovered. From those, miR-200c-3p and miR-221-3p were further confirmed in a validation cohort. A combination of these 2 microRNAs together with CA-125 yielded an overall diagnostic accuracy of AUC = 0.96. Conclusions We showed consistent plasma microRNA profiles that provide independent diagnostic information of late stage OC.","author":[{"dropping-particle":"","family":"Oliveira","given":"Douglas Nogueira Perez","non-dropping-particle":"","parse-names":false,"suffix":""},{"dropping-particle":"","family":"Carlsen","given":"Anting Liu","non-dropping-particle":"","parse-names":false,"suffix":""},{"dropping-particle":"","family":"Heegaard","given":"Niels H.H.","non-dropping-particle":"","parse-names":false,"suffix":""},{"dropping-particle":"","family":"Prahm","given":"Kira Philipsen","non-dropping-particle":"","parse-names":false,"suffix":""},{"dropping-particle":"","family":"Christensen","given":"Ib Jarle","non-dropping-particle":"","parse-names":false,"suffix":""},{"dropping-particle":"","family":"Høgdall","given":"Claus K.","non-dropping-particle":"","parse-names":false,"suffix":""},{"dropping-particle":"V.","family":"Høgdall","given":"Estrid","non-dropping-particle":"","parse-names":false,"suffix":""}],"container-title":"PLoS ONE","id":"ITEM-1","issue":"11","issued":{"date-parts":[["2019"]]},"page":"1-15","title":"Diagnostic plasma miRNA-profiles for ovarian cancer in patients with pelvic mass","type":"article-journal","volume":"14"},"uris":["http://www.mendeley.com/documents/?uuid=7e8c774b-8c82-4547-886d-5cbd20b9e809"]}],"mendeley":{"formattedCitation":"[16]","plainTextFormattedCitation":"[16]","previouslyFormattedCitation":"[15]"},"properties":{"noteIndex":0},"schema":"https://github.com/citation-style-language/schema/raw/master/csl-citation.json"}</w:instrText>
            </w:r>
            <w:r w:rsidR="00FC6626">
              <w:rPr>
                <w:rFonts w:eastAsiaTheme="minorHAnsi"/>
                <w:sz w:val="22"/>
              </w:rPr>
              <w:fldChar w:fldCharType="separate"/>
            </w:r>
            <w:r w:rsidR="00930057" w:rsidRPr="00930057">
              <w:rPr>
                <w:rFonts w:eastAsiaTheme="minorHAnsi"/>
                <w:noProof/>
                <w:sz w:val="22"/>
                <w:lang w:val="en-US"/>
              </w:rPr>
              <w:t>[16]</w:t>
            </w:r>
            <w:r w:rsidR="00FC6626">
              <w:rPr>
                <w:rFonts w:eastAsiaTheme="minorHAnsi"/>
                <w:sz w:val="22"/>
              </w:rPr>
              <w:fldChar w:fldCharType="end"/>
            </w:r>
          </w:p>
        </w:tc>
      </w:tr>
      <w:tr w:rsidR="0041214A" w:rsidRPr="0041214A" w14:paraId="12C2B1A6" w14:textId="77777777" w:rsidTr="00DC301B">
        <w:trPr>
          <w:cantSplit/>
          <w:tblHeader/>
        </w:trPr>
        <w:tc>
          <w:tcPr>
            <w:tcW w:w="2127" w:type="dxa"/>
            <w:shd w:val="clear" w:color="auto" w:fill="FFFFFF"/>
            <w:tcMar>
              <w:top w:w="0" w:type="dxa"/>
              <w:left w:w="0" w:type="dxa"/>
              <w:bottom w:w="0" w:type="dxa"/>
              <w:right w:w="0" w:type="dxa"/>
            </w:tcMar>
          </w:tcPr>
          <w:p w14:paraId="42E84C16"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hsa-miR-205-5p</w:t>
            </w:r>
          </w:p>
        </w:tc>
        <w:tc>
          <w:tcPr>
            <w:tcW w:w="7087" w:type="dxa"/>
            <w:shd w:val="clear" w:color="auto" w:fill="FFFFFF"/>
            <w:tcMar>
              <w:top w:w="0" w:type="dxa"/>
              <w:left w:w="0" w:type="dxa"/>
              <w:bottom w:w="0" w:type="dxa"/>
              <w:right w:w="0" w:type="dxa"/>
            </w:tcMar>
          </w:tcPr>
          <w:p w14:paraId="64BBC6B3" w14:textId="05CBF181" w:rsidR="0041214A" w:rsidRPr="00903089" w:rsidRDefault="0041214A" w:rsidP="00583D01">
            <w:pPr>
              <w:spacing w:before="0" w:after="0" w:line="240" w:lineRule="auto"/>
              <w:ind w:firstLine="0"/>
              <w:rPr>
                <w:rFonts w:eastAsia="Times New Roman" w:cstheme="minorHAnsi"/>
                <w:sz w:val="22"/>
                <w:lang w:val="en-US" w:eastAsia="da-DK"/>
              </w:rPr>
            </w:pPr>
            <w:r w:rsidRPr="00FC049F">
              <w:rPr>
                <w:rFonts w:cstheme="minorHAnsi"/>
                <w:sz w:val="22"/>
                <w:lang w:val="en-US"/>
              </w:rPr>
              <w:t xml:space="preserve">Recurrence prediction </w:t>
            </w:r>
            <w:r w:rsidR="00FC6626">
              <w:rPr>
                <w:rFonts w:cstheme="minorHAnsi"/>
                <w:sz w:val="22"/>
                <w:lang w:val="en-US"/>
              </w:rPr>
              <w:fldChar w:fldCharType="begin" w:fldLock="1"/>
            </w:r>
            <w:r w:rsidR="00930057">
              <w:rPr>
                <w:rFonts w:cstheme="minorHAnsi"/>
                <w:sz w:val="22"/>
                <w:lang w:val="en-US"/>
              </w:rPr>
              <w:instrText>ADDIN CSL_CITATION {"citationItems":[{"id":"ITEM-1","itemData":{"DOI":"10.1080/08839514.2020.1854988","ISSN":"10876545","abstract":"Ovarian cancer stands in the sixth position among the most commonly occurring cancers in the world. Because of the high rate of recurrence, this gynecological malignancy seems to be a vital reason behind cancer-related death among women as tumor recurrence stands as an obstacle in ovarian cancer treatment. It is crucial to find those recurrence causing factors in order to plan suitable therapies with high prognostic results. Hence, in this work, a multistage feature selection methodology is proposed to identify key MiRNAs and clinical features for improving the accuracy of ovarian cancer recurrence prediction. MiRNA expression profiles of ovarian cancer patients and their corresponding clinical data were downloaded from the TCGA cancer repository. From 588 MiRNAs, 6 key MiRNAs were selected using the Inheritable Bi-objective Combinatorial Genetic Algorithm (IBCGA) followed by factor analysis. The biological importance of the resultant MiRNAs in cancer and cellular pathways were studied using Gene Ontology (GO) and Kyoto Encyclopedia of Genes and Genomes (KEGG) analysis. Further, recurrence prediction was performed using the obtained MiRNA expression profiles and clinical factors, chosen using correlation analysis. The proposed approach using the selected features yielded a prediction accuracy of 91.86% using the XGBoost classifier while the same without feature selection was 76.59%. Compared to previous similar works, this model provides a better result in terms of accuracy and reveals influential MiRNAs in ovarian cancer.","author":[{"dropping-particle":"","family":"Sujamol","given":"S.","non-dropping-particle":"","parse-names":false,"suffix":""},{"dropping-particle":"","family":"Vimina","given":"E. R.","non-dropping-particle":"","parse-names":false,"suffix":""},{"dropping-particle":"","family":"Krishnakumar","given":"U.","non-dropping-particle":"","parse-names":false,"suffix":""}],"container-title":"Applied Artificial Intelligence","id":"ITEM-1","issue":"3","issued":{"date-parts":[["2021"]]},"page":"206-226","publisher":"Taylor &amp; Francis","title":"Improving Recurrence Prediction Accuracy of Ovarian Cancer Using Multi-phase Feature Selection Methodology","type":"article-journal","volume":"35"},"uris":["http://www.mendeley.com/documents/?uuid=3f9fdaf6-ec9f-42f1-bc68-30e016419845"]}],"mendeley":{"formattedCitation":"[19]","plainTextFormattedCitation":"[19]","previouslyFormattedCitation":"[18]"},"properties":{"noteIndex":0},"schema":"https://github.com/citation-style-language/schema/raw/master/csl-citation.json"}</w:instrText>
            </w:r>
            <w:r w:rsidR="00FC6626">
              <w:rPr>
                <w:rFonts w:cstheme="minorHAnsi"/>
                <w:sz w:val="22"/>
                <w:lang w:val="en-US"/>
              </w:rPr>
              <w:fldChar w:fldCharType="separate"/>
            </w:r>
            <w:r w:rsidR="00930057" w:rsidRPr="00930057">
              <w:rPr>
                <w:rFonts w:cstheme="minorHAnsi"/>
                <w:noProof/>
                <w:sz w:val="22"/>
                <w:lang w:val="en-US"/>
              </w:rPr>
              <w:t>[19]</w:t>
            </w:r>
            <w:r w:rsidR="00FC6626">
              <w:rPr>
                <w:rFonts w:cstheme="minorHAnsi"/>
                <w:sz w:val="22"/>
                <w:lang w:val="en-US"/>
              </w:rPr>
              <w:fldChar w:fldCharType="end"/>
            </w:r>
            <w:r w:rsidRPr="00903089">
              <w:rPr>
                <w:rFonts w:cstheme="minorHAnsi"/>
                <w:sz w:val="22"/>
                <w:lang w:val="en-US"/>
              </w:rPr>
              <w:t>, Subtype discrimination</w:t>
            </w:r>
            <w:r w:rsidRPr="004560B3">
              <w:rPr>
                <w:rFonts w:eastAsia="Times New Roman" w:cstheme="minorHAnsi"/>
                <w:sz w:val="22"/>
                <w:lang w:val="en-US" w:eastAsia="da-DK"/>
              </w:rPr>
              <w:t xml:space="preserve"> </w:t>
            </w:r>
            <w:r w:rsidR="00930057">
              <w:rPr>
                <w:rFonts w:eastAsia="Times New Roman" w:cstheme="minorHAnsi"/>
                <w:sz w:val="22"/>
                <w:lang w:val="en-US" w:eastAsia="da-DK"/>
              </w:rPr>
              <w:fldChar w:fldCharType="begin" w:fldLock="1"/>
            </w:r>
            <w:r w:rsidR="00930057">
              <w:rPr>
                <w:rFonts w:eastAsia="Times New Roman" w:cstheme="minorHAnsi"/>
                <w:sz w:val="22"/>
                <w:lang w:val="en-US" w:eastAsia="da-DK"/>
              </w:rPr>
              <w:instrText>ADDIN CSL_CITATION {"citationItems":[{"id":"ITEM-1","itemData":{"DOI":"10.1186/1471-2407-14-80","ISSN":"14712407","PMID":"24512620","abstract":"Background: Improved insight into the molecular characteristics of the different ovarian cancer subgroups is needed for developing a more individualized and optimized treatment regimen. The aim of this study was to a) identify differentially expressed miRNAs in high-grade serous ovarian carcinoma (HGSC), clear cell ovarian carcinoma (CCC) and ovarian surface epithelium (OSE), b) evaluate selected miRNAs for association with clinical parameters including survival and c) map miRNA-mRNA interactions.Methods: Differences in miRNA expression between HGSC, CCC and OSE were analyzed by global miRNA expression profiling (Affymetrix GeneChip miRNA 2.0 Arrays, n = 12, 9 and 9, respectively), validated by RT-qPCR (n = 35, 19 and 9, respectively), and evaluated for associations with clinical parameters. For HGSC, differentially expressed miRNAs were linked to differentially expressed mRNAs identified previously.Results: Differentially expressed miRNAs (n = 78) between HGSC, CCC and OSE were identified (FDR &lt; 0.01%), of which 18 were validated (p &lt; 0.01) using RT-qPCR in an extended cohort. Compared with OSE, miR-205-5p was the most overexpressed miRNA in HGSC. miR-200 family members and miR-182-5p were the most overexpressed in HGSC and CCC compared with OSE, whereas miR-383 was the most underexpressed. miR-205-5p and miR-200 members target epithelial-mesenchymal transition (EMT) regulators, apparently being important in tumor progression. miR-509-3-5p, miR-509-5p, miR-509-3p and miR-510 were among the strongest differentiators between HGSC and CCC, all being significantly overexpressed in CCC compared with HGSC. High miR-200c-3p expression was associated with poor progression-free (p = 0.031) and overall (p = 0.026) survival in HGSC patients. Interacting miRNA and mRNA targets, including those of a TP53-related pathway presented previously, were identified in HGSC.Conclusions: Several miRNAs differentially expressed between HGSC, CCC and OSE have been identified, suggesting a carcinogenetic role for these miRNAs. miR-200 family members, targeting EMT drivers, were mostly overexpressed in both subgroups, among which miR-200c-3p was associated with survival in HGSC patients. A set of miRNAs differentiates CCC from HGSC, of which miR-509-3-5p and miR-509-5p are the strongest classifiers. Several interactions between miRNAs and mRNAs in HGSC were mapped. © 2014 Vilming Elgaaen et al.; licensee BioMed Central Ltd.","author":[{"dropping-particle":"","family":"Vilming Elgaaen","given":"Bente","non-dropping-particle":"","parse-names":false,"suffix":""},{"dropping-particle":"","family":"Olstad","given":"Ole K.","non-dropping-particle":"","parse-names":false,"suffix":""},{"dropping-particle":"","family":"Haug","given":"Kari Bente F.","non-dropping-particle":"","parse-names":false,"suffix":""},{"dropping-particle":"","family":"Brusletto","given":"Berit","non-dropping-particle":"","parse-names":false,"suffix":""},{"dropping-particle":"","family":"Sandvik","given":"Leiv","non-dropping-particle":"","parse-names":false,"suffix":""},{"dropping-particle":"","family":"Staff","given":"Anne C.","non-dropping-particle":"","parse-names":false,"suffix":""},{"dropping-particle":"","family":"Gautvik","given":"Kaare M.","non-dropping-particle":"","parse-names":false,"suffix":""},{"dropping-particle":"","family":"Davidson","given":"Ben","non-dropping-particle":"","parse-names":false,"suffix":""}],"container-title":"BMC Cancer","id":"ITEM-1","issue":"1","issued":{"date-parts":[["2014"]]},"page":"1-13","title":"Global miRNA expression analysis of serous and clear cell ovarian carcinomas identifies differentially expressed miRNAs including miR-200c-3p as a prognostic marker","type":"article-journal","volume":"14"},"uris":["http://www.mendeley.com/documents/?uuid=df9b3927-2b50-4020-ab77-e50bf18b4f82"]}],"mendeley":{"formattedCitation":"[18]","plainTextFormattedCitation":"[18]","previouslyFormattedCitation":"[17]"},"properties":{"noteIndex":0},"schema":"https://github.com/citation-style-language/schema/raw/master/csl-citation.json"}</w:instrText>
            </w:r>
            <w:r w:rsidR="00930057">
              <w:rPr>
                <w:rFonts w:eastAsia="Times New Roman" w:cstheme="minorHAnsi"/>
                <w:sz w:val="22"/>
                <w:lang w:val="en-US" w:eastAsia="da-DK"/>
              </w:rPr>
              <w:fldChar w:fldCharType="separate"/>
            </w:r>
            <w:r w:rsidR="00930057" w:rsidRPr="00930057">
              <w:rPr>
                <w:rFonts w:eastAsia="Times New Roman" w:cstheme="minorHAnsi"/>
                <w:noProof/>
                <w:sz w:val="22"/>
                <w:lang w:val="en-US" w:eastAsia="da-DK"/>
              </w:rPr>
              <w:t>[18]</w:t>
            </w:r>
            <w:r w:rsidR="00930057">
              <w:rPr>
                <w:rFonts w:eastAsia="Times New Roman" w:cstheme="minorHAnsi"/>
                <w:sz w:val="22"/>
                <w:lang w:val="en-US" w:eastAsia="da-DK"/>
              </w:rPr>
              <w:fldChar w:fldCharType="end"/>
            </w:r>
          </w:p>
        </w:tc>
      </w:tr>
      <w:tr w:rsidR="0041214A" w:rsidRPr="00DC301B" w14:paraId="3490EF94" w14:textId="77777777" w:rsidTr="00DC301B">
        <w:trPr>
          <w:cantSplit/>
          <w:tblHeader/>
        </w:trPr>
        <w:tc>
          <w:tcPr>
            <w:tcW w:w="2127" w:type="dxa"/>
            <w:shd w:val="clear" w:color="auto" w:fill="FFFFFF"/>
            <w:tcMar>
              <w:top w:w="0" w:type="dxa"/>
              <w:left w:w="0" w:type="dxa"/>
              <w:bottom w:w="0" w:type="dxa"/>
              <w:right w:w="0" w:type="dxa"/>
            </w:tcMar>
          </w:tcPr>
          <w:p w14:paraId="5225E101"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hsa-miR-21-5p</w:t>
            </w:r>
          </w:p>
        </w:tc>
        <w:tc>
          <w:tcPr>
            <w:tcW w:w="7087" w:type="dxa"/>
            <w:shd w:val="clear" w:color="auto" w:fill="FFFFFF"/>
            <w:tcMar>
              <w:top w:w="0" w:type="dxa"/>
              <w:left w:w="0" w:type="dxa"/>
              <w:bottom w:w="0" w:type="dxa"/>
              <w:right w:w="0" w:type="dxa"/>
            </w:tcMar>
          </w:tcPr>
          <w:p w14:paraId="1235C9F1" w14:textId="41F023C8" w:rsidR="0041214A" w:rsidRPr="00903089" w:rsidRDefault="0041214A" w:rsidP="00583D01">
            <w:pPr>
              <w:spacing w:before="0" w:after="0" w:line="240" w:lineRule="auto"/>
              <w:ind w:firstLine="0"/>
              <w:rPr>
                <w:rFonts w:cstheme="minorHAnsi"/>
                <w:sz w:val="22"/>
                <w:lang w:val="en-US"/>
              </w:rPr>
            </w:pPr>
            <w:r w:rsidRPr="00FC049F">
              <w:rPr>
                <w:rFonts w:eastAsiaTheme="minorHAnsi" w:cstheme="minorHAnsi"/>
                <w:sz w:val="22"/>
                <w:lang w:val="en-US"/>
              </w:rPr>
              <w:t xml:space="preserve">Discriminate between benign and malignant cases </w:t>
            </w:r>
            <w:r w:rsidR="00FC6626">
              <w:rPr>
                <w:rFonts w:eastAsiaTheme="minorHAnsi"/>
                <w:sz w:val="22"/>
              </w:rPr>
              <w:fldChar w:fldCharType="begin" w:fldLock="1"/>
            </w:r>
            <w:r w:rsidR="00930057">
              <w:rPr>
                <w:rFonts w:eastAsiaTheme="minorHAnsi"/>
                <w:sz w:val="22"/>
                <w:lang w:val="en-US"/>
              </w:rPr>
              <w:instrText>ADDIN CSL_CITATION {"citationItems":[{"id":"ITEM-1","itemData":{"DOI":"10.1371/journal.pone.0225249","ISBN":"1111111111","ISSN":"19326203","PMID":"31738788","abstract":"Background Ovarian cancer is the fifth most common cancer in women worldwide. Moreover, there are no reliable minimal invasive tests to secure the diagnosis of malignant pelvic masses. Cell-free, circulating microRNAs have the potential as diagnostic biomarkers in cancer. Here, we performed and validated a miRNA panel with the potential to distinguish OC from benign pelvic masses. Methods The profile of plasma microRNA was determined with a panel of 46 candidates in a discovery group and a validation group, each consisting of 190 pre-surgery plasma samples from age-matched patients with malignant (n = 95) and benign pelvic mass (n = 95), by real time RT-qPCR. Results Four up-regulated (miR-200c-3p, miR-221-3p, miR-21-5p, and miR-484) and two down-regulated (miR-195-5p and miR-451a) microRNAs were discovered. From those, miR-200c-3p and miR-221-3p were further confirmed in a validation cohort. A combination of these 2 microRNAs together with CA-125 yielded an overall diagnostic accuracy of AUC = 0.96. Conclusions We showed consistent plasma microRNA profiles that provide independent diagnostic information of late stage OC.","author":[{"dropping-particle":"","family":"Oliveira","given":"Douglas Nogueira Perez","non-dropping-particle":"","parse-names":false,"suffix":""},{"dropping-particle":"","family":"Carlsen","given":"Anting Liu","non-dropping-particle":"","parse-names":false,"suffix":""},{"dropping-particle":"","family":"Heegaard","given":"Niels H.H.","non-dropping-particle":"","parse-names":false,"suffix":""},{"dropping-particle":"","family":"Prahm","given":"Kira Philipsen","non-dropping-particle":"","parse-names":false,"suffix":""},{"dropping-particle":"","family":"Christensen","given":"Ib Jarle","non-dropping-particle":"","parse-names":false,"suffix":""},{"dropping-particle":"","family":"Høgdall","given":"Claus K.","non-dropping-particle":"","parse-names":false,"suffix":""},{"dropping-particle":"V.","family":"Høgdall","given":"Estrid","non-dropping-particle":"","parse-names":false,"suffix":""}],"container-title":"PLoS ONE","id":"ITEM-1","issue":"11","issued":{"date-parts":[["2019"]]},"page":"1-15","title":"Diagnostic plasma miRNA-profiles for ovarian cancer in patients with pelvic mass","type":"article-journal","volume":"14"},"uris":["http://www.mendeley.com/documents/?uuid=7e8c774b-8c82-4547-886d-5cbd20b9e809"]}],"mendeley":{"formattedCitation":"[16]","plainTextFormattedCitation":"[16]","previouslyFormattedCitation":"[15]"},"properties":{"noteIndex":0},"schema":"https://github.com/citation-style-language/schema/raw/master/csl-citation.json"}</w:instrText>
            </w:r>
            <w:r w:rsidR="00FC6626">
              <w:rPr>
                <w:rFonts w:eastAsiaTheme="minorHAnsi"/>
                <w:sz w:val="22"/>
              </w:rPr>
              <w:fldChar w:fldCharType="separate"/>
            </w:r>
            <w:r w:rsidR="00930057" w:rsidRPr="00930057">
              <w:rPr>
                <w:rFonts w:eastAsiaTheme="minorHAnsi"/>
                <w:noProof/>
                <w:sz w:val="22"/>
                <w:lang w:val="en-US"/>
              </w:rPr>
              <w:t>[16]</w:t>
            </w:r>
            <w:r w:rsidR="00FC6626">
              <w:rPr>
                <w:rFonts w:eastAsiaTheme="minorHAnsi"/>
                <w:sz w:val="22"/>
              </w:rPr>
              <w:fldChar w:fldCharType="end"/>
            </w:r>
          </w:p>
        </w:tc>
      </w:tr>
      <w:tr w:rsidR="0041214A" w:rsidRPr="00DC301B" w14:paraId="24A2B6E2" w14:textId="77777777" w:rsidTr="00DC301B">
        <w:trPr>
          <w:cantSplit/>
          <w:tblHeader/>
        </w:trPr>
        <w:tc>
          <w:tcPr>
            <w:tcW w:w="2127" w:type="dxa"/>
            <w:shd w:val="clear" w:color="auto" w:fill="FFFFFF"/>
            <w:tcMar>
              <w:top w:w="0" w:type="dxa"/>
              <w:left w:w="0" w:type="dxa"/>
              <w:bottom w:w="0" w:type="dxa"/>
              <w:right w:w="0" w:type="dxa"/>
            </w:tcMar>
          </w:tcPr>
          <w:p w14:paraId="3743D01E"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hsa-miR-221-3p</w:t>
            </w:r>
          </w:p>
        </w:tc>
        <w:tc>
          <w:tcPr>
            <w:tcW w:w="7087" w:type="dxa"/>
            <w:shd w:val="clear" w:color="auto" w:fill="FFFFFF"/>
            <w:tcMar>
              <w:top w:w="0" w:type="dxa"/>
              <w:left w:w="0" w:type="dxa"/>
              <w:bottom w:w="0" w:type="dxa"/>
              <w:right w:w="0" w:type="dxa"/>
            </w:tcMar>
          </w:tcPr>
          <w:p w14:paraId="3F93D016" w14:textId="1619BC9A" w:rsidR="0041214A" w:rsidRPr="00903089" w:rsidRDefault="0041214A" w:rsidP="00583D01">
            <w:pPr>
              <w:spacing w:before="0" w:after="0" w:line="240" w:lineRule="auto"/>
              <w:ind w:firstLine="0"/>
              <w:rPr>
                <w:rFonts w:eastAsiaTheme="minorHAnsi" w:cstheme="minorHAnsi"/>
                <w:sz w:val="22"/>
                <w:lang w:val="en-US"/>
              </w:rPr>
            </w:pPr>
            <w:r w:rsidRPr="00FC049F">
              <w:rPr>
                <w:rFonts w:eastAsiaTheme="minorHAnsi" w:cstheme="minorHAnsi"/>
                <w:sz w:val="22"/>
                <w:lang w:val="en-US"/>
              </w:rPr>
              <w:t xml:space="preserve">Discriminate between benign and malignant cases </w:t>
            </w:r>
            <w:r w:rsidR="00FC6626">
              <w:rPr>
                <w:rFonts w:eastAsiaTheme="minorHAnsi"/>
                <w:sz w:val="22"/>
              </w:rPr>
              <w:fldChar w:fldCharType="begin" w:fldLock="1"/>
            </w:r>
            <w:r w:rsidR="00930057">
              <w:rPr>
                <w:rFonts w:eastAsiaTheme="minorHAnsi"/>
                <w:sz w:val="22"/>
                <w:lang w:val="en-US"/>
              </w:rPr>
              <w:instrText>ADDIN CSL_CITATION {"citationItems":[{"id":"ITEM-1","itemData":{"DOI":"10.1371/journal.pone.0225249","ISBN":"1111111111","ISSN":"19326203","PMID":"31738788","abstract":"Background Ovarian cancer is the fifth most common cancer in women worldwide. Moreover, there are no reliable minimal invasive tests to secure the diagnosis of malignant pelvic masses. Cell-free, circulating microRNAs have the potential as diagnostic biomarkers in cancer. Here, we performed and validated a miRNA panel with the potential to distinguish OC from benign pelvic masses. Methods The profile of plasma microRNA was determined with a panel of 46 candidates in a discovery group and a validation group, each consisting of 190 pre-surgery plasma samples from age-matched patients with malignant (n = 95) and benign pelvic mass (n = 95), by real time RT-qPCR. Results Four up-regulated (miR-200c-3p, miR-221-3p, miR-21-5p, and miR-484) and two down-regulated (miR-195-5p and miR-451a) microRNAs were discovered. From those, miR-200c-3p and miR-221-3p were further confirmed in a validation cohort. A combination of these 2 microRNAs together with CA-125 yielded an overall diagnostic accuracy of AUC = 0.96. Conclusions We showed consistent plasma microRNA profiles that provide independent diagnostic information of late stage OC.","author":[{"dropping-particle":"","family":"Oliveira","given":"Douglas Nogueira Perez","non-dropping-particle":"","parse-names":false,"suffix":""},{"dropping-particle":"","family":"Carlsen","given":"Anting Liu","non-dropping-particle":"","parse-names":false,"suffix":""},{"dropping-particle":"","family":"Heegaard","given":"Niels H.H.","non-dropping-particle":"","parse-names":false,"suffix":""},{"dropping-particle":"","family":"Prahm","given":"Kira Philipsen","non-dropping-particle":"","parse-names":false,"suffix":""},{"dropping-particle":"","family":"Christensen","given":"Ib Jarle","non-dropping-particle":"","parse-names":false,"suffix":""},{"dropping-particle":"","family":"Høgdall","given":"Claus K.","non-dropping-particle":"","parse-names":false,"suffix":""},{"dropping-particle":"V.","family":"Høgdall","given":"Estrid","non-dropping-particle":"","parse-names":false,"suffix":""}],"container-title":"PLoS ONE","id":"ITEM-1","issue":"11","issued":{"date-parts":[["2019"]]},"page":"1-15","title":"Diagnostic plasma miRNA-profiles for ovarian cancer in patients with pelvic mass","type":"article-journal","volume":"14"},"uris":["http://www.mendeley.com/documents/?uuid=7e8c774b-8c82-4547-886d-5cbd20b9e809"]}],"mendeley":{"formattedCitation":"[16]","plainTextFormattedCitation":"[16]","previouslyFormattedCitation":"[15]"},"properties":{"noteIndex":0},"schema":"https://github.com/citation-style-language/schema/raw/master/csl-citation.json"}</w:instrText>
            </w:r>
            <w:r w:rsidR="00FC6626">
              <w:rPr>
                <w:rFonts w:eastAsiaTheme="minorHAnsi"/>
                <w:sz w:val="22"/>
              </w:rPr>
              <w:fldChar w:fldCharType="separate"/>
            </w:r>
            <w:r w:rsidR="00930057" w:rsidRPr="00930057">
              <w:rPr>
                <w:rFonts w:eastAsiaTheme="minorHAnsi"/>
                <w:noProof/>
                <w:sz w:val="22"/>
                <w:lang w:val="en-US"/>
              </w:rPr>
              <w:t>[16]</w:t>
            </w:r>
            <w:r w:rsidR="00FC6626">
              <w:rPr>
                <w:rFonts w:eastAsiaTheme="minorHAnsi"/>
                <w:sz w:val="22"/>
              </w:rPr>
              <w:fldChar w:fldCharType="end"/>
            </w:r>
          </w:p>
        </w:tc>
      </w:tr>
      <w:tr w:rsidR="0041214A" w:rsidRPr="0041214A" w14:paraId="3424939A" w14:textId="77777777" w:rsidTr="00DC301B">
        <w:trPr>
          <w:cantSplit/>
          <w:tblHeader/>
        </w:trPr>
        <w:tc>
          <w:tcPr>
            <w:tcW w:w="2127" w:type="dxa"/>
            <w:shd w:val="clear" w:color="auto" w:fill="FFFFFF"/>
            <w:tcMar>
              <w:top w:w="0" w:type="dxa"/>
              <w:left w:w="0" w:type="dxa"/>
              <w:bottom w:w="0" w:type="dxa"/>
              <w:right w:w="0" w:type="dxa"/>
            </w:tcMar>
          </w:tcPr>
          <w:p w14:paraId="114EBC3E"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hsa-miR-223-3p</w:t>
            </w:r>
          </w:p>
        </w:tc>
        <w:tc>
          <w:tcPr>
            <w:tcW w:w="7087" w:type="dxa"/>
            <w:shd w:val="clear" w:color="auto" w:fill="FFFFFF"/>
            <w:tcMar>
              <w:top w:w="0" w:type="dxa"/>
              <w:left w:w="0" w:type="dxa"/>
              <w:bottom w:w="0" w:type="dxa"/>
              <w:right w:w="0" w:type="dxa"/>
            </w:tcMar>
          </w:tcPr>
          <w:p w14:paraId="14985C96" w14:textId="01E8B312" w:rsidR="0041214A" w:rsidRPr="00903089" w:rsidRDefault="0041214A" w:rsidP="00583D01">
            <w:pPr>
              <w:spacing w:before="0" w:after="0" w:line="240" w:lineRule="auto"/>
              <w:ind w:firstLine="0"/>
              <w:rPr>
                <w:rFonts w:eastAsiaTheme="minorHAnsi" w:cstheme="minorHAnsi"/>
                <w:sz w:val="22"/>
                <w:lang w:val="en-US"/>
              </w:rPr>
            </w:pPr>
            <w:proofErr w:type="spellStart"/>
            <w:r w:rsidRPr="00FC049F">
              <w:rPr>
                <w:rFonts w:eastAsia="Times New Roman" w:cstheme="minorHAnsi"/>
                <w:sz w:val="22"/>
                <w:lang w:val="en-US" w:eastAsia="da-DK"/>
              </w:rPr>
              <w:t>MiRNA:mRNA</w:t>
            </w:r>
            <w:proofErr w:type="spellEnd"/>
            <w:r w:rsidRPr="00FC049F">
              <w:rPr>
                <w:rFonts w:eastAsia="Times New Roman" w:cstheme="minorHAnsi"/>
                <w:sz w:val="22"/>
                <w:lang w:val="en-US" w:eastAsia="da-DK"/>
              </w:rPr>
              <w:t xml:space="preserve"> signatures associated with OS </w:t>
            </w:r>
            <w:r w:rsidR="00856DD4">
              <w:rPr>
                <w:rFonts w:eastAsia="Times New Roman"/>
                <w:sz w:val="22"/>
                <w:lang w:eastAsia="da-DK"/>
              </w:rPr>
              <w:fldChar w:fldCharType="begin" w:fldLock="1"/>
            </w:r>
            <w:r w:rsidR="00930057">
              <w:rPr>
                <w:rFonts w:eastAsia="Times New Roman"/>
                <w:sz w:val="22"/>
                <w:lang w:val="en-US"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val="en-US" w:eastAsia="da-DK"/>
              </w:rPr>
              <w:t>[7]</w:t>
            </w:r>
            <w:r w:rsidR="00856DD4">
              <w:rPr>
                <w:rFonts w:eastAsia="Times New Roman"/>
                <w:sz w:val="22"/>
                <w:lang w:eastAsia="da-DK"/>
              </w:rPr>
              <w:fldChar w:fldCharType="end"/>
            </w:r>
          </w:p>
        </w:tc>
      </w:tr>
      <w:tr w:rsidR="0041214A" w:rsidRPr="00DC301B" w14:paraId="623F5C35" w14:textId="77777777" w:rsidTr="00DC301B">
        <w:trPr>
          <w:cantSplit/>
          <w:tblHeader/>
        </w:trPr>
        <w:tc>
          <w:tcPr>
            <w:tcW w:w="2127" w:type="dxa"/>
            <w:shd w:val="clear" w:color="auto" w:fill="FFFFFF"/>
            <w:tcMar>
              <w:top w:w="0" w:type="dxa"/>
              <w:left w:w="0" w:type="dxa"/>
              <w:bottom w:w="0" w:type="dxa"/>
              <w:right w:w="0" w:type="dxa"/>
            </w:tcMar>
          </w:tcPr>
          <w:p w14:paraId="7A3F3BC1"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hsa-miR-23a-3p</w:t>
            </w:r>
          </w:p>
        </w:tc>
        <w:tc>
          <w:tcPr>
            <w:tcW w:w="7087" w:type="dxa"/>
            <w:shd w:val="clear" w:color="auto" w:fill="FFFFFF"/>
            <w:tcMar>
              <w:top w:w="0" w:type="dxa"/>
              <w:left w:w="0" w:type="dxa"/>
              <w:bottom w:w="0" w:type="dxa"/>
              <w:right w:w="0" w:type="dxa"/>
            </w:tcMar>
          </w:tcPr>
          <w:p w14:paraId="66E45FE2" w14:textId="7B8C175D" w:rsidR="0041214A" w:rsidRPr="00903089" w:rsidRDefault="0041214A" w:rsidP="00583D01">
            <w:pPr>
              <w:spacing w:before="0" w:after="0" w:line="240" w:lineRule="auto"/>
              <w:ind w:firstLine="0"/>
              <w:rPr>
                <w:rFonts w:eastAsia="Times New Roman" w:cstheme="minorHAnsi"/>
                <w:sz w:val="22"/>
                <w:lang w:val="en-US" w:eastAsia="da-DK"/>
              </w:rPr>
            </w:pPr>
            <w:r w:rsidRPr="00FC049F">
              <w:rPr>
                <w:rFonts w:cstheme="minorHAnsi"/>
                <w:sz w:val="22"/>
                <w:shd w:val="clear" w:color="auto" w:fill="FFFFFF"/>
                <w:lang w:val="en-US"/>
              </w:rPr>
              <w:t xml:space="preserve">Progression free survival </w:t>
            </w:r>
            <w:r w:rsidR="00856DD4">
              <w:rPr>
                <w:rFonts w:eastAsia="Times New Roman"/>
                <w:sz w:val="22"/>
                <w:lang w:eastAsia="da-DK"/>
              </w:rPr>
              <w:fldChar w:fldCharType="begin" w:fldLock="1"/>
            </w:r>
            <w:r w:rsidR="00930057">
              <w:rPr>
                <w:rFonts w:eastAsia="Times New Roman"/>
                <w:sz w:val="22"/>
                <w:lang w:eastAsia="da-DK"/>
              </w:rPr>
              <w:instrText xml:space="preserve">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w:instrText>
            </w:r>
            <w:r w:rsidR="00930057" w:rsidRPr="00930057">
              <w:rPr>
                <w:rFonts w:eastAsia="Times New Roman"/>
                <w:sz w:val="22"/>
                <w:lang w:val="en-US" w:eastAsia="da-DK"/>
              </w:rPr>
              <w:instrText>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val="en-US" w:eastAsia="da-DK"/>
              </w:rPr>
              <w:t>[6]</w:t>
            </w:r>
            <w:r w:rsidR="00856DD4">
              <w:rPr>
                <w:rFonts w:eastAsia="Times New Roman"/>
                <w:sz w:val="22"/>
                <w:lang w:eastAsia="da-DK"/>
              </w:rPr>
              <w:fldChar w:fldCharType="end"/>
            </w:r>
          </w:p>
        </w:tc>
      </w:tr>
      <w:tr w:rsidR="0041214A" w:rsidRPr="0041214A" w14:paraId="4073C456" w14:textId="77777777" w:rsidTr="00DC301B">
        <w:trPr>
          <w:cantSplit/>
          <w:tblHeader/>
        </w:trPr>
        <w:tc>
          <w:tcPr>
            <w:tcW w:w="2127" w:type="dxa"/>
            <w:shd w:val="clear" w:color="auto" w:fill="FFFFFF"/>
            <w:tcMar>
              <w:top w:w="0" w:type="dxa"/>
              <w:left w:w="0" w:type="dxa"/>
              <w:bottom w:w="0" w:type="dxa"/>
              <w:right w:w="0" w:type="dxa"/>
            </w:tcMar>
          </w:tcPr>
          <w:p w14:paraId="33C147CE"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hsa-miR-23a-5p</w:t>
            </w:r>
          </w:p>
        </w:tc>
        <w:tc>
          <w:tcPr>
            <w:tcW w:w="7087" w:type="dxa"/>
            <w:shd w:val="clear" w:color="auto" w:fill="FFFFFF"/>
            <w:tcMar>
              <w:top w:w="0" w:type="dxa"/>
              <w:left w:w="0" w:type="dxa"/>
              <w:bottom w:w="0" w:type="dxa"/>
              <w:right w:w="0" w:type="dxa"/>
            </w:tcMar>
          </w:tcPr>
          <w:p w14:paraId="18EC688E" w14:textId="670D5D0A" w:rsidR="0041214A" w:rsidRPr="00903089" w:rsidRDefault="0041214A" w:rsidP="00583D01">
            <w:pPr>
              <w:spacing w:before="0" w:after="0" w:line="240" w:lineRule="auto"/>
              <w:ind w:firstLine="0"/>
              <w:rPr>
                <w:rFonts w:cstheme="minorHAnsi"/>
                <w:sz w:val="22"/>
                <w:shd w:val="clear" w:color="auto" w:fill="FFFFFF"/>
                <w:lang w:val="en-US"/>
              </w:rPr>
            </w:pPr>
            <w:proofErr w:type="spellStart"/>
            <w:r w:rsidRPr="00FC049F">
              <w:rPr>
                <w:rFonts w:eastAsia="Times New Roman" w:cstheme="minorHAnsi"/>
                <w:sz w:val="22"/>
                <w:lang w:val="en-US" w:eastAsia="da-DK"/>
              </w:rPr>
              <w:t>MiRNA:mRNA</w:t>
            </w:r>
            <w:proofErr w:type="spellEnd"/>
            <w:r w:rsidRPr="00FC049F">
              <w:rPr>
                <w:rFonts w:eastAsia="Times New Roman" w:cstheme="minorHAnsi"/>
                <w:sz w:val="22"/>
                <w:lang w:val="en-US" w:eastAsia="da-DK"/>
              </w:rPr>
              <w:t xml:space="preserve"> signatures associated with OS </w:t>
            </w:r>
            <w:r w:rsidR="00856DD4">
              <w:rPr>
                <w:rFonts w:eastAsia="Times New Roman"/>
                <w:sz w:val="22"/>
                <w:lang w:eastAsia="da-DK"/>
              </w:rPr>
              <w:fldChar w:fldCharType="begin" w:fldLock="1"/>
            </w:r>
            <w:r w:rsidR="00930057">
              <w:rPr>
                <w:rFonts w:eastAsia="Times New Roman"/>
                <w:sz w:val="22"/>
                <w:lang w:val="en-US"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val="en-US" w:eastAsia="da-DK"/>
              </w:rPr>
              <w:t>[7]</w:t>
            </w:r>
            <w:r w:rsidR="00856DD4">
              <w:rPr>
                <w:rFonts w:eastAsia="Times New Roman"/>
                <w:sz w:val="22"/>
                <w:lang w:eastAsia="da-DK"/>
              </w:rPr>
              <w:fldChar w:fldCharType="end"/>
            </w:r>
            <w:r w:rsidRPr="00903089">
              <w:rPr>
                <w:rFonts w:eastAsia="Times New Roman" w:cstheme="minorHAnsi"/>
                <w:sz w:val="22"/>
                <w:lang w:val="en-US" w:eastAsia="da-DK"/>
              </w:rPr>
              <w:t xml:space="preserve">, </w:t>
            </w:r>
            <w:r w:rsidRPr="004560B3">
              <w:rPr>
                <w:rFonts w:cstheme="minorHAnsi"/>
                <w:sz w:val="22"/>
                <w:shd w:val="clear" w:color="auto" w:fill="FFFFFF"/>
                <w:lang w:val="en-US"/>
              </w:rPr>
              <w:t xml:space="preserve">progression free survival </w:t>
            </w:r>
            <w:r w:rsidR="00856DD4">
              <w:rPr>
                <w:rFonts w:eastAsia="Times New Roman"/>
                <w:sz w:val="22"/>
                <w:lang w:eastAsia="da-DK"/>
              </w:rPr>
              <w:fldChar w:fldCharType="begin" w:fldLock="1"/>
            </w:r>
            <w:r w:rsidR="00930057">
              <w:rPr>
                <w:rFonts w:eastAsia="Times New Roman"/>
                <w:sz w:val="22"/>
                <w:lang w:eastAsia="da-DK"/>
              </w:rPr>
              <w:instrText>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val="en-US" w:eastAsia="da-DK"/>
              </w:rPr>
              <w:t>[6]</w:t>
            </w:r>
            <w:r w:rsidR="00856DD4">
              <w:rPr>
                <w:rFonts w:eastAsia="Times New Roman"/>
                <w:sz w:val="22"/>
                <w:lang w:eastAsia="da-DK"/>
              </w:rPr>
              <w:fldChar w:fldCharType="end"/>
            </w:r>
          </w:p>
        </w:tc>
      </w:tr>
      <w:tr w:rsidR="0041214A" w:rsidRPr="00DC301B" w14:paraId="4715DE5C" w14:textId="77777777" w:rsidTr="00DC301B">
        <w:trPr>
          <w:cantSplit/>
          <w:tblHeader/>
        </w:trPr>
        <w:tc>
          <w:tcPr>
            <w:tcW w:w="2127" w:type="dxa"/>
            <w:shd w:val="clear" w:color="auto" w:fill="FFFFFF"/>
            <w:tcMar>
              <w:top w:w="0" w:type="dxa"/>
              <w:left w:w="0" w:type="dxa"/>
              <w:bottom w:w="0" w:type="dxa"/>
              <w:right w:w="0" w:type="dxa"/>
            </w:tcMar>
          </w:tcPr>
          <w:p w14:paraId="343FEC49"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hsa-miR-27a-3p</w:t>
            </w:r>
          </w:p>
        </w:tc>
        <w:tc>
          <w:tcPr>
            <w:tcW w:w="7087" w:type="dxa"/>
            <w:shd w:val="clear" w:color="auto" w:fill="FFFFFF"/>
            <w:tcMar>
              <w:top w:w="0" w:type="dxa"/>
              <w:left w:w="0" w:type="dxa"/>
              <w:bottom w:w="0" w:type="dxa"/>
              <w:right w:w="0" w:type="dxa"/>
            </w:tcMar>
          </w:tcPr>
          <w:p w14:paraId="13588C95" w14:textId="3B46B7C6" w:rsidR="0041214A" w:rsidRPr="00903089" w:rsidRDefault="0041214A" w:rsidP="00583D01">
            <w:pPr>
              <w:spacing w:before="0" w:after="0" w:line="240" w:lineRule="auto"/>
              <w:ind w:firstLine="0"/>
              <w:rPr>
                <w:rFonts w:eastAsia="Times New Roman" w:cstheme="minorHAnsi"/>
                <w:sz w:val="22"/>
                <w:lang w:val="en-US" w:eastAsia="da-DK"/>
              </w:rPr>
            </w:pPr>
            <w:r w:rsidRPr="00FC049F">
              <w:rPr>
                <w:rFonts w:eastAsia="Times New Roman" w:cstheme="minorHAnsi"/>
                <w:sz w:val="22"/>
                <w:lang w:val="en-US" w:eastAsia="da-DK"/>
              </w:rPr>
              <w:t xml:space="preserve">OS </w:t>
            </w:r>
            <w:r w:rsidR="00FC6626">
              <w:rPr>
                <w:rFonts w:eastAsia="Times New Roman" w:cstheme="minorHAnsi"/>
                <w:sz w:val="22"/>
                <w:lang w:val="en-US" w:eastAsia="da-DK"/>
              </w:rPr>
              <w:fldChar w:fldCharType="begin" w:fldLock="1"/>
            </w:r>
            <w:r w:rsidR="00930057">
              <w:rPr>
                <w:rFonts w:eastAsia="Times New Roman" w:cstheme="minorHAnsi"/>
                <w:sz w:val="22"/>
                <w:lang w:val="en-US" w:eastAsia="da-DK"/>
              </w:rPr>
              <w:instrText>ADDIN CSL_CITATION {"citationItems":[{"id":"ITEM-1","itemData":{"DOI":"10.3892/or.2020.7749","ISSN":"17912431","PMID":"32901854","abstract":"High-grade serous ovarian carcinoma (HGSOC) is one of the most lethal gynecological malignancies; however, the precise molecular mechanisms have not been fully characterized. Fibulin-5 (FBLN-5) is an extracellular matrix (ECM) glycoprotein, and plays a crucial role in maintaining the stability of ECM structures, regulating cell proliferation and tumorigenesis. In the present study, the expression of FBLN-5, as determined by western blot analysis and immunohistochemistry, was significantly increased in normal fallopian tube (FT) samples compared with that in HGSOC samples, and decreased FBLN5 expression was associated with unfavorable prognosis of HGSOC. Functional characterization revealed that FBLN5 overexpression significantly inhibited migration, invasion and proliferation abilities of ovarian cancer cells in vitro. Furthermore, micro (mi)RNA-27a-3p (miR-27a-3p) was revealed to be increased in HGSOC, and dual-luciferase reporter assay indicated that miR-27a-3p was functioned as a negative regulator of FBLN5 by directly binding with its 3'-untranslated region. Collectively, FBLN5 expression was associated with prognosis, proliferation, and metastasis in HGSOC. We hypothesized that FBLN5 was targeted by miR-27a-3p and may serve as a biomarker and provide a new therapeutic approach for the treatment of HGSOC.","author":[{"dropping-particle":"","family":"LI","given":"RONGRONG","non-dropping-particle":"","parse-names":false,"suffix":""},{"dropping-particle":"","family":"WU","given":"HUAN","non-dropping-particle":"","parse-names":false,"suffix":""},{"dropping-particle":"","family":"JIANG","given":"HUIYANG","non-dropping-particle":"","parse-names":false,"suffix":""},{"dropping-particle":"","family":"WANG","given":"QIUMAN","non-dropping-particle":"","parse-names":false,"suffix":""},{"dropping-particle":"","family":"DOU","given":"ZHIYUAN","non-dropping-particle":"","parse-names":false,"suffix":""},{"dropping-particle":"","family":"MA","given":"HANLIN","non-dropping-particle":"","parse-names":false,"suffix":""},{"dropping-particle":"","family":"YAN","given":"SHI","non-dropping-particle":"","parse-names":false,"suffix":""},{"dropping-particle":"","family":"YUAN","given":"CUNZHONG","non-dropping-particle":"","parse-names":false,"suffix":""},{"dropping-particle":"","family":"YANG","given":"NING","non-dropping-particle":"","parse-names":false,"suffix":""},{"dropping-particle":"","family":"KONG","given":"BEIHUA","non-dropping-particle":"","parse-names":false,"suffix":""}],"container-title":"Oncology Reports","id":"ITEM-1","issue":"5","issued":{"date-parts":[["2020"]]},"page":"2143-2151","title":"FBLN5 is targeted by microRNA-27a-3p and suppresses tumorigenesis and progression in high-grade serous ovarian carcinoma","type":"article-journal","volume":"44"},"uris":["http://www.mendeley.com/documents/?uuid=bcd28c31-0d69-4ce4-86bc-c1f567663408"]}],"mendeley":{"formattedCitation":"[20]","plainTextFormattedCitation":"[20]","previouslyFormattedCitation":"[19]"},"properties":{"noteIndex":0},"schema":"https://github.com/citation-style-language/schema/raw/master/csl-citation.json"}</w:instrText>
            </w:r>
            <w:r w:rsidR="00FC6626">
              <w:rPr>
                <w:rFonts w:eastAsia="Times New Roman" w:cstheme="minorHAnsi"/>
                <w:sz w:val="22"/>
                <w:lang w:val="en-US" w:eastAsia="da-DK"/>
              </w:rPr>
              <w:fldChar w:fldCharType="separate"/>
            </w:r>
            <w:r w:rsidR="00930057" w:rsidRPr="00930057">
              <w:rPr>
                <w:rFonts w:eastAsia="Times New Roman" w:cstheme="minorHAnsi"/>
                <w:noProof/>
                <w:sz w:val="22"/>
                <w:lang w:val="en-US" w:eastAsia="da-DK"/>
              </w:rPr>
              <w:t>[20]</w:t>
            </w:r>
            <w:r w:rsidR="00FC6626">
              <w:rPr>
                <w:rFonts w:eastAsia="Times New Roman" w:cstheme="minorHAnsi"/>
                <w:sz w:val="22"/>
                <w:lang w:val="en-US" w:eastAsia="da-DK"/>
              </w:rPr>
              <w:fldChar w:fldCharType="end"/>
            </w:r>
          </w:p>
        </w:tc>
      </w:tr>
      <w:tr w:rsidR="0041214A" w:rsidRPr="00DC301B" w14:paraId="494ED76F" w14:textId="77777777" w:rsidTr="00DC301B">
        <w:trPr>
          <w:cantSplit/>
          <w:tblHeader/>
        </w:trPr>
        <w:tc>
          <w:tcPr>
            <w:tcW w:w="2127" w:type="dxa"/>
            <w:shd w:val="clear" w:color="auto" w:fill="FFFFFF"/>
            <w:tcMar>
              <w:top w:w="0" w:type="dxa"/>
              <w:left w:w="0" w:type="dxa"/>
              <w:bottom w:w="0" w:type="dxa"/>
              <w:right w:w="0" w:type="dxa"/>
            </w:tcMar>
          </w:tcPr>
          <w:p w14:paraId="2D004C09"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hsa-miR-27a-5p</w:t>
            </w:r>
          </w:p>
        </w:tc>
        <w:tc>
          <w:tcPr>
            <w:tcW w:w="7087" w:type="dxa"/>
            <w:shd w:val="clear" w:color="auto" w:fill="FFFFFF"/>
            <w:tcMar>
              <w:top w:w="0" w:type="dxa"/>
              <w:left w:w="0" w:type="dxa"/>
              <w:bottom w:w="0" w:type="dxa"/>
              <w:right w:w="0" w:type="dxa"/>
            </w:tcMar>
          </w:tcPr>
          <w:p w14:paraId="7F71BC39" w14:textId="50DD4A38" w:rsidR="0041214A" w:rsidRPr="00903089" w:rsidRDefault="0041214A" w:rsidP="00583D01">
            <w:pPr>
              <w:spacing w:before="0" w:after="0" w:line="240" w:lineRule="auto"/>
              <w:ind w:firstLine="0"/>
              <w:rPr>
                <w:rFonts w:eastAsia="Times New Roman" w:cstheme="minorHAnsi"/>
                <w:sz w:val="22"/>
                <w:lang w:val="en-US" w:eastAsia="da-DK"/>
              </w:rPr>
            </w:pPr>
            <w:proofErr w:type="spellStart"/>
            <w:r w:rsidRPr="00FC049F">
              <w:rPr>
                <w:rFonts w:eastAsia="Times New Roman" w:cstheme="minorHAnsi"/>
                <w:sz w:val="22"/>
                <w:lang w:val="en-US" w:eastAsia="da-DK"/>
              </w:rPr>
              <w:t>MiRNA:mRNA</w:t>
            </w:r>
            <w:proofErr w:type="spellEnd"/>
            <w:r w:rsidRPr="00FC049F">
              <w:rPr>
                <w:rFonts w:eastAsia="Times New Roman" w:cstheme="minorHAnsi"/>
                <w:sz w:val="22"/>
                <w:lang w:val="en-US" w:eastAsia="da-DK"/>
              </w:rPr>
              <w:t xml:space="preserve"> signatures associated with OS </w:t>
            </w:r>
            <w:r w:rsidR="00856DD4">
              <w:rPr>
                <w:rFonts w:eastAsia="Times New Roman"/>
                <w:sz w:val="22"/>
                <w:lang w:eastAsia="da-DK"/>
              </w:rPr>
              <w:fldChar w:fldCharType="begin" w:fldLock="1"/>
            </w:r>
            <w:r w:rsidR="00930057">
              <w:rPr>
                <w:rFonts w:eastAsia="Times New Roman"/>
                <w:sz w:val="22"/>
                <w:lang w:val="en-US"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val="en-US" w:eastAsia="da-DK"/>
              </w:rPr>
              <w:t>[7]</w:t>
            </w:r>
            <w:r w:rsidR="00856DD4">
              <w:rPr>
                <w:rFonts w:eastAsia="Times New Roman"/>
                <w:sz w:val="22"/>
                <w:lang w:eastAsia="da-DK"/>
              </w:rPr>
              <w:fldChar w:fldCharType="end"/>
            </w:r>
          </w:p>
        </w:tc>
      </w:tr>
      <w:tr w:rsidR="0041214A" w:rsidRPr="00DC301B" w14:paraId="5E4B7B80" w14:textId="77777777" w:rsidTr="00DC301B">
        <w:trPr>
          <w:cantSplit/>
          <w:tblHeader/>
        </w:trPr>
        <w:tc>
          <w:tcPr>
            <w:tcW w:w="2127" w:type="dxa"/>
            <w:shd w:val="clear" w:color="auto" w:fill="FFFFFF"/>
            <w:tcMar>
              <w:top w:w="0" w:type="dxa"/>
              <w:left w:w="0" w:type="dxa"/>
              <w:bottom w:w="0" w:type="dxa"/>
              <w:right w:w="0" w:type="dxa"/>
            </w:tcMar>
          </w:tcPr>
          <w:p w14:paraId="70AB998F"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hsa-miR-34a</w:t>
            </w:r>
          </w:p>
        </w:tc>
        <w:tc>
          <w:tcPr>
            <w:tcW w:w="7087" w:type="dxa"/>
            <w:shd w:val="clear" w:color="auto" w:fill="FFFFFF"/>
            <w:tcMar>
              <w:top w:w="0" w:type="dxa"/>
              <w:left w:w="0" w:type="dxa"/>
              <w:bottom w:w="0" w:type="dxa"/>
              <w:right w:w="0" w:type="dxa"/>
            </w:tcMar>
          </w:tcPr>
          <w:p w14:paraId="022EF3CC" w14:textId="2C88F99B" w:rsidR="0041214A" w:rsidRPr="00903089" w:rsidRDefault="0041214A" w:rsidP="00583D01">
            <w:pPr>
              <w:spacing w:before="0" w:after="0" w:line="240" w:lineRule="auto"/>
              <w:ind w:firstLine="0"/>
              <w:rPr>
                <w:rFonts w:eastAsia="Times New Roman" w:cstheme="minorHAnsi"/>
                <w:sz w:val="22"/>
                <w:lang w:val="en-US" w:eastAsia="da-DK"/>
              </w:rPr>
            </w:pPr>
            <w:r w:rsidRPr="00FC049F">
              <w:rPr>
                <w:rFonts w:eastAsiaTheme="minorHAnsi" w:cstheme="minorHAnsi"/>
                <w:sz w:val="22"/>
                <w:lang w:val="en-US"/>
              </w:rPr>
              <w:t xml:space="preserve">Histologic subtype, </w:t>
            </w:r>
            <w:r w:rsidR="00930057" w:rsidRPr="00930057">
              <w:rPr>
                <w:rFonts w:eastAsiaTheme="minorHAnsi"/>
                <w:sz w:val="22"/>
                <w:lang w:val="en-US"/>
              </w:rPr>
              <w:t xml:space="preserve">Tumor </w:t>
            </w:r>
            <w:r w:rsidRPr="00FC049F">
              <w:rPr>
                <w:rFonts w:eastAsiaTheme="minorHAnsi" w:cstheme="minorHAnsi"/>
                <w:sz w:val="22"/>
                <w:lang w:val="en-US"/>
              </w:rPr>
              <w:t xml:space="preserve">grade, and type I or II </w:t>
            </w:r>
            <w:r w:rsidR="00930057" w:rsidRPr="00930057">
              <w:rPr>
                <w:rFonts w:eastAsiaTheme="minorHAnsi"/>
                <w:sz w:val="22"/>
                <w:lang w:val="en-US"/>
              </w:rPr>
              <w:t xml:space="preserve">Tumor </w:t>
            </w:r>
            <w:r w:rsidR="00856DD4">
              <w:rPr>
                <w:rFonts w:eastAsiaTheme="minorHAnsi"/>
                <w:sz w:val="22"/>
              </w:rPr>
              <w:fldChar w:fldCharType="begin" w:fldLock="1"/>
            </w:r>
            <w:r w:rsidR="00930057">
              <w:rPr>
                <w:rFonts w:eastAsiaTheme="minorHAnsi"/>
                <w:sz w:val="22"/>
                <w:lang w:val="en-US"/>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rPr>
              <w:fldChar w:fldCharType="separate"/>
            </w:r>
            <w:r w:rsidR="00930057" w:rsidRPr="00930057">
              <w:rPr>
                <w:rFonts w:eastAsiaTheme="minorHAnsi"/>
                <w:noProof/>
                <w:sz w:val="22"/>
                <w:lang w:val="en-US"/>
              </w:rPr>
              <w:t>[8]</w:t>
            </w:r>
            <w:r w:rsidR="00856DD4">
              <w:rPr>
                <w:rFonts w:eastAsiaTheme="minorHAnsi"/>
                <w:sz w:val="22"/>
              </w:rPr>
              <w:fldChar w:fldCharType="end"/>
            </w:r>
          </w:p>
        </w:tc>
      </w:tr>
      <w:tr w:rsidR="0041214A" w:rsidRPr="00DC301B" w14:paraId="2E993499" w14:textId="77777777" w:rsidTr="00DC301B">
        <w:trPr>
          <w:cantSplit/>
          <w:tblHeader/>
        </w:trPr>
        <w:tc>
          <w:tcPr>
            <w:tcW w:w="2127" w:type="dxa"/>
            <w:shd w:val="clear" w:color="auto" w:fill="FFFFFF"/>
            <w:tcMar>
              <w:top w:w="0" w:type="dxa"/>
              <w:left w:w="0" w:type="dxa"/>
              <w:bottom w:w="0" w:type="dxa"/>
              <w:right w:w="0" w:type="dxa"/>
            </w:tcMar>
          </w:tcPr>
          <w:p w14:paraId="10CDC5A8"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hsa-miR-455-3p</w:t>
            </w:r>
          </w:p>
        </w:tc>
        <w:tc>
          <w:tcPr>
            <w:tcW w:w="7087" w:type="dxa"/>
            <w:shd w:val="clear" w:color="auto" w:fill="FFFFFF"/>
            <w:tcMar>
              <w:top w:w="0" w:type="dxa"/>
              <w:left w:w="0" w:type="dxa"/>
              <w:bottom w:w="0" w:type="dxa"/>
              <w:right w:w="0" w:type="dxa"/>
            </w:tcMar>
          </w:tcPr>
          <w:p w14:paraId="41247494" w14:textId="2C367A24" w:rsidR="0041214A" w:rsidRPr="00903089" w:rsidRDefault="0041214A" w:rsidP="00583D01">
            <w:pPr>
              <w:spacing w:before="0" w:after="0" w:line="240" w:lineRule="auto"/>
              <w:ind w:firstLine="0"/>
              <w:rPr>
                <w:rFonts w:eastAsiaTheme="minorHAnsi" w:cstheme="minorHAnsi"/>
                <w:sz w:val="22"/>
                <w:lang w:val="en-US"/>
              </w:rPr>
            </w:pPr>
            <w:r w:rsidRPr="00FC049F">
              <w:rPr>
                <w:rFonts w:eastAsiaTheme="minorHAnsi" w:cstheme="minorHAnsi"/>
                <w:sz w:val="22"/>
                <w:lang w:val="en-US"/>
              </w:rPr>
              <w:t xml:space="preserve">Histologic subtype, type I or II </w:t>
            </w:r>
            <w:r w:rsidR="00930057" w:rsidRPr="00930057">
              <w:rPr>
                <w:rFonts w:eastAsiaTheme="minorHAnsi"/>
                <w:sz w:val="22"/>
                <w:lang w:val="en-US"/>
              </w:rPr>
              <w:t xml:space="preserve">Tumor </w:t>
            </w:r>
            <w:r w:rsidR="00856DD4">
              <w:rPr>
                <w:rFonts w:eastAsiaTheme="minorHAnsi"/>
                <w:sz w:val="22"/>
              </w:rPr>
              <w:fldChar w:fldCharType="begin" w:fldLock="1"/>
            </w:r>
            <w:r w:rsidR="00930057">
              <w:rPr>
                <w:rFonts w:eastAsiaTheme="minorHAnsi"/>
                <w:sz w:val="22"/>
                <w:lang w:val="en-US"/>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rPr>
              <w:fldChar w:fldCharType="separate"/>
            </w:r>
            <w:r w:rsidR="00930057" w:rsidRPr="00930057">
              <w:rPr>
                <w:rFonts w:eastAsiaTheme="minorHAnsi"/>
                <w:noProof/>
                <w:sz w:val="22"/>
                <w:lang w:val="en-US"/>
              </w:rPr>
              <w:t>[8]</w:t>
            </w:r>
            <w:r w:rsidR="00856DD4">
              <w:rPr>
                <w:rFonts w:eastAsiaTheme="minorHAnsi"/>
                <w:sz w:val="22"/>
              </w:rPr>
              <w:fldChar w:fldCharType="end"/>
            </w:r>
          </w:p>
        </w:tc>
      </w:tr>
      <w:tr w:rsidR="0041214A" w:rsidRPr="0041214A" w14:paraId="29C2C5F6" w14:textId="77777777" w:rsidTr="00DC301B">
        <w:trPr>
          <w:cantSplit/>
          <w:tblHeader/>
        </w:trPr>
        <w:tc>
          <w:tcPr>
            <w:tcW w:w="2127" w:type="dxa"/>
            <w:shd w:val="clear" w:color="auto" w:fill="FFFFFF"/>
            <w:tcMar>
              <w:top w:w="0" w:type="dxa"/>
              <w:left w:w="0" w:type="dxa"/>
              <w:bottom w:w="0" w:type="dxa"/>
              <w:right w:w="0" w:type="dxa"/>
            </w:tcMar>
          </w:tcPr>
          <w:p w14:paraId="46839B76"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hsa-miR-486-5p</w:t>
            </w:r>
          </w:p>
        </w:tc>
        <w:tc>
          <w:tcPr>
            <w:tcW w:w="7087" w:type="dxa"/>
            <w:shd w:val="clear" w:color="auto" w:fill="FFFFFF"/>
            <w:tcMar>
              <w:top w:w="0" w:type="dxa"/>
              <w:left w:w="0" w:type="dxa"/>
              <w:bottom w:w="0" w:type="dxa"/>
              <w:right w:w="0" w:type="dxa"/>
            </w:tcMar>
          </w:tcPr>
          <w:p w14:paraId="41EFDB74" w14:textId="2C68B43A" w:rsidR="0041214A" w:rsidRPr="00903089" w:rsidRDefault="0041214A" w:rsidP="00583D01">
            <w:pPr>
              <w:spacing w:before="0" w:after="0" w:line="240" w:lineRule="auto"/>
              <w:ind w:firstLine="0"/>
              <w:rPr>
                <w:rFonts w:eastAsiaTheme="minorHAnsi" w:cstheme="minorHAnsi"/>
                <w:sz w:val="22"/>
                <w:lang w:val="en-US"/>
              </w:rPr>
            </w:pPr>
            <w:proofErr w:type="spellStart"/>
            <w:r w:rsidRPr="00FC049F">
              <w:rPr>
                <w:rFonts w:eastAsia="Times New Roman" w:cstheme="minorHAnsi"/>
                <w:sz w:val="22"/>
                <w:lang w:val="en-US" w:eastAsia="da-DK"/>
              </w:rPr>
              <w:t>MiRNA:mRNA</w:t>
            </w:r>
            <w:proofErr w:type="spellEnd"/>
            <w:r w:rsidRPr="00FC049F">
              <w:rPr>
                <w:rFonts w:eastAsia="Times New Roman" w:cstheme="minorHAnsi"/>
                <w:sz w:val="22"/>
                <w:lang w:val="en-US" w:eastAsia="da-DK"/>
              </w:rPr>
              <w:t xml:space="preserve"> signatures associated with OS </w:t>
            </w:r>
            <w:r w:rsidR="00856DD4">
              <w:rPr>
                <w:rFonts w:eastAsia="Times New Roman"/>
                <w:sz w:val="22"/>
                <w:lang w:eastAsia="da-DK"/>
              </w:rPr>
              <w:fldChar w:fldCharType="begin" w:fldLock="1"/>
            </w:r>
            <w:r w:rsidR="00930057">
              <w:rPr>
                <w:rFonts w:eastAsia="Times New Roman"/>
                <w:sz w:val="22"/>
                <w:lang w:val="en-US"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eastAsia="da-DK"/>
              </w:rPr>
              <w:t>[7]</w:t>
            </w:r>
            <w:r w:rsidR="00856DD4">
              <w:rPr>
                <w:rFonts w:eastAsia="Times New Roman"/>
                <w:sz w:val="22"/>
                <w:lang w:eastAsia="da-DK"/>
              </w:rPr>
              <w:fldChar w:fldCharType="end"/>
            </w:r>
          </w:p>
        </w:tc>
      </w:tr>
      <w:tr w:rsidR="0041214A" w:rsidRPr="0041214A" w14:paraId="09774CEC" w14:textId="77777777" w:rsidTr="00DC301B">
        <w:trPr>
          <w:cantSplit/>
          <w:tblHeader/>
        </w:trPr>
        <w:tc>
          <w:tcPr>
            <w:tcW w:w="2127" w:type="dxa"/>
            <w:shd w:val="clear" w:color="auto" w:fill="FFFFFF"/>
            <w:tcMar>
              <w:top w:w="0" w:type="dxa"/>
              <w:left w:w="0" w:type="dxa"/>
              <w:bottom w:w="0" w:type="dxa"/>
              <w:right w:w="0" w:type="dxa"/>
            </w:tcMar>
          </w:tcPr>
          <w:p w14:paraId="30313986"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hsa-miR-506-3p</w:t>
            </w:r>
          </w:p>
        </w:tc>
        <w:tc>
          <w:tcPr>
            <w:tcW w:w="7087" w:type="dxa"/>
            <w:shd w:val="clear" w:color="auto" w:fill="FFFFFF"/>
            <w:tcMar>
              <w:top w:w="0" w:type="dxa"/>
              <w:left w:w="0" w:type="dxa"/>
              <w:bottom w:w="0" w:type="dxa"/>
              <w:right w:w="0" w:type="dxa"/>
            </w:tcMar>
          </w:tcPr>
          <w:p w14:paraId="6B788445" w14:textId="5E81A231" w:rsidR="0041214A" w:rsidRPr="00903089" w:rsidRDefault="0041214A" w:rsidP="00583D01">
            <w:pPr>
              <w:spacing w:before="0" w:after="0" w:line="240" w:lineRule="auto"/>
              <w:ind w:firstLine="0"/>
              <w:rPr>
                <w:rFonts w:eastAsia="Times New Roman" w:cstheme="minorHAnsi"/>
                <w:sz w:val="22"/>
                <w:lang w:val="en-US" w:eastAsia="da-DK"/>
              </w:rPr>
            </w:pPr>
            <w:proofErr w:type="spellStart"/>
            <w:r w:rsidRPr="00FC049F">
              <w:rPr>
                <w:rFonts w:eastAsia="Times New Roman" w:cstheme="minorHAnsi"/>
                <w:sz w:val="22"/>
                <w:lang w:val="en-US" w:eastAsia="da-DK"/>
              </w:rPr>
              <w:t>MiRNA:mRNA</w:t>
            </w:r>
            <w:proofErr w:type="spellEnd"/>
            <w:r w:rsidRPr="00FC049F">
              <w:rPr>
                <w:rFonts w:eastAsia="Times New Roman" w:cstheme="minorHAnsi"/>
                <w:sz w:val="22"/>
                <w:lang w:val="en-US" w:eastAsia="da-DK"/>
              </w:rPr>
              <w:t xml:space="preserve"> signatures associated with OS </w:t>
            </w:r>
            <w:r w:rsidR="00856DD4">
              <w:rPr>
                <w:rFonts w:eastAsia="Times New Roman"/>
                <w:sz w:val="22"/>
                <w:lang w:eastAsia="da-DK"/>
              </w:rPr>
              <w:fldChar w:fldCharType="begin" w:fldLock="1"/>
            </w:r>
            <w:r w:rsidR="00930057">
              <w:rPr>
                <w:rFonts w:eastAsia="Times New Roman"/>
                <w:sz w:val="22"/>
                <w:lang w:val="en-US"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eastAsia="da-DK"/>
              </w:rPr>
              <w:t>[7]</w:t>
            </w:r>
            <w:r w:rsidR="00856DD4">
              <w:rPr>
                <w:rFonts w:eastAsia="Times New Roman"/>
                <w:sz w:val="22"/>
                <w:lang w:eastAsia="da-DK"/>
              </w:rPr>
              <w:fldChar w:fldCharType="end"/>
            </w:r>
          </w:p>
        </w:tc>
      </w:tr>
      <w:tr w:rsidR="0041214A" w:rsidRPr="00856DD4" w14:paraId="3503EA4D" w14:textId="77777777" w:rsidTr="00DC301B">
        <w:trPr>
          <w:cantSplit/>
          <w:tblHeader/>
        </w:trPr>
        <w:tc>
          <w:tcPr>
            <w:tcW w:w="2127" w:type="dxa"/>
            <w:shd w:val="clear" w:color="auto" w:fill="FFFFFF"/>
            <w:tcMar>
              <w:top w:w="0" w:type="dxa"/>
              <w:left w:w="0" w:type="dxa"/>
              <w:bottom w:w="0" w:type="dxa"/>
              <w:right w:w="0" w:type="dxa"/>
            </w:tcMar>
          </w:tcPr>
          <w:p w14:paraId="40CEA4F8"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hsa-miR-595</w:t>
            </w:r>
          </w:p>
        </w:tc>
        <w:tc>
          <w:tcPr>
            <w:tcW w:w="7087" w:type="dxa"/>
            <w:shd w:val="clear" w:color="auto" w:fill="FFFFFF"/>
            <w:tcMar>
              <w:top w:w="0" w:type="dxa"/>
              <w:left w:w="0" w:type="dxa"/>
              <w:bottom w:w="0" w:type="dxa"/>
              <w:right w:w="0" w:type="dxa"/>
            </w:tcMar>
          </w:tcPr>
          <w:p w14:paraId="529B9084" w14:textId="4B5A9300" w:rsidR="0041214A" w:rsidRPr="00903089" w:rsidRDefault="0041214A" w:rsidP="00583D01">
            <w:pPr>
              <w:spacing w:before="0" w:after="0" w:line="240" w:lineRule="auto"/>
              <w:ind w:firstLine="0"/>
              <w:rPr>
                <w:rFonts w:eastAsia="Times New Roman" w:cstheme="minorHAnsi"/>
                <w:sz w:val="22"/>
                <w:lang w:val="en-US" w:eastAsia="da-DK"/>
              </w:rPr>
            </w:pPr>
            <w:r w:rsidRPr="00FC049F">
              <w:rPr>
                <w:rFonts w:eastAsiaTheme="minorHAnsi" w:cstheme="minorHAnsi"/>
                <w:sz w:val="22"/>
                <w:lang w:val="en-US"/>
              </w:rPr>
              <w:t>Advanced FIGO stage</w:t>
            </w:r>
            <w:r w:rsidR="00856DD4">
              <w:rPr>
                <w:rFonts w:eastAsiaTheme="minorHAnsi"/>
                <w:sz w:val="22"/>
              </w:rPr>
              <w:fldChar w:fldCharType="begin" w:fldLock="1"/>
            </w:r>
            <w:r w:rsidR="00930057">
              <w:rPr>
                <w:rFonts w:eastAsiaTheme="minorHAnsi"/>
                <w:sz w:val="22"/>
              </w:rPr>
              <w:instrText>ADDIN CSL_CITATION {"citationItems":[{"id":"ITEM-1","itemData":{"DOI":"10.1371/journal.pone.0252401","ISBN":"1111111111","ISSN":"19326203","PMID":"34086724","abstract":"The purpose of the current study was to clarify differences in microRNA expression according to clinicopathological characteristics, and to investigate if miRNA profiles could predict cytoreductive outcome in patients with FIGO stage IIIC and IV ovarian cancer. Patients enrolled in the Pelvic Mass study between 2004 and 2010, diagnosed and surgically treated for epithelial ovarian cancer, were used for investigation. MicroRNA was profiled from tumour tissue with global microRNA microarray analysis. Differences in miRNA expression profiles were analysed according to histologic subtype, FIGO stage, tumour grade, type I or II tumours and result of primary cytoreductive surgery. One microRNA, miR-130a, which was found to be associated with serous histology and advanced FIGO stage, was also validated using data from external cohorts. Another seven microRNAs (miR-34a, miR-455-3p, miR-595, miR-1301, miR-146-5p, 193a-5p, miR-939) were found to be significantly associated with the clinicopathological characteristics (p ≤ 0.001), in our data, but mere not similarly significant when tested against external cohorts. Further validation in comparable cohorts, with microRNA profiled using newest and similar methods are warranted.","author":[{"dropping-particle":"","family":"Prahm","given":"Kira Philipsen","non-dropping-particle":"","parse-names":false,"suffix":""},{"dropping-particle":"","family":"Høgdall","given":"Claus Kim","non-dropping-particle":"","parse-names":false,"suffix":""},{"dropping-particle":"","family":"Karlsen","given":"Mona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ONE","id":"ITEM-1","issue":"6 June","issued":{"date-parts":[["2021"]]},"page":"1-18","title":"MicroRNA characteristics in epithelial ovarian cancer","type":"article-journal","volume":"16"},"uris":["http://www.mendeley.com/documents/?uuid=189b78bd-21a8-459b-bcd3-fdc666ecd904"]}],"mendeley":{"formattedCitation":"[8]","plainTextFormattedCitation":"[8]","previouslyFormattedCitation":"[7]"},"properties":{"noteIndex":0},"schema":"https://github.com/citation-style-language/schema/raw/master/csl-citation.json"}</w:instrText>
            </w:r>
            <w:r w:rsidR="00856DD4">
              <w:rPr>
                <w:rFonts w:eastAsiaTheme="minorHAnsi"/>
                <w:sz w:val="22"/>
              </w:rPr>
              <w:fldChar w:fldCharType="separate"/>
            </w:r>
            <w:r w:rsidR="00930057" w:rsidRPr="00930057">
              <w:rPr>
                <w:rFonts w:eastAsiaTheme="minorHAnsi"/>
                <w:noProof/>
                <w:sz w:val="22"/>
              </w:rPr>
              <w:t>[8]</w:t>
            </w:r>
            <w:r w:rsidR="00856DD4">
              <w:rPr>
                <w:rFonts w:eastAsiaTheme="minorHAnsi"/>
                <w:sz w:val="22"/>
              </w:rPr>
              <w:fldChar w:fldCharType="end"/>
            </w:r>
          </w:p>
        </w:tc>
      </w:tr>
      <w:tr w:rsidR="0041214A" w:rsidRPr="00856DD4" w14:paraId="78A9385C" w14:textId="77777777" w:rsidTr="00DC301B">
        <w:trPr>
          <w:cantSplit/>
          <w:tblHeader/>
        </w:trPr>
        <w:tc>
          <w:tcPr>
            <w:tcW w:w="2127" w:type="dxa"/>
            <w:shd w:val="clear" w:color="auto" w:fill="FFFFFF"/>
            <w:tcMar>
              <w:top w:w="0" w:type="dxa"/>
              <w:left w:w="0" w:type="dxa"/>
              <w:bottom w:w="0" w:type="dxa"/>
              <w:right w:w="0" w:type="dxa"/>
            </w:tcMar>
          </w:tcPr>
          <w:p w14:paraId="72405759"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hsa-miR-665</w:t>
            </w:r>
          </w:p>
        </w:tc>
        <w:tc>
          <w:tcPr>
            <w:tcW w:w="7087" w:type="dxa"/>
            <w:shd w:val="clear" w:color="auto" w:fill="FFFFFF"/>
            <w:tcMar>
              <w:top w:w="0" w:type="dxa"/>
              <w:left w:w="0" w:type="dxa"/>
              <w:bottom w:w="0" w:type="dxa"/>
              <w:right w:w="0" w:type="dxa"/>
            </w:tcMar>
          </w:tcPr>
          <w:p w14:paraId="2963E732" w14:textId="0CF582D2" w:rsidR="0041214A" w:rsidRPr="00903089" w:rsidRDefault="0041214A" w:rsidP="00583D01">
            <w:pPr>
              <w:spacing w:before="0" w:after="0" w:line="240" w:lineRule="auto"/>
              <w:ind w:firstLine="0"/>
              <w:rPr>
                <w:rFonts w:eastAsiaTheme="minorHAnsi" w:cstheme="minorHAnsi"/>
                <w:sz w:val="22"/>
                <w:lang w:val="en-US"/>
              </w:rPr>
            </w:pPr>
            <w:r w:rsidRPr="00FC049F">
              <w:rPr>
                <w:rFonts w:eastAsia="Times New Roman" w:cstheme="minorHAnsi"/>
                <w:sz w:val="22"/>
                <w:lang w:val="en-US" w:eastAsia="da-DK"/>
              </w:rPr>
              <w:t xml:space="preserve">OS </w:t>
            </w:r>
            <w:r w:rsidR="00856DD4">
              <w:rPr>
                <w:rFonts w:eastAsia="Times New Roman"/>
                <w:sz w:val="22"/>
                <w:lang w:eastAsia="da-DK"/>
              </w:rPr>
              <w:fldChar w:fldCharType="begin" w:fldLock="1"/>
            </w:r>
            <w:r w:rsidR="00930057">
              <w:rPr>
                <w:rFonts w:eastAsia="Times New Roman"/>
                <w:sz w:val="22"/>
                <w:lang w:eastAsia="da-DK"/>
              </w:rPr>
              <w:instrText>ADDIN CSL_CITATION {"citationItems":[{"id":"ITEM-1","itemData":{"DOI":"10.1371/journal.pone.0255142","ISBN":"1111111111","ISSN":"19326203","PMID":"34320033","abstract":"Ovarian cancer (OC), the eighth-leading cause of cancer-related death among females worldwide, is mainly represented by epithelial OC (EOC) that can be further subdivided into four subtypes: Serous (75%), endometrioid (10%), clear cell (10%), and mucinous (3%). Major reasons for high mortality are the poor biological understanding of the OC mechanisms and a lack of reliable markers defining each EOC subtype. MicroRNAs (miRNAs) are small non-coding RNA molecules that regulate gene expression primarily by targeting messenger RNA (mRNA) transcripts. Their aberrant expression patterns have been associated with cancer development, including OC. However, the role of miRNAs in tumorigenesis is still to be determined, mainly due to the lack of consensus regarding optimal methodologies for identification and validation of miRNAs and their targets. Several tools for computational target prediction exist, but false interpretations remain a problem. The experimental validation of every potential miRNA-mRNA pair is not feasible, as it is laborious and expensive. In this study, we analyzed the correlation between global miRNA and mRNA expression patterns derived from microarray profiling of 197 EOC patients to identify the signatures of miRNA-mRNA interactions associated with overall survival (OS). The aim was to investigate whether these miRNA-mRNA signatures might have a prognostic value for OS in different subtypes of EOC. The content of our cohort (162 serous carcinomas, 15 endometrioid carcinomas, 11 mucinous carcinomas, and 9 clear cell carcinomas) reflects a real-world scenario of EOC. Several interaction pairs between 6 miRNAs (hsamiR- 126-3p, hsa-miR-223-3p, hsa-miR-23a-5p, hsa-miR-27a-5p, hsa-miR-486-5p, and hsamiR- 506-3p) and 8 mRNAs (ATF3, CH25H, EMP1, HBB, HBEGF, NAMPT, POSTN, and PROCR) were identified and the findings appear to be well supported by the literature. This indicates that our study has a potential to reveal miRNA-mRNA signatures relevant for EOC. Thus,the evaluation on independent cohorts will further evaluate the performance of such findings.","author":[{"dropping-particle":"","family":"Lopacinska-Jørgensen","given":"Joanna","non-dropping-particle":"","parse-names":false,"suffix":""},{"dropping-particle":"","family":"Oliveira","given":"Douglas V.N.P.","non-dropping-particle":"","parse-names":false,"suffix":""},{"dropping-particle":"","family":"Novotny","given":"Guy Wayne","non-dropping-particle":"","parse-names":false,"suffix":""},{"dropping-particle":"","family":"Høgdall","given":"Claus K.","non-dropping-particle":"","parse-names":false,"suffix":""},{"dropping-particle":"V.","family":"Høgdall","given":"Estrid","non-dropping-particle":"","parse-names":false,"suffix":""}],"container-title":"PLoS ONE","id":"ITEM-1","issue":"7 July","issued":{"date-parts":[["2021"]]},"page":"1-15","title":"Integrated microRNA and mRNA signatures associated with overall survival in epithelial ovarian cancer","type":"article-journal","volume":"16"},"uris":["http://www.mendeley.com/documents/?uuid=103603e3-74e4-4203-95cd-3a8204dce64a"]}],"mendeley":{"formattedCitation":"[7]","plainTextFormattedCitation":"[7]","previouslyFormattedCitation":"[6]"},"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eastAsia="da-DK"/>
              </w:rPr>
              <w:t>[7]</w:t>
            </w:r>
            <w:r w:rsidR="00856DD4">
              <w:rPr>
                <w:rFonts w:eastAsia="Times New Roman"/>
                <w:sz w:val="22"/>
                <w:lang w:eastAsia="da-DK"/>
              </w:rPr>
              <w:fldChar w:fldCharType="end"/>
            </w:r>
          </w:p>
        </w:tc>
      </w:tr>
      <w:tr w:rsidR="0041214A" w:rsidRPr="00DC301B" w14:paraId="5F52D5D3" w14:textId="77777777" w:rsidTr="00DC301B">
        <w:trPr>
          <w:cantSplit/>
          <w:tblHeader/>
        </w:trPr>
        <w:tc>
          <w:tcPr>
            <w:tcW w:w="2127" w:type="dxa"/>
            <w:tcBorders>
              <w:bottom w:val="single" w:sz="12" w:space="0" w:color="auto"/>
            </w:tcBorders>
            <w:shd w:val="clear" w:color="auto" w:fill="FFFFFF"/>
            <w:tcMar>
              <w:top w:w="0" w:type="dxa"/>
              <w:left w:w="0" w:type="dxa"/>
              <w:bottom w:w="0" w:type="dxa"/>
              <w:right w:w="0" w:type="dxa"/>
            </w:tcMar>
          </w:tcPr>
          <w:p w14:paraId="0EE42167" w14:textId="77777777" w:rsidR="0041214A" w:rsidRPr="004560B3" w:rsidRDefault="0041214A" w:rsidP="00583D01">
            <w:pPr>
              <w:pStyle w:val="TextTable"/>
              <w:framePr w:hSpace="0" w:wrap="auto" w:vAnchor="margin" w:hAnchor="text" w:yAlign="inline"/>
              <w:spacing w:before="0" w:after="0"/>
              <w:rPr>
                <w:sz w:val="22"/>
                <w:szCs w:val="22"/>
              </w:rPr>
            </w:pPr>
            <w:r w:rsidRPr="00903089">
              <w:rPr>
                <w:sz w:val="22"/>
                <w:szCs w:val="22"/>
              </w:rPr>
              <w:t>hsa-miR-802</w:t>
            </w:r>
          </w:p>
        </w:tc>
        <w:tc>
          <w:tcPr>
            <w:tcW w:w="7087" w:type="dxa"/>
            <w:tcBorders>
              <w:bottom w:val="single" w:sz="12" w:space="0" w:color="auto"/>
            </w:tcBorders>
            <w:shd w:val="clear" w:color="auto" w:fill="FFFFFF"/>
            <w:tcMar>
              <w:top w:w="0" w:type="dxa"/>
              <w:left w:w="0" w:type="dxa"/>
              <w:bottom w:w="0" w:type="dxa"/>
              <w:right w:w="0" w:type="dxa"/>
            </w:tcMar>
          </w:tcPr>
          <w:p w14:paraId="60E2292F" w14:textId="104C3888" w:rsidR="0041214A" w:rsidRPr="00FC049F" w:rsidRDefault="0041214A" w:rsidP="00583D01">
            <w:pPr>
              <w:spacing w:before="0" w:after="0" w:line="240" w:lineRule="auto"/>
              <w:ind w:firstLine="0"/>
              <w:rPr>
                <w:rFonts w:eastAsia="Times New Roman" w:cstheme="minorHAnsi"/>
                <w:sz w:val="22"/>
                <w:lang w:val="en-US" w:eastAsia="da-DK"/>
              </w:rPr>
            </w:pPr>
            <w:r w:rsidRPr="00FC049F">
              <w:rPr>
                <w:rFonts w:cstheme="minorHAnsi"/>
                <w:sz w:val="22"/>
                <w:shd w:val="clear" w:color="auto" w:fill="FFFFFF"/>
                <w:lang w:val="en-US"/>
              </w:rPr>
              <w:t xml:space="preserve">Time to progression </w:t>
            </w:r>
            <w:r w:rsidR="00856DD4">
              <w:rPr>
                <w:rFonts w:eastAsia="Times New Roman"/>
                <w:sz w:val="22"/>
                <w:lang w:eastAsia="da-DK"/>
              </w:rPr>
              <w:fldChar w:fldCharType="begin" w:fldLock="1"/>
            </w:r>
            <w:r w:rsidR="00930057">
              <w:rPr>
                <w:rFonts w:eastAsia="Times New Roman"/>
                <w:sz w:val="22"/>
                <w:lang w:val="en-US" w:eastAsia="da-DK"/>
              </w:rPr>
              <w:instrText>ADDIN CSL_CITATION {"citationItems":[{"id":"ITEM-1","itemData":{"DOI":"10.1371/journal.pone.0207319","ISSN":"19326203","PMID":"30475821","abstract":"Background Ovarian cancer is the leading cause of death by gynecologic cancers in the Western world. The aim of the study was to identify microRNAs (miRNAs) associated with prognosis and/or resistance to chemotherapy among patients with epithelial ovarian cancer. Methods Using information from the Pelvic Mass Study we identified a cohort of women with epithelial ovarian cancer. Tumor tissues were then collected and analyzed by global miRNA microarrays. MiRNA profiling was then linked to survival and time to progression using Cox proportional-hazards regression models. Logistic regression models were used for the analysis of resistance to chemotherapy. Our results were validated using external datasets retrieved from the NCBI Gene Expression Omnibus database. Results A total of 197 patients with epithelial ovarian cancer were included for miRNA microarray analysis. In multivariate analyses we identified a number of miRNAs significantly correlated with overall survival (miR-1183 (HR: 1.42, 95% CI:1.17–1.74, p = 0.0005), miR-126-3p (HR: 1.38, 95% CI:1.11–1.71, p = 0.0036), time to progression (miR-139-3p (HR: 1.48, 95% CI: 1.13–1.94, p = 0.0047), miR-802 (HR: 0.48, 95% CI: 0.29–0.78, p = 0.0035)), progression free survival (miR-23a-5p (HR:1.32, 95% CI:1.09–1.61, p = 0.004), miR-23a-3p (HR:1.70, 95% CI:1.15–2.51, p = 0.0074), miR-802 (HR: 0.48, 95% CI: 0.29–0.80, p = 0.0048)), and resistance to chemotherapy (miR-1234 (HR: 0.26, 95% CI: 0.11–0.64, p = 0.003)). A few miRNAs identified in our training cohort, were validated in external cohorts with similar results. Conclusion Eight miRNAs were identified as significant predictors of overall survival, progression free survival, time to progression, and chemotherapy resistance. A number of these miRNAs were significantly validated using external datasets. Inter-platform and inter-laboratory variations may have influence on the ability to compare and reproduce miRNA results. The use of miRNAs as potential markers of relapse and survival in ovarian cancer warrants further investigation.","author":[{"dropping-particle":"","family":"Prahm","given":"Kira Philipsen","non-dropping-particle":"","parse-names":false,"suffix":""},{"dropping-particle":"","family":"Høgdall","given":"Claus","non-dropping-particle":"","parse-names":false,"suffix":""},{"dropping-particle":"","family":"Karlsen","given":"Mona Aarenstrup","non-dropping-particle":"","parse-names":false,"suffix":""},{"dropping-particle":"","family":"Christensen","given":"Ib Jarle","non-dropping-particle":"","parse-names":false,"suffix":""},{"dropping-particle":"","family":"Novotny","given":"Guy Wayne","non-dropping-particle":"","parse-names":false,"suffix":""},{"dropping-particle":"","family":"Høgdall","given":"Estrid","non-dropping-particle":"","parse-names":false,"suffix":""}],"container-title":"PLoS ONE","editor":[{"dropping-particle":"","family":"Ahmad","given":"Aamir","non-dropping-particle":"","parse-names":false,"suffix":""}],"id":"ITEM-1","issue":"11","issued":{"date-parts":[["2018","11","26"]]},"page":"e0207319","title":"Identification and validation of potential prognostic and predictive miRNAs of epithelial ovarian cancer","type":"article-journal","volume":"13"},"uris":["http://www.mendeley.com/documents/?uuid=587488b1-872a-463c-8298-2a6c28f5bb1b"]}],"mendeley":{"formattedCitation":"[6]","plainTextFormattedCitation":"[6]","previouslyFormattedCitation":"[5]"},"properties":{"noteIndex":0},"schema":"https://github.com/citation-style-language/schema/raw/master/csl-citation.json"}</w:instrText>
            </w:r>
            <w:r w:rsidR="00856DD4">
              <w:rPr>
                <w:rFonts w:eastAsia="Times New Roman"/>
                <w:sz w:val="22"/>
                <w:lang w:eastAsia="da-DK"/>
              </w:rPr>
              <w:fldChar w:fldCharType="separate"/>
            </w:r>
            <w:r w:rsidR="00930057" w:rsidRPr="00930057">
              <w:rPr>
                <w:rFonts w:eastAsia="Times New Roman"/>
                <w:noProof/>
                <w:sz w:val="22"/>
                <w:lang w:val="en-US" w:eastAsia="da-DK"/>
              </w:rPr>
              <w:t>[6]</w:t>
            </w:r>
            <w:r w:rsidR="00856DD4">
              <w:rPr>
                <w:rFonts w:eastAsia="Times New Roman"/>
                <w:sz w:val="22"/>
                <w:lang w:eastAsia="da-DK"/>
              </w:rPr>
              <w:fldChar w:fldCharType="end"/>
            </w:r>
            <w:r w:rsidRPr="00903089">
              <w:rPr>
                <w:rFonts w:cstheme="minorHAnsi"/>
                <w:sz w:val="22"/>
                <w:shd w:val="clear" w:color="auto" w:fill="FFFFFF"/>
                <w:lang w:val="en-US"/>
              </w:rPr>
              <w:t xml:space="preserve">, </w:t>
            </w:r>
            <w:r w:rsidRPr="004560B3">
              <w:rPr>
                <w:rFonts w:eastAsia="Times New Roman" w:cstheme="minorHAnsi"/>
                <w:sz w:val="22"/>
                <w:lang w:val="en-US" w:eastAsia="da-DK"/>
              </w:rPr>
              <w:t xml:space="preserve">progression free survival </w:t>
            </w:r>
            <w:r w:rsidR="00930057">
              <w:rPr>
                <w:rFonts w:eastAsia="Times New Roman" w:cstheme="minorHAnsi"/>
                <w:sz w:val="22"/>
                <w:lang w:val="en-US" w:eastAsia="da-DK"/>
              </w:rPr>
              <w:fldChar w:fldCharType="begin" w:fldLock="1"/>
            </w:r>
            <w:r w:rsidR="00930057">
              <w:rPr>
                <w:rFonts w:eastAsia="Times New Roman" w:cstheme="minorHAnsi"/>
                <w:sz w:val="22"/>
                <w:lang w:val="en-US" w:eastAsia="da-DK"/>
              </w:rPr>
              <w:instrText>ADDIN CSL_CITATION {"citationItems":[{"id":"ITEM-1","itemData":{"DOI":"10.1002/ijc.31937","ISSN":"10970215","PMID":"30350310","abstract":"Estimates of the worldwide incidence and mortality from 36 cancers and for all cancers combined for the year 2018 are now available in the GLOBOCAN 2018 database, compiled and disseminated by the International Agency for Research on Cancer (IARC). This paper reviews the sources and methods used in compiling the cancer statistics in 185 countries. The validity of the national estimates depends upon the representativeness of the source information, and to take into account possible sources of bias, uncertainty intervals are now provided for the estimated sex- and site-specific all-ages number of new cancer cases and cancer deaths. We briefly describe the key results globally and by world region. There were an estimated 18.1 million (95% UI: 17.5–18.7 million) new cases of cancer (17 million excluding non-melanoma skin cancer) and 9.6 million (95% UI: 9.3–9.8 million) deaths from cancer (9.5 million excluding non-melanoma skin cancer) worldwide in 2018.","author":[{"dropping-particle":"","family":"Ferlay","given":"J.","non-dropping-particle":"","parse-names":false,"suffix":""},{"dropping-particle":"","family":"Colombet","given":"M.","non-dropping-particle":"","parse-names":false,"suffix":""},{"dropping-particle":"","family":"Soerjomataram","given":"I.","non-dropping-particle":"","parse-names":false,"suffix":""},{"dropping-particle":"","family":"Mathers","given":"C.","non-dropping-particle":"","parse-names":false,"suffix":""},{"dropping-particle":"","family":"Parkin","given":"D. M.","non-dropping-particle":"","parse-names":false,"suffix":""},{"dropping-particle":"","family":"Piñeros","given":"M.","non-dropping-particle":"","parse-names":false,"suffix":""},{"dropping-particle":"","family":"Znaor","given":"A.","non-dropping-particle":"","parse-names":false,"suffix":""},{"dropping-particle":"","family":"Bray","given":"F.","non-dropping-particle":"","parse-names":false,"suffix":""}],"container-title":"International Journal of Cancer","id":"ITEM-1","issue":"8","issued":{"date-parts":[["2019"]]},"page":"1941-1953","title":"Estimating the global cancer incidence and mortality in 2018: GLOBOCAN sources and methods","type":"article-journal","volume":"144"},"uris":["http://www.mendeley.com/documents/?uuid=43c8404f-94d1-46be-b287-b9b265d9cffc"]}],"mendeley":{"formattedCitation":"[21]","plainTextFormattedCitation":"[21]","previouslyFormattedCitation":"[20]"},"properties":{"noteIndex":0},"schema":"https://github.com/citation-style-language/schema/raw/master/csl-citation.json"}</w:instrText>
            </w:r>
            <w:r w:rsidR="00930057">
              <w:rPr>
                <w:rFonts w:eastAsia="Times New Roman" w:cstheme="minorHAnsi"/>
                <w:sz w:val="22"/>
                <w:lang w:val="en-US" w:eastAsia="da-DK"/>
              </w:rPr>
              <w:fldChar w:fldCharType="separate"/>
            </w:r>
            <w:r w:rsidR="00930057" w:rsidRPr="00930057">
              <w:rPr>
                <w:rFonts w:eastAsia="Times New Roman" w:cstheme="minorHAnsi"/>
                <w:noProof/>
                <w:sz w:val="22"/>
                <w:lang w:val="en-US" w:eastAsia="da-DK"/>
              </w:rPr>
              <w:t>[21]</w:t>
            </w:r>
            <w:r w:rsidR="00930057">
              <w:rPr>
                <w:rFonts w:eastAsia="Times New Roman" w:cstheme="minorHAnsi"/>
                <w:sz w:val="22"/>
                <w:lang w:val="en-US" w:eastAsia="da-DK"/>
              </w:rPr>
              <w:fldChar w:fldCharType="end"/>
            </w:r>
          </w:p>
        </w:tc>
      </w:tr>
    </w:tbl>
    <w:p w14:paraId="6A6A4A32" w14:textId="77777777" w:rsidR="001229FA" w:rsidRDefault="00930057" w:rsidP="00930057">
      <w:pPr>
        <w:spacing w:line="240" w:lineRule="auto"/>
        <w:ind w:firstLine="0"/>
        <w:rPr>
          <w:color w:val="231F20"/>
          <w:sz w:val="20"/>
          <w:szCs w:val="20"/>
          <w:lang w:val="en-US"/>
        </w:rPr>
      </w:pPr>
      <w:r w:rsidRPr="00903089">
        <w:rPr>
          <w:vertAlign w:val="superscript"/>
          <w:lang w:val="en-US"/>
        </w:rPr>
        <w:t>1</w:t>
      </w:r>
      <w:r w:rsidRPr="004560B3">
        <w:rPr>
          <w:color w:val="231F20"/>
          <w:sz w:val="20"/>
          <w:szCs w:val="20"/>
          <w:lang w:val="en-US"/>
        </w:rPr>
        <w:t xml:space="preserve">OS – overall survival in months, </w:t>
      </w:r>
      <w:r w:rsidRPr="00FC049F">
        <w:rPr>
          <w:color w:val="231F20"/>
          <w:sz w:val="20"/>
          <w:szCs w:val="20"/>
          <w:vertAlign w:val="superscript"/>
          <w:lang w:val="en-US"/>
        </w:rPr>
        <w:t>2</w:t>
      </w:r>
      <w:r w:rsidRPr="00FC049F">
        <w:rPr>
          <w:color w:val="231F20"/>
          <w:sz w:val="20"/>
          <w:szCs w:val="20"/>
          <w:lang w:val="en-US"/>
        </w:rPr>
        <w:t xml:space="preserve">EOC – epithelial ovarian carcinoma, </w:t>
      </w:r>
      <w:r w:rsidRPr="00904F13">
        <w:rPr>
          <w:color w:val="231F20"/>
          <w:sz w:val="20"/>
          <w:szCs w:val="20"/>
          <w:vertAlign w:val="superscript"/>
          <w:lang w:val="en-US"/>
        </w:rPr>
        <w:t>3</w:t>
      </w:r>
      <w:r w:rsidRPr="00904F13">
        <w:rPr>
          <w:color w:val="231F20"/>
          <w:sz w:val="20"/>
          <w:szCs w:val="20"/>
          <w:lang w:val="en-US"/>
        </w:rPr>
        <w:t>FIGO – International Federation of Gynecology and Obstetrics staging</w:t>
      </w:r>
      <w:r w:rsidR="001229FA">
        <w:rPr>
          <w:color w:val="231F20"/>
          <w:sz w:val="20"/>
          <w:szCs w:val="20"/>
          <w:lang w:val="en-US"/>
        </w:rPr>
        <w:t>.</w:t>
      </w:r>
    </w:p>
    <w:p w14:paraId="11EB6217" w14:textId="1F93211E" w:rsidR="00930057" w:rsidRPr="00DC301B" w:rsidRDefault="001229FA" w:rsidP="00930057">
      <w:pPr>
        <w:spacing w:line="240" w:lineRule="auto"/>
        <w:ind w:firstLine="0"/>
        <w:rPr>
          <w:color w:val="231F20"/>
          <w:sz w:val="20"/>
          <w:szCs w:val="20"/>
          <w:lang w:val="en-US"/>
        </w:rPr>
      </w:pPr>
      <w:r w:rsidRPr="00DC301B">
        <w:rPr>
          <w:color w:val="231F20"/>
          <w:sz w:val="20"/>
          <w:szCs w:val="20"/>
          <w:lang w:val="en-US"/>
        </w:rPr>
        <w:t xml:space="preserve">Reprinted from Lopacinska-Jørgensen et al. 2023 </w:t>
      </w:r>
      <w:r w:rsidRPr="001229FA">
        <w:rPr>
          <w:color w:val="231F20"/>
          <w:sz w:val="20"/>
          <w:szCs w:val="20"/>
          <w:lang w:val="en-US"/>
        </w:rPr>
        <w:fldChar w:fldCharType="begin" w:fldLock="1"/>
      </w:r>
      <w:r w:rsidRPr="00DC301B">
        <w:rPr>
          <w:color w:val="231F20"/>
          <w:sz w:val="20"/>
          <w:szCs w:val="20"/>
          <w:lang w:val="en-US"/>
        </w:rPr>
        <w:instrText xml:space="preserve">ADDIN CSL_CITATION {"citationItems":[{"id":"ITEM-1","itemData":{"DOI":"10.1371/journal.pone.0282576","ISSN":"1932-6203","abstract":"MicroRNAs (miRNAs) are small non-coding RNA molecules regulating gene expression with diagnostic potential in different diseases, including epithelial ovarian carcinomas (EOC). As only a few studies have been published on the identification of stable endogenous miRNA in EOC, there is no consensus which miRNAs should be used aiming standardization. Currently, U6-snRNA is widely adopted as a normalization control in RT-qPCR when investigating miRNAs in EOC; despite its variable expression across cancers being reported. Therefore, our goal was to compare different missing data and normalization approaches to investigate their impact on the choice of stable endogenous controls and subsequent survival analysis while performing expression analysis of miRNAs by RT-qPCR in most frequent subtype of EOC: high-grade serous carcinoma (HGSC). 40 miRNAs were included based on their potential as stable endogenous controls or as biomarkers in EOC. Following RNA extraction from formalin-fixed paraffin embedded tissues from 63 HGSC patients, RT-qPCR was performed with a custom panel covering 40 target miRNAs and 8 controls. The raw data was analyzed by applying various </w:instrText>
      </w:r>
      <w:r w:rsidRPr="001229FA">
        <w:rPr>
          <w:color w:val="231F20"/>
          <w:sz w:val="20"/>
          <w:szCs w:val="20"/>
        </w:rPr>
        <w:instrText xml:space="preserve">strategies regarding choosing stable endogenous controls (geNorm, BestKeeper, NormFinder, the comparative </w:instrText>
      </w:r>
      <w:r w:rsidRPr="001229FA">
        <w:rPr>
          <w:color w:val="231F20"/>
          <w:sz w:val="20"/>
          <w:szCs w:val="20"/>
          <w:lang w:val="en-US"/>
        </w:rPr>
        <w:instrText>Δ</w:instrText>
      </w:r>
      <w:r w:rsidRPr="001229FA">
        <w:rPr>
          <w:color w:val="231F20"/>
          <w:sz w:val="20"/>
          <w:szCs w:val="20"/>
        </w:rPr>
        <w:instrText>Ct method and RefFinder), missing data (single/multiple imputation), and normalization (endogenous miRNA controls, U6-snRNA or global mean). Based on our study, we propose hsa-miR-23a-3p and hsa-miR-193a-5p, but not U6-snRNA as endogenous controls in HGSC patients. Our findings are validated in two external cohorts retrieved from the NCBI Gene Expression Omnibus database. We present that the outcome of stability analysis depends on the histological composition of the cohort, and it might suggest unique pattern of miRNA stability profiles for each subtype of EOC. Moreover, our data demonstrates the challenge of miRNA data analys</w:instrText>
      </w:r>
      <w:r w:rsidRPr="00DC301B">
        <w:rPr>
          <w:color w:val="231F20"/>
          <w:sz w:val="20"/>
          <w:szCs w:val="20"/>
          <w:lang w:val="en-US"/>
        </w:rPr>
        <w:instrText>is by presenting various outcomes from normalization and missing data imputation strategies on survival analysis.","author":[{"dropping-particle":"","family":"Lopacinska-Jørgensen","given":"Joanna","non-dropping-particle":"","parse-names":false,"suffix":""},{"dropping-particle":"","family":"Petersen","given":"Patrick H. D.","non-dropping-particle":"","parse-names":false,"suffix":""},{"dropping-particle":"","family":"Oliveira","given":"Douglas V. N. P.","non-dropping-particle":"","parse-names":false,"suffix":""},{"dropping-particle":"","family":"Høgdall","given":"Claus K.","non-dropping-particle":"","parse-names":false,"suffix":""},{"dropping-particle":"V","family":"Høgdall","given":"Estrid","non-dropping-particle":"","parse-names":false,"suffix":""}],"container-title":"PLOS ONE","editor":[{"dropping-particle":"","family":"Andrés-León","given":"Eduardo","non-dropping-particle":"","parse-names":false,"suffix":""}],"id":"ITEM-1","issue":"5","issued":{"date-parts":[["2023","5","4"]]},"page":"e0282576","title":"Strategies for data normalization and missing data imputation and consequences for potential diagnostic microRNA biomarkers in epithelial ovarian cancer","type":"article-journal","volume":"18"},"uris":["http://www.mendeley.com/documents/?uuid=15e7a18d-1891-4e14-9f14-26d94c57eb3d"]}],"mendeley":{"formattedCitation":"[1]","plainTextFormattedCitation":"[1]"},"properties":{"noteIndex":0},"schema":"https://github.com/citation-style-language/schema/raw/master/csl-citation.json"}</w:instrText>
      </w:r>
      <w:r w:rsidRPr="001229FA">
        <w:rPr>
          <w:color w:val="231F20"/>
          <w:sz w:val="20"/>
          <w:szCs w:val="20"/>
          <w:lang w:val="en-US"/>
        </w:rPr>
        <w:fldChar w:fldCharType="separate"/>
      </w:r>
      <w:r w:rsidRPr="00DC301B">
        <w:rPr>
          <w:color w:val="231F20"/>
          <w:sz w:val="20"/>
          <w:szCs w:val="20"/>
          <w:lang w:val="en-US"/>
        </w:rPr>
        <w:t>[1]</w:t>
      </w:r>
      <w:r w:rsidRPr="001229FA">
        <w:rPr>
          <w:color w:val="231F20"/>
          <w:sz w:val="20"/>
          <w:szCs w:val="20"/>
          <w:lang w:val="en-US"/>
        </w:rPr>
        <w:fldChar w:fldCharType="end"/>
      </w:r>
      <w:r w:rsidRPr="00DC301B">
        <w:rPr>
          <w:color w:val="231F20"/>
          <w:sz w:val="20"/>
          <w:szCs w:val="20"/>
          <w:lang w:val="en-US"/>
        </w:rPr>
        <w:t>.</w:t>
      </w:r>
    </w:p>
    <w:p w14:paraId="72F1E57E" w14:textId="2DFDFBE6" w:rsidR="00930057" w:rsidRPr="00DC301B" w:rsidRDefault="00930057">
      <w:pPr>
        <w:rPr>
          <w:lang w:val="en-US"/>
        </w:rPr>
      </w:pPr>
    </w:p>
    <w:p w14:paraId="03B5838B" w14:textId="77777777" w:rsidR="00930057" w:rsidRPr="00DC301B" w:rsidRDefault="00930057">
      <w:pPr>
        <w:spacing w:before="0" w:after="160" w:line="259" w:lineRule="auto"/>
        <w:ind w:firstLine="0"/>
        <w:jc w:val="left"/>
        <w:rPr>
          <w:lang w:val="en-US"/>
        </w:rPr>
      </w:pPr>
      <w:r w:rsidRPr="00DC301B">
        <w:rPr>
          <w:lang w:val="en-US"/>
        </w:rPr>
        <w:br w:type="page"/>
      </w:r>
    </w:p>
    <w:p w14:paraId="3685528F" w14:textId="1779F7FA" w:rsidR="00222B4C" w:rsidRDefault="00222B4C" w:rsidP="00930057">
      <w:pPr>
        <w:widowControl w:val="0"/>
        <w:autoSpaceDE w:val="0"/>
        <w:autoSpaceDN w:val="0"/>
        <w:adjustRightInd w:val="0"/>
        <w:ind w:left="640" w:hanging="640"/>
        <w:rPr>
          <w:lang w:val="en-US"/>
        </w:rPr>
      </w:pPr>
      <w:r>
        <w:rPr>
          <w:lang w:val="en-US"/>
        </w:rPr>
        <w:lastRenderedPageBreak/>
        <w:t>References</w:t>
      </w:r>
    </w:p>
    <w:p w14:paraId="0FB14E13" w14:textId="7B819D88"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Pr>
          <w:lang w:val="en-US"/>
        </w:rPr>
        <w:fldChar w:fldCharType="begin" w:fldLock="1"/>
      </w:r>
      <w:r>
        <w:rPr>
          <w:lang w:val="en-US"/>
        </w:rPr>
        <w:instrText xml:space="preserve">ADDIN Mendeley Bibliography CSL_BIBLIOGRAPHY </w:instrText>
      </w:r>
      <w:r>
        <w:rPr>
          <w:lang w:val="en-US"/>
        </w:rPr>
        <w:fldChar w:fldCharType="separate"/>
      </w:r>
      <w:r w:rsidRPr="001229FA">
        <w:rPr>
          <w:rFonts w:ascii="Calibri" w:hAnsi="Calibri" w:cs="Calibri"/>
          <w:noProof/>
          <w:szCs w:val="24"/>
          <w:lang w:val="en-US"/>
        </w:rPr>
        <w:t>[1]</w:t>
      </w:r>
      <w:r w:rsidRPr="001229FA">
        <w:rPr>
          <w:rFonts w:ascii="Calibri" w:hAnsi="Calibri" w:cs="Calibri"/>
          <w:noProof/>
          <w:szCs w:val="24"/>
          <w:lang w:val="en-US"/>
        </w:rPr>
        <w:tab/>
        <w:t>Lopacinska-Jørgensen J, Petersen PHD, Oliveira DVNP, Høgdall CK, Høgdall E V. Strategies for data normalization and missing data imputation and consequences for potential diagnostic microRNA biomarkers in epithelial ovarian cancer. PLoS One 2023;18:e0282576. https://doi.org/10.1371/journal.pone.0282576.</w:t>
      </w:r>
    </w:p>
    <w:p w14:paraId="200CF736"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[2]</w:t>
      </w:r>
      <w:r w:rsidRPr="001229FA">
        <w:rPr>
          <w:rFonts w:ascii="Calibri" w:hAnsi="Calibri" w:cs="Calibri"/>
          <w:noProof/>
          <w:szCs w:val="24"/>
          <w:lang w:val="en-US"/>
        </w:rPr>
        <w:tab/>
        <w:t>Bignotti E, Calza S, Tassi RA, Zanotti L, Bandiera E, Sartori E, et al. Identification of stably expressed reference small non-coding RNAs for microRNA quantification in high-grade serous ovarian carcinoma tissues. J Cell Mol Med 2016;20:2341–8. https://doi.org/10.1111/jcmm.12927.</w:t>
      </w:r>
    </w:p>
    <w:p w14:paraId="2C7490F6"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[3]</w:t>
      </w:r>
      <w:r w:rsidRPr="001229FA">
        <w:rPr>
          <w:rFonts w:ascii="Calibri" w:hAnsi="Calibri" w:cs="Calibri"/>
          <w:noProof/>
          <w:szCs w:val="24"/>
          <w:lang w:val="en-US"/>
        </w:rPr>
        <w:tab/>
        <w:t>Lopacinska-Joergensen J, Oliveira DVNP, Hoegdall CK, Hoegdall E V. Identification of Stably Expressed Reference microRNAs in Epithelial Ovarian Cancer. In Vivo 2022;36:1059–66. https://doi.org/10.21873/invivo.12803.</w:t>
      </w:r>
    </w:p>
    <w:p w14:paraId="0EE9E5A4"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[4]</w:t>
      </w:r>
      <w:r w:rsidRPr="001229FA">
        <w:rPr>
          <w:rFonts w:ascii="Calibri" w:hAnsi="Calibri" w:cs="Calibri"/>
          <w:noProof/>
          <w:szCs w:val="24"/>
          <w:lang w:val="en-US"/>
        </w:rPr>
        <w:tab/>
        <w:t>Yokoi A, Matsuzaki J, Yamamoto Y, Yoneoka Y, Takahashi K, Shimizu H, et al. Integrated extracellular microRNA profiling for ovarian cancer screening. Nat Commun 2018;9:2–6. https://doi.org/10.1038/s41467-018-06434-4.</w:t>
      </w:r>
    </w:p>
    <w:p w14:paraId="3E1B87DD"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[5]</w:t>
      </w:r>
      <w:r w:rsidRPr="001229FA">
        <w:rPr>
          <w:rFonts w:ascii="Calibri" w:hAnsi="Calibri" w:cs="Calibri"/>
          <w:noProof/>
          <w:szCs w:val="24"/>
          <w:lang w:val="en-US"/>
        </w:rPr>
        <w:tab/>
        <w:t>Jiang W, Pan JJ, Deng YH, Liang MR, Yao LH. Down-regulated serum microRNA-101 is associated with aggressive progression and poor prognosis of cervical cancer. J Gynecol Oncol 2017;28:1–10. https://doi.org/10.3802/jgo.2017.28.e75.</w:t>
      </w:r>
    </w:p>
    <w:p w14:paraId="41380778"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[6]</w:t>
      </w:r>
      <w:r w:rsidRPr="001229FA">
        <w:rPr>
          <w:rFonts w:ascii="Calibri" w:hAnsi="Calibri" w:cs="Calibri"/>
          <w:noProof/>
          <w:szCs w:val="24"/>
          <w:lang w:val="en-US"/>
        </w:rPr>
        <w:tab/>
        <w:t>Prahm KP, Høgdall C, Karlsen MA, Christensen IJ, Novotny GW, Høgdall E. Identification and validation of potential prognostic and predictive miRNAs of epithelial ovarian cancer. PLoS One 2018;13:e0207319. https://doi.org/10.1371/journal.pone.0207319.</w:t>
      </w:r>
    </w:p>
    <w:p w14:paraId="1D836CCC"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lastRenderedPageBreak/>
        <w:t>[7]</w:t>
      </w:r>
      <w:r w:rsidRPr="001229FA">
        <w:rPr>
          <w:rFonts w:ascii="Calibri" w:hAnsi="Calibri" w:cs="Calibri"/>
          <w:noProof/>
          <w:szCs w:val="24"/>
          <w:lang w:val="en-US"/>
        </w:rPr>
        <w:tab/>
        <w:t>Lopacinska-Jørgensen J, Oliveira DVNP, Novotny GW, Høgdall CK, Høgdall E V. Integrated microRNA and mRNA signatures associated with overall survival in epithelial ovarian cancer. PLoS One 2021;16:1–15. https://doi.org/10.1371/journal.pone.0255142.</w:t>
      </w:r>
    </w:p>
    <w:p w14:paraId="55F19EA8"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[8]</w:t>
      </w:r>
      <w:r w:rsidRPr="001229FA">
        <w:rPr>
          <w:rFonts w:ascii="Calibri" w:hAnsi="Calibri" w:cs="Calibri"/>
          <w:noProof/>
          <w:szCs w:val="24"/>
          <w:lang w:val="en-US"/>
        </w:rPr>
        <w:tab/>
        <w:t>Prahm KP, Høgdall CK, Karlsen MA, Christensen IJ, Novotny GW, Høgdall E. MicroRNA characteristics in epithelial ovarian cancer. PLoS One 2021;16:1–18. https://doi.org/10.1371/journal.pone.0252401.</w:t>
      </w:r>
    </w:p>
    <w:p w14:paraId="316076FD"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[9]</w:t>
      </w:r>
      <w:r w:rsidRPr="001229FA">
        <w:rPr>
          <w:rFonts w:ascii="Calibri" w:hAnsi="Calibri" w:cs="Calibri"/>
          <w:noProof/>
          <w:szCs w:val="24"/>
          <w:lang w:val="en-US"/>
        </w:rPr>
        <w:tab/>
        <w:t>Zhong C, Dong Y, Zhang Q, Yuan C, Duan S. Aberrant Expression of miR-1301 in Human Cancer. Front Oncol 2022;11:1–13. https://doi.org/10.3389/fonc.2021.789626.</w:t>
      </w:r>
    </w:p>
    <w:p w14:paraId="5CC18739"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[10]</w:t>
      </w:r>
      <w:r w:rsidRPr="001229FA">
        <w:rPr>
          <w:rFonts w:ascii="Calibri" w:hAnsi="Calibri" w:cs="Calibri"/>
          <w:noProof/>
          <w:szCs w:val="24"/>
          <w:lang w:val="en-US"/>
        </w:rPr>
        <w:tab/>
        <w:t>Tang W, Jiang Y, Mu X, Xu L, Cheng W, Wang X. MiR-135a functions as a tumor suppressor in epithelial ovarian cancer and regulates HOXA10 expression. Cell Signal 2014;26:1420–6. https://doi.org/10.1016/j.cellsig.2014.03.002.</w:t>
      </w:r>
    </w:p>
    <w:p w14:paraId="076D8235" w14:textId="77777777" w:rsidR="00930057" w:rsidRPr="00930057" w:rsidRDefault="00930057" w:rsidP="00930057">
      <w:pPr>
        <w:widowControl w:val="0"/>
        <w:autoSpaceDE w:val="0"/>
        <w:autoSpaceDN w:val="0"/>
        <w:adjustRightInd w:val="0"/>
        <w:ind w:left="640" w:hanging="640"/>
        <w:rPr>
          <w:rFonts w:ascii="Calibri" w:hAnsi="Calibri" w:cs="Calibri"/>
          <w:noProof/>
          <w:szCs w:val="24"/>
        </w:rPr>
      </w:pPr>
      <w:r w:rsidRPr="001229FA">
        <w:rPr>
          <w:rFonts w:ascii="Calibri" w:hAnsi="Calibri" w:cs="Calibri"/>
          <w:noProof/>
          <w:szCs w:val="24"/>
          <w:lang w:val="en-US"/>
        </w:rPr>
        <w:t>[11]</w:t>
      </w:r>
      <w:r w:rsidRPr="001229FA">
        <w:rPr>
          <w:rFonts w:ascii="Calibri" w:hAnsi="Calibri" w:cs="Calibri"/>
          <w:noProof/>
          <w:szCs w:val="24"/>
          <w:lang w:val="en-US"/>
        </w:rPr>
        <w:tab/>
        <w:t xml:space="preserve">Fukagawa S, Miyata K, Yotsumoto F, Kiyoshima C, Nam SO, Anan H, et al. MicroRNA-135a-3p as a promising biomarker and nucleic acid therapeutic agent for ovarian cancer. </w:t>
      </w:r>
      <w:r w:rsidRPr="00930057">
        <w:rPr>
          <w:rFonts w:ascii="Calibri" w:hAnsi="Calibri" w:cs="Calibri"/>
          <w:noProof/>
          <w:szCs w:val="24"/>
        </w:rPr>
        <w:t>Cancer Sci 2017;108:886–96. https://doi.org/10.1111/cas.13210.</w:t>
      </w:r>
    </w:p>
    <w:p w14:paraId="0F28DF55"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930057">
        <w:rPr>
          <w:rFonts w:ascii="Calibri" w:hAnsi="Calibri" w:cs="Calibri"/>
          <w:noProof/>
          <w:szCs w:val="24"/>
        </w:rPr>
        <w:t>[12]</w:t>
      </w:r>
      <w:r w:rsidRPr="00930057">
        <w:rPr>
          <w:rFonts w:ascii="Calibri" w:hAnsi="Calibri" w:cs="Calibri"/>
          <w:noProof/>
          <w:szCs w:val="24"/>
        </w:rPr>
        <w:tab/>
        <w:t xml:space="preserve">Shi M, Mu Y, Zhang H, Liu M, Wan J, Qin X, et al. </w:t>
      </w:r>
      <w:r w:rsidRPr="001229FA">
        <w:rPr>
          <w:rFonts w:ascii="Calibri" w:hAnsi="Calibri" w:cs="Calibri"/>
          <w:noProof/>
          <w:szCs w:val="24"/>
          <w:lang w:val="en-US"/>
        </w:rPr>
        <w:t>MicroRNA-200 and microRNA-30 family as prognostic molecular signatures in ovarian cancer: A meta-analysis. Med (United States) 2018;97:1–9. https://doi.org/10.1097/MD.0000000000011505.</w:t>
      </w:r>
    </w:p>
    <w:p w14:paraId="2E0C7C92" w14:textId="77777777" w:rsidR="00930057" w:rsidRPr="00930057" w:rsidRDefault="00930057" w:rsidP="00930057">
      <w:pPr>
        <w:widowControl w:val="0"/>
        <w:autoSpaceDE w:val="0"/>
        <w:autoSpaceDN w:val="0"/>
        <w:adjustRightInd w:val="0"/>
        <w:ind w:left="640" w:hanging="640"/>
        <w:rPr>
          <w:rFonts w:ascii="Calibri" w:hAnsi="Calibri" w:cs="Calibri"/>
          <w:noProof/>
          <w:szCs w:val="24"/>
        </w:rPr>
      </w:pPr>
      <w:r w:rsidRPr="001229FA">
        <w:rPr>
          <w:rFonts w:ascii="Calibri" w:hAnsi="Calibri" w:cs="Calibri"/>
          <w:noProof/>
          <w:szCs w:val="24"/>
          <w:lang w:val="en-US"/>
        </w:rPr>
        <w:t>[13]</w:t>
      </w:r>
      <w:r w:rsidRPr="001229FA">
        <w:rPr>
          <w:rFonts w:ascii="Calibri" w:hAnsi="Calibri" w:cs="Calibri"/>
          <w:noProof/>
          <w:szCs w:val="24"/>
          <w:lang w:val="en-US"/>
        </w:rPr>
        <w:tab/>
        <w:t xml:space="preserve">Sharma PC, Gupta A. MicroRNAs: Potential biomarkers for diagnosis and prognosis of different cancers. </w:t>
      </w:r>
      <w:r w:rsidRPr="00930057">
        <w:rPr>
          <w:rFonts w:ascii="Calibri" w:hAnsi="Calibri" w:cs="Calibri"/>
          <w:noProof/>
          <w:szCs w:val="24"/>
        </w:rPr>
        <w:t>Transl Cancer Res 2020;9:5798–818. https://doi.org/10.21037/tcr-20-1294.</w:t>
      </w:r>
    </w:p>
    <w:p w14:paraId="3013CBD3"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930057">
        <w:rPr>
          <w:rFonts w:ascii="Calibri" w:hAnsi="Calibri" w:cs="Calibri"/>
          <w:noProof/>
          <w:szCs w:val="24"/>
        </w:rPr>
        <w:t>[14]</w:t>
      </w:r>
      <w:r w:rsidRPr="00930057">
        <w:rPr>
          <w:rFonts w:ascii="Calibri" w:hAnsi="Calibri" w:cs="Calibri"/>
          <w:noProof/>
          <w:szCs w:val="24"/>
        </w:rPr>
        <w:tab/>
        <w:t xml:space="preserve">Tokumaru Y, Asaoka M, Oshi M, Katsuta E, Yan L, Narayanan S, et al. </w:t>
      </w:r>
      <w:r w:rsidRPr="001229FA">
        <w:rPr>
          <w:rFonts w:ascii="Calibri" w:hAnsi="Calibri" w:cs="Calibri"/>
          <w:noProof/>
          <w:szCs w:val="24"/>
          <w:lang w:val="en-US"/>
        </w:rPr>
        <w:t xml:space="preserve">High expression of </w:t>
      </w:r>
      <w:r w:rsidRPr="001229FA">
        <w:rPr>
          <w:rFonts w:ascii="Calibri" w:hAnsi="Calibri" w:cs="Calibri"/>
          <w:noProof/>
          <w:szCs w:val="24"/>
          <w:lang w:val="en-US"/>
        </w:rPr>
        <w:lastRenderedPageBreak/>
        <w:t>microRNA-143 is associated with favorable tumor immune microenvironment and better survival in estrogen receptor positive breast cancer. Int J Mol Sci 2020;21:1–17. https://doi.org/10.3390/ijms21093213.</w:t>
      </w:r>
    </w:p>
    <w:p w14:paraId="027F2EE1"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[15]</w:t>
      </w:r>
      <w:r w:rsidRPr="001229FA">
        <w:rPr>
          <w:rFonts w:ascii="Calibri" w:hAnsi="Calibri" w:cs="Calibri"/>
          <w:noProof/>
          <w:szCs w:val="24"/>
          <w:lang w:val="en-US"/>
        </w:rPr>
        <w:tab/>
        <w:t>Wilczyński M, Żytko E, Szymańska B, Dzieniecka M, Nowak M, Danielska J, et al. Expression of miR-146a in patients with ovarian cancer and its clinical significance. Oncol Lett 2017;14:3207–14. https://doi.org/10.3892/ol.2017.6477.</w:t>
      </w:r>
    </w:p>
    <w:p w14:paraId="64361D51"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[16]</w:t>
      </w:r>
      <w:r w:rsidRPr="001229FA">
        <w:rPr>
          <w:rFonts w:ascii="Calibri" w:hAnsi="Calibri" w:cs="Calibri"/>
          <w:noProof/>
          <w:szCs w:val="24"/>
          <w:lang w:val="en-US"/>
        </w:rPr>
        <w:tab/>
        <w:t>Oliveira DNP, Carlsen AL, Heegaard NHH, Prahm KP, Christensen IJ, Høgdall CK, et al. Diagnostic plasma miRNA-profiles for ovarian cancer in patients with pelvic mass. PLoS One 2019;14:1–15. https://doi.org/10.1371/journal.pone.0225249.</w:t>
      </w:r>
    </w:p>
    <w:p w14:paraId="0B0F9362" w14:textId="77777777" w:rsidR="00930057" w:rsidRPr="00930057" w:rsidRDefault="00930057" w:rsidP="00930057">
      <w:pPr>
        <w:widowControl w:val="0"/>
        <w:autoSpaceDE w:val="0"/>
        <w:autoSpaceDN w:val="0"/>
        <w:adjustRightInd w:val="0"/>
        <w:ind w:left="640" w:hanging="640"/>
        <w:rPr>
          <w:rFonts w:ascii="Calibri" w:hAnsi="Calibri" w:cs="Calibri"/>
          <w:noProof/>
          <w:szCs w:val="24"/>
        </w:rPr>
      </w:pPr>
      <w:r w:rsidRPr="001229FA">
        <w:rPr>
          <w:rFonts w:ascii="Calibri" w:hAnsi="Calibri" w:cs="Calibri"/>
          <w:noProof/>
          <w:szCs w:val="24"/>
          <w:lang w:val="en-US"/>
        </w:rPr>
        <w:t>[17]</w:t>
      </w:r>
      <w:r w:rsidRPr="001229FA">
        <w:rPr>
          <w:rFonts w:ascii="Calibri" w:hAnsi="Calibri" w:cs="Calibri"/>
          <w:noProof/>
          <w:szCs w:val="24"/>
          <w:lang w:val="en-US"/>
        </w:rPr>
        <w:tab/>
        <w:t xml:space="preserve">Wang Q, Ye B, Wang P, Yao F, Zhang C, Yu G. Overview of microRNA-199a regulation in cancer. </w:t>
      </w:r>
      <w:r w:rsidRPr="00930057">
        <w:rPr>
          <w:rFonts w:ascii="Calibri" w:hAnsi="Calibri" w:cs="Calibri"/>
          <w:noProof/>
          <w:szCs w:val="24"/>
        </w:rPr>
        <w:t>Cancer Manag Res 2019;11:10327–35. https://doi.org/10.2147/CMAR.S231971.</w:t>
      </w:r>
    </w:p>
    <w:p w14:paraId="6F95D0BE"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930057">
        <w:rPr>
          <w:rFonts w:ascii="Calibri" w:hAnsi="Calibri" w:cs="Calibri"/>
          <w:noProof/>
          <w:szCs w:val="24"/>
        </w:rPr>
        <w:t>[18]</w:t>
      </w:r>
      <w:r w:rsidRPr="00930057">
        <w:rPr>
          <w:rFonts w:ascii="Calibri" w:hAnsi="Calibri" w:cs="Calibri"/>
          <w:noProof/>
          <w:szCs w:val="24"/>
        </w:rPr>
        <w:tab/>
        <w:t xml:space="preserve">Vilming Elgaaen B, Olstad OK, Haug KBF, Brusletto B, Sandvik L, Staff AC, et al. </w:t>
      </w:r>
      <w:r w:rsidRPr="001229FA">
        <w:rPr>
          <w:rFonts w:ascii="Calibri" w:hAnsi="Calibri" w:cs="Calibri"/>
          <w:noProof/>
          <w:szCs w:val="24"/>
          <w:lang w:val="en-US"/>
        </w:rPr>
        <w:t>Global miRNA expression analysis of serous and clear cell ovarian carcinomas identifies differentially expressed miRNAs including miR-200c-3p as a prognostic marker. BMC Cancer 2014;14:1–13. https://doi.org/10.1186/1471-2407-14-80.</w:t>
      </w:r>
    </w:p>
    <w:p w14:paraId="6176076D" w14:textId="77777777" w:rsidR="00930057" w:rsidRPr="001229FA" w:rsidRDefault="00930057" w:rsidP="00930057">
      <w:pPr>
        <w:widowControl w:val="0"/>
        <w:autoSpaceDE w:val="0"/>
        <w:autoSpaceDN w:val="0"/>
        <w:adjustRightInd w:val="0"/>
        <w:ind w:left="640" w:hanging="640"/>
        <w:rPr>
          <w:rFonts w:ascii="Calibri" w:hAnsi="Calibri" w:cs="Calibri"/>
          <w:noProof/>
          <w:szCs w:val="24"/>
          <w:lang w:val="en-US"/>
        </w:rPr>
      </w:pPr>
      <w:r w:rsidRPr="001229FA">
        <w:rPr>
          <w:rFonts w:ascii="Calibri" w:hAnsi="Calibri" w:cs="Calibri"/>
          <w:noProof/>
          <w:szCs w:val="24"/>
          <w:lang w:val="en-US"/>
        </w:rPr>
        <w:t>[19]</w:t>
      </w:r>
      <w:r w:rsidRPr="001229FA">
        <w:rPr>
          <w:rFonts w:ascii="Calibri" w:hAnsi="Calibri" w:cs="Calibri"/>
          <w:noProof/>
          <w:szCs w:val="24"/>
          <w:lang w:val="en-US"/>
        </w:rPr>
        <w:tab/>
        <w:t>Sujamol S, Vimina ER, Krishnakumar U. Improving Recurrence Prediction Accuracy of Ovarian Cancer Using Multi-phase Feature Selection Methodology. Appl Artif Intell 2021;35:206–26. https://doi.org/10.1080/08839514.2020.1854988.</w:t>
      </w:r>
    </w:p>
    <w:p w14:paraId="0807CAED" w14:textId="77777777" w:rsidR="00930057" w:rsidRPr="00930057" w:rsidRDefault="00930057" w:rsidP="00930057">
      <w:pPr>
        <w:widowControl w:val="0"/>
        <w:autoSpaceDE w:val="0"/>
        <w:autoSpaceDN w:val="0"/>
        <w:adjustRightInd w:val="0"/>
        <w:ind w:left="640" w:hanging="640"/>
        <w:rPr>
          <w:rFonts w:ascii="Calibri" w:hAnsi="Calibri" w:cs="Calibri"/>
          <w:noProof/>
          <w:szCs w:val="24"/>
        </w:rPr>
      </w:pPr>
      <w:r w:rsidRPr="001229FA">
        <w:rPr>
          <w:rFonts w:ascii="Calibri" w:hAnsi="Calibri" w:cs="Calibri"/>
          <w:noProof/>
          <w:szCs w:val="24"/>
          <w:lang w:val="en-US"/>
        </w:rPr>
        <w:t>[20]</w:t>
      </w:r>
      <w:r w:rsidRPr="001229FA">
        <w:rPr>
          <w:rFonts w:ascii="Calibri" w:hAnsi="Calibri" w:cs="Calibri"/>
          <w:noProof/>
          <w:szCs w:val="24"/>
          <w:lang w:val="en-US"/>
        </w:rPr>
        <w:tab/>
        <w:t xml:space="preserve">LI R, WU H, JIANG H, WANG Q, DOU Z, MA H, et al. FBLN5 is targeted by microRNA-27a-3p and suppresses tumorigenesis and progression in high-grade serous ovarian carcinoma. </w:t>
      </w:r>
      <w:r w:rsidRPr="00930057">
        <w:rPr>
          <w:rFonts w:ascii="Calibri" w:hAnsi="Calibri" w:cs="Calibri"/>
          <w:noProof/>
          <w:szCs w:val="24"/>
        </w:rPr>
        <w:t>Oncol Rep 2020;44:2143–51. https://doi.org/10.3892/or.2020.7749.</w:t>
      </w:r>
    </w:p>
    <w:p w14:paraId="2E008FE9" w14:textId="77777777" w:rsidR="00930057" w:rsidRPr="00930057" w:rsidRDefault="00930057" w:rsidP="00930057">
      <w:pPr>
        <w:widowControl w:val="0"/>
        <w:autoSpaceDE w:val="0"/>
        <w:autoSpaceDN w:val="0"/>
        <w:adjustRightInd w:val="0"/>
        <w:ind w:left="640" w:hanging="640"/>
        <w:rPr>
          <w:rFonts w:ascii="Calibri" w:hAnsi="Calibri" w:cs="Calibri"/>
          <w:noProof/>
        </w:rPr>
      </w:pPr>
      <w:r w:rsidRPr="00930057">
        <w:rPr>
          <w:rFonts w:ascii="Calibri" w:hAnsi="Calibri" w:cs="Calibri"/>
          <w:noProof/>
          <w:szCs w:val="24"/>
        </w:rPr>
        <w:lastRenderedPageBreak/>
        <w:t>[21]</w:t>
      </w:r>
      <w:r w:rsidRPr="00930057">
        <w:rPr>
          <w:rFonts w:ascii="Calibri" w:hAnsi="Calibri" w:cs="Calibri"/>
          <w:noProof/>
          <w:szCs w:val="24"/>
        </w:rPr>
        <w:tab/>
        <w:t xml:space="preserve">Ferlay J, Colombet M, Soerjomataram I, Mathers C, Parkin DM, Piñeros M, et al. </w:t>
      </w:r>
      <w:r w:rsidRPr="001229FA">
        <w:rPr>
          <w:rFonts w:ascii="Calibri" w:hAnsi="Calibri" w:cs="Calibri"/>
          <w:noProof/>
          <w:szCs w:val="24"/>
          <w:lang w:val="en-US"/>
        </w:rPr>
        <w:t xml:space="preserve">Estimating the global cancer incidence and mortality in 2018: GLOBOCAN sources and methods. </w:t>
      </w:r>
      <w:r w:rsidRPr="00930057">
        <w:rPr>
          <w:rFonts w:ascii="Calibri" w:hAnsi="Calibri" w:cs="Calibri"/>
          <w:noProof/>
          <w:szCs w:val="24"/>
        </w:rPr>
        <w:t>Int J Cancer 2019;144:1941–53. https://doi.org/10.1002/ijc.31937.</w:t>
      </w:r>
    </w:p>
    <w:p w14:paraId="5518A851" w14:textId="1C0BC5B6" w:rsidR="009826F2" w:rsidRPr="0041214A" w:rsidRDefault="00930057">
      <w:pPr>
        <w:rPr>
          <w:lang w:val="en-US"/>
        </w:rPr>
      </w:pPr>
      <w:r>
        <w:rPr>
          <w:lang w:val="en-US"/>
        </w:rPr>
        <w:fldChar w:fldCharType="end"/>
      </w:r>
    </w:p>
    <w:sectPr w:rsidR="009826F2" w:rsidRPr="0041214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0FF"/>
    <w:rsid w:val="001229FA"/>
    <w:rsid w:val="001E70A3"/>
    <w:rsid w:val="00222B4C"/>
    <w:rsid w:val="0041214A"/>
    <w:rsid w:val="005634DE"/>
    <w:rsid w:val="00856DD4"/>
    <w:rsid w:val="00930057"/>
    <w:rsid w:val="009826F2"/>
    <w:rsid w:val="00A4601D"/>
    <w:rsid w:val="00B552F0"/>
    <w:rsid w:val="00C80950"/>
    <w:rsid w:val="00D0632F"/>
    <w:rsid w:val="00DC301B"/>
    <w:rsid w:val="00E203ED"/>
    <w:rsid w:val="00EF5E1B"/>
    <w:rsid w:val="00F71A4A"/>
    <w:rsid w:val="00FC6626"/>
    <w:rsid w:val="00FD60F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2F7E"/>
  <w15:chartTrackingRefBased/>
  <w15:docId w15:val="{38D8E672-8281-42C4-A66D-A6226F49B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14A"/>
    <w:pPr>
      <w:spacing w:before="120" w:after="120" w:line="480" w:lineRule="auto"/>
      <w:ind w:firstLine="284"/>
      <w:jc w:val="both"/>
    </w:pPr>
    <w:rPr>
      <w:rFonts w:eastAsiaTheme="minorEastAsia"/>
      <w:sz w:val="24"/>
    </w:rPr>
  </w:style>
  <w:style w:type="paragraph" w:styleId="Heading1">
    <w:name w:val="heading 1"/>
    <w:basedOn w:val="Normal"/>
    <w:next w:val="Normal"/>
    <w:link w:val="Heading1Char"/>
    <w:uiPriority w:val="9"/>
    <w:qFormat/>
    <w:rsid w:val="00DC301B"/>
    <w:pPr>
      <w:keepNext/>
      <w:keepLines/>
      <w:spacing w:before="240" w:after="0"/>
      <w:jc w:val="left"/>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able">
    <w:name w:val="TextTable"/>
    <w:basedOn w:val="Normal"/>
    <w:qFormat/>
    <w:rsid w:val="0041214A"/>
    <w:pPr>
      <w:keepNext/>
      <w:framePr w:hSpace="181" w:wrap="notBeside" w:vAnchor="page" w:hAnchor="margin" w:y="3409"/>
      <w:spacing w:before="20" w:after="20" w:line="240" w:lineRule="auto"/>
      <w:ind w:firstLine="0"/>
    </w:pPr>
    <w:rPr>
      <w:rFonts w:eastAsia="Arial" w:cstheme="minorHAnsi"/>
      <w:color w:val="000000"/>
      <w:sz w:val="20"/>
      <w:szCs w:val="20"/>
      <w:lang w:val="en-US"/>
    </w:rPr>
  </w:style>
  <w:style w:type="paragraph" w:styleId="Caption">
    <w:name w:val="caption"/>
    <w:basedOn w:val="Normal"/>
    <w:next w:val="Normal"/>
    <w:uiPriority w:val="35"/>
    <w:unhideWhenUsed/>
    <w:qFormat/>
    <w:rsid w:val="0041214A"/>
    <w:rPr>
      <w:b/>
      <w:bCs/>
      <w:sz w:val="22"/>
      <w:szCs w:val="18"/>
    </w:rPr>
  </w:style>
  <w:style w:type="character" w:customStyle="1" w:styleId="Heading1Char">
    <w:name w:val="Heading 1 Char"/>
    <w:basedOn w:val="DefaultParagraphFont"/>
    <w:link w:val="Heading1"/>
    <w:uiPriority w:val="9"/>
    <w:rsid w:val="00DC301B"/>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C301B"/>
    <w:pPr>
      <w:spacing w:after="0" w:line="240" w:lineRule="auto"/>
      <w:ind w:firstLine="284"/>
    </w:pPr>
    <w:rPr>
      <w:rFonts w:eastAsia="MS Mincho"/>
      <w:sz w:val="24"/>
    </w:rPr>
  </w:style>
  <w:style w:type="character" w:styleId="Hyperlink">
    <w:name w:val="Hyperlink"/>
    <w:basedOn w:val="DefaultParagraphFont"/>
    <w:uiPriority w:val="99"/>
    <w:unhideWhenUsed/>
    <w:rsid w:val="00DC30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estrid.hoegdall@regionh.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8835B-E105-4F03-8A08-E7E9BC46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25811</Words>
  <Characters>147128</Characters>
  <Application>Microsoft Office Word</Application>
  <DocSecurity>0</DocSecurity>
  <Lines>1226</Lines>
  <Paragraphs>345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Hannibal Dalsbo Petersen</dc:creator>
  <cp:keywords/>
  <dc:description/>
  <cp:lastModifiedBy>Patrick Hannibal Dalsbo Petersen</cp:lastModifiedBy>
  <cp:revision>5</cp:revision>
  <dcterms:created xsi:type="dcterms:W3CDTF">2023-07-03T11:46:00Z</dcterms:created>
  <dcterms:modified xsi:type="dcterms:W3CDTF">2023-07-21T10:25:00Z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https://csl.mendeley.com/styles/701744551/apa</vt:lpwstr>
  </property>
  <property fmtid="{D5CDD505-2E9C-101B-9397-08002B2CF9AE}" pid="9" name="Mendeley Recent Style Name 3_1">
    <vt:lpwstr>American Psychological Association 7th edition - Patrick Hannibal Dalsbo Petersen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http://www.zotero.org/styles/anticancer-research</vt:lpwstr>
  </property>
  <property fmtid="{D5CDD505-2E9C-101B-9397-08002B2CF9AE}" pid="13" name="Mendeley Recent Style Name 5_1">
    <vt:lpwstr>Anticancer Research</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http://www.zotero.org/styles/elsevier-vancouver</vt:lpwstr>
  </property>
  <property fmtid="{D5CDD505-2E9C-101B-9397-08002B2CF9AE}" pid="17" name="Mendeley Recent Style Name 7_1">
    <vt:lpwstr>Elsevier - Vancouver</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http://www.zotero.org/styles/springer-basic-brackets-no-et-al</vt:lpwstr>
  </property>
  <property fmtid="{D5CDD505-2E9C-101B-9397-08002B2CF9AE}" pid="21" name="Mendeley Recent Style Name 9_1">
    <vt:lpwstr>Springer - Basic (numeric, brackets, no "et al.")</vt:lpwstr>
  </property>
  <property fmtid="{D5CDD505-2E9C-101B-9397-08002B2CF9AE}" pid="22" name="Mendeley Document_1">
    <vt:lpwstr>True</vt:lpwstr>
  </property>
  <property fmtid="{D5CDD505-2E9C-101B-9397-08002B2CF9AE}" pid="23" name="Mendeley Unique User Id_1">
    <vt:lpwstr>a5cbe3e6-7e97-39e3-9b91-1762c4b87473</vt:lpwstr>
  </property>
  <property fmtid="{D5CDD505-2E9C-101B-9397-08002B2CF9AE}" pid="24" name="Mendeley Citation Style_1">
    <vt:lpwstr>http://www.zotero.org/styles/elsevier-vancouver</vt:lpwstr>
  </property>
</Properties>
</file>