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BAD2B" w14:textId="19660155" w:rsidR="00BE3179" w:rsidRPr="00F46636" w:rsidRDefault="00BE3179" w:rsidP="00BE3179">
      <w:pPr>
        <w:spacing w:line="48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F46636">
        <w:rPr>
          <w:rFonts w:ascii="Times New Roman" w:eastAsiaTheme="minorHAnsi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t>S</w:t>
      </w:r>
      <w:r w:rsidRPr="00F46636">
        <w:rPr>
          <w:rFonts w:ascii="Times New Roman" w:eastAsiaTheme="minorHAnsi" w:hAnsi="Times New Roman" w:cs="Times New Roman"/>
          <w:b/>
          <w:bCs/>
          <w:sz w:val="20"/>
          <w:szCs w:val="20"/>
        </w:rPr>
        <w:t>1. Choosing cellular platforms for LPS-induced neuroinflammation screening.</w:t>
      </w:r>
      <w:r w:rsidRPr="00F46636">
        <w:rPr>
          <w:rFonts w:ascii="Times New Roman" w:eastAsiaTheme="minorHAnsi" w:hAnsi="Times New Roman" w:cs="Times New Roman"/>
          <w:sz w:val="20"/>
          <w:szCs w:val="20"/>
        </w:rPr>
        <w:t xml:space="preserve"> Representative cell lines are summarised with pragmatic strengths, </w:t>
      </w:r>
      <w:proofErr w:type="gramStart"/>
      <w:r w:rsidRPr="00F46636">
        <w:rPr>
          <w:rFonts w:ascii="Times New Roman" w:eastAsiaTheme="minorHAnsi" w:hAnsi="Times New Roman" w:cs="Times New Roman"/>
          <w:sz w:val="20"/>
          <w:szCs w:val="20"/>
        </w:rPr>
        <w:t>limitations</w:t>
      </w:r>
      <w:proofErr w:type="gramEnd"/>
      <w:r w:rsidRPr="00F46636">
        <w:rPr>
          <w:rFonts w:ascii="Times New Roman" w:eastAsiaTheme="minorHAnsi" w:hAnsi="Times New Roman" w:cs="Times New Roman"/>
          <w:sz w:val="20"/>
          <w:szCs w:val="20"/>
        </w:rPr>
        <w:t xml:space="preserve"> and best-fit applications to inform model selection and interpretation; strengths/limitations are synthesised from comparative and methodological literature on microglial culture systems and human immortalised microglia lines and from representative use of THP-1-XBlue™-MD2-CD14 reporter monocytes for TLR4 pathway benchmarking.</w:t>
      </w:r>
    </w:p>
    <w:tbl>
      <w:tblPr>
        <w:tblStyle w:val="PlainTable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2378"/>
        <w:gridCol w:w="2345"/>
        <w:gridCol w:w="2283"/>
      </w:tblGrid>
      <w:tr w:rsidR="00BE3179" w:rsidRPr="00F46636" w14:paraId="7C459A68" w14:textId="77777777" w:rsidTr="002C3B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hideMark/>
          </w:tcPr>
          <w:p w14:paraId="167F4428" w14:textId="77777777" w:rsidR="00BE3179" w:rsidRPr="00F46636" w:rsidRDefault="00BE3179" w:rsidP="002C3BE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Cell line (species)</w:t>
            </w:r>
          </w:p>
        </w:tc>
        <w:tc>
          <w:tcPr>
            <w:tcW w:w="0" w:type="auto"/>
            <w:tcBorders>
              <w:bottom w:val="none" w:sz="0" w:space="0" w:color="auto"/>
            </w:tcBorders>
            <w:hideMark/>
          </w:tcPr>
          <w:p w14:paraId="2B667DFC" w14:textId="77777777" w:rsidR="00BE3179" w:rsidRPr="00F46636" w:rsidRDefault="00BE3179" w:rsidP="002C3BE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Strengths</w:t>
            </w:r>
          </w:p>
        </w:tc>
        <w:tc>
          <w:tcPr>
            <w:tcW w:w="0" w:type="auto"/>
            <w:tcBorders>
              <w:bottom w:val="none" w:sz="0" w:space="0" w:color="auto"/>
            </w:tcBorders>
            <w:hideMark/>
          </w:tcPr>
          <w:p w14:paraId="15FC0304" w14:textId="77777777" w:rsidR="00BE3179" w:rsidRPr="00F46636" w:rsidRDefault="00BE3179" w:rsidP="002C3BE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Limitations</w:t>
            </w:r>
          </w:p>
        </w:tc>
        <w:tc>
          <w:tcPr>
            <w:tcW w:w="0" w:type="auto"/>
            <w:tcBorders>
              <w:bottom w:val="none" w:sz="0" w:space="0" w:color="auto"/>
            </w:tcBorders>
            <w:hideMark/>
          </w:tcPr>
          <w:p w14:paraId="000C7B76" w14:textId="77777777" w:rsidR="00BE3179" w:rsidRPr="00F46636" w:rsidRDefault="00BE3179" w:rsidP="002C3BE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Best-fit use</w:t>
            </w:r>
          </w:p>
          <w:p w14:paraId="79E90A85" w14:textId="77777777" w:rsidR="00BE3179" w:rsidRPr="00F46636" w:rsidRDefault="00BE3179" w:rsidP="002C3BE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BE3179" w:rsidRPr="00F46636" w14:paraId="144B3097" w14:textId="77777777" w:rsidTr="002C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5418CA2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Primary microglia (mouse)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EBCD847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Higher physiological fidelity; functional phenotypes (phagocytosis, morphology, CD68)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DC1E2D2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Isolation/culture can prime/activate cells; batch variability; lower throughput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22799FD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Mechanistic validation; phenotype-rich confirmation of hits; benchmark against immortalised lines</w:t>
            </w:r>
          </w:p>
        </w:tc>
      </w:tr>
      <w:tr w:rsidR="00BE3179" w:rsidRPr="00F46636" w14:paraId="78AE08E6" w14:textId="77777777" w:rsidTr="002C3B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93D4BE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Primary microglia (rat)</w:t>
            </w:r>
          </w:p>
        </w:tc>
        <w:tc>
          <w:tcPr>
            <w:tcW w:w="0" w:type="auto"/>
            <w:hideMark/>
          </w:tcPr>
          <w:p w14:paraId="7955463A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Cross-species confirmation in primary cells; useful robustness check</w:t>
            </w:r>
          </w:p>
        </w:tc>
        <w:tc>
          <w:tcPr>
            <w:tcW w:w="0" w:type="auto"/>
            <w:hideMark/>
          </w:tcPr>
          <w:p w14:paraId="57740AAB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Prep-dependent variability; lower throughput</w:t>
            </w:r>
          </w:p>
        </w:tc>
        <w:tc>
          <w:tcPr>
            <w:tcW w:w="0" w:type="auto"/>
            <w:hideMark/>
          </w:tcPr>
          <w:p w14:paraId="19CA15AB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Replication across species/platforms; validation of conserved directionality</w:t>
            </w:r>
          </w:p>
        </w:tc>
      </w:tr>
      <w:tr w:rsidR="00BE3179" w:rsidRPr="00F46636" w14:paraId="1692E680" w14:textId="77777777" w:rsidTr="002C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7986035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BV-2 / BV2 microglia (mouse)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BAFA673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High throughput; robust mediator + signalling readouts; broad community precedent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C915168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Immortalised phenotype; passage-dependent drift; not homeostatic adult microglia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DECF57F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Primary screening; dose–time optimisation; multi-endpoint panels (cytokines, NO/</w:t>
            </w:r>
            <w:proofErr w:type="spellStart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iNOS</w:t>
            </w:r>
            <w:proofErr w:type="spellEnd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, ROS, NF-</w:t>
            </w:r>
            <w:proofErr w:type="spellStart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κB</w:t>
            </w:r>
            <w:proofErr w:type="spellEnd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/MAPK)</w:t>
            </w:r>
          </w:p>
        </w:tc>
      </w:tr>
      <w:tr w:rsidR="00BE3179" w:rsidRPr="00F46636" w14:paraId="2CBCD700" w14:textId="77777777" w:rsidTr="002C3B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A17C6B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N9 microglia (mouse)</w:t>
            </w:r>
          </w:p>
        </w:tc>
        <w:tc>
          <w:tcPr>
            <w:tcW w:w="0" w:type="auto"/>
            <w:hideMark/>
          </w:tcPr>
          <w:p w14:paraId="7A2EC605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Alternative murine microglial background to test robustness</w:t>
            </w:r>
          </w:p>
        </w:tc>
        <w:tc>
          <w:tcPr>
            <w:tcW w:w="0" w:type="auto"/>
            <w:hideMark/>
          </w:tcPr>
          <w:p w14:paraId="6F6FB403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Immortalised; response profile can differ from BV-2 and primary microglia</w:t>
            </w:r>
          </w:p>
        </w:tc>
        <w:tc>
          <w:tcPr>
            <w:tcW w:w="0" w:type="auto"/>
            <w:hideMark/>
          </w:tcPr>
          <w:p w14:paraId="2B59BD38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Replication/robustness testing; NO/</w:t>
            </w:r>
            <w:proofErr w:type="spellStart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iNOS</w:t>
            </w:r>
            <w:proofErr w:type="spellEnd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-anchored assays</w:t>
            </w:r>
          </w:p>
        </w:tc>
      </w:tr>
      <w:tr w:rsidR="00BE3179" w:rsidRPr="00F46636" w14:paraId="7CAE0BB9" w14:textId="77777777" w:rsidTr="002C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390E3AE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 xml:space="preserve">HMC3/CHME3 microglia-like cells (human; reported under multiple </w:t>
            </w: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names/aliases in the literature)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87B6B65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Human-derived, scalable platform; supports cytokine/ROS and pathway readouts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1D3CBB9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Nomenclature/identity varies across sources; phenotype can deviate from canonical microglial </w:t>
            </w: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marker profiles—interpret as microglia-like with caution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53B3D5D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 xml:space="preserve">Directionality check in a human microglia-like system; pathway-level benchmarking when </w:t>
            </w: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authentication is confirmed</w:t>
            </w:r>
          </w:p>
        </w:tc>
      </w:tr>
      <w:tr w:rsidR="00BE3179" w:rsidRPr="00F46636" w14:paraId="5FB29FBA" w14:textId="77777777" w:rsidTr="002C3B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04AAA0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C8-D1A astrocytes (mouse)</w:t>
            </w:r>
          </w:p>
        </w:tc>
        <w:tc>
          <w:tcPr>
            <w:tcW w:w="0" w:type="auto"/>
            <w:hideMark/>
          </w:tcPr>
          <w:p w14:paraId="1A127DB1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Homogeneous astrocyte platform; robust cytokine/ROS outputs; useful for </w:t>
            </w:r>
            <w:proofErr w:type="spellStart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astroglial</w:t>
            </w:r>
            <w:proofErr w:type="spellEnd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 signalling</w:t>
            </w:r>
          </w:p>
        </w:tc>
        <w:tc>
          <w:tcPr>
            <w:tcW w:w="0" w:type="auto"/>
            <w:hideMark/>
          </w:tcPr>
          <w:p w14:paraId="526CA04E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Not </w:t>
            </w:r>
            <w:proofErr w:type="gramStart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microglia;</w:t>
            </w:r>
            <w:proofErr w:type="gramEnd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 astrocyte inflammatory programmes differ from microglial innate responses</w:t>
            </w:r>
          </w:p>
        </w:tc>
        <w:tc>
          <w:tcPr>
            <w:tcW w:w="0" w:type="auto"/>
            <w:hideMark/>
          </w:tcPr>
          <w:p w14:paraId="2C4EA23C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Astroglial</w:t>
            </w:r>
            <w:proofErr w:type="spellEnd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 contribution to inflammatory tone; ROS/Ca²⁺-linked inflammatory signalling</w:t>
            </w:r>
          </w:p>
        </w:tc>
      </w:tr>
      <w:tr w:rsidR="00BE3179" w:rsidRPr="00F46636" w14:paraId="388FA645" w14:textId="77777777" w:rsidTr="002C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2A68ACB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C6 glioma/astroglioma (rat)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A2780FD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Convenient glia-like platform; strong, reproducible signal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88C2B53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Tumour-derived glioma biology; limited physiological fidelity to primary astrocytes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466D895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Rapid glial screening; directionality cross-check of compound effects</w:t>
            </w:r>
          </w:p>
        </w:tc>
      </w:tr>
      <w:tr w:rsidR="00BE3179" w:rsidRPr="00F46636" w14:paraId="0EAA311E" w14:textId="77777777" w:rsidTr="002C3B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EA6C3F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Primary cortical glial cells (rat; mixed glia)</w:t>
            </w:r>
          </w:p>
        </w:tc>
        <w:tc>
          <w:tcPr>
            <w:tcW w:w="0" w:type="auto"/>
            <w:hideMark/>
          </w:tcPr>
          <w:p w14:paraId="31479C28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Captures glial crosstalk; allows concurrent GFAP + Iba1 readouts</w:t>
            </w:r>
          </w:p>
        </w:tc>
        <w:tc>
          <w:tcPr>
            <w:tcW w:w="0" w:type="auto"/>
            <w:hideMark/>
          </w:tcPr>
          <w:p w14:paraId="233E7A55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Composition varies; attribution to one cell type is limited; microglia fraction/reactivity can disproportionately drive outputs</w:t>
            </w:r>
          </w:p>
        </w:tc>
        <w:tc>
          <w:tcPr>
            <w:tcW w:w="0" w:type="auto"/>
            <w:hideMark/>
          </w:tcPr>
          <w:p w14:paraId="2EE7D384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Network-level glial activation validation; “glial unit” confirmation</w:t>
            </w:r>
          </w:p>
        </w:tc>
      </w:tr>
      <w:tr w:rsidR="00BE3179" w:rsidRPr="00F46636" w14:paraId="2535D681" w14:textId="77777777" w:rsidTr="002C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22B0E49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THP-1-derived macrophages (human)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8CFDDD0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Strong innate responsiveness (protocol-dependent); scalable comparator; robust cytokine outputs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97D3F7E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Peripheral myeloid biology ≠ microglia; differentiation protocol strongly shapes phenotype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4F990D3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Benchmark anti-inflammatory potency; innate signalling comparator</w:t>
            </w:r>
          </w:p>
        </w:tc>
      </w:tr>
      <w:tr w:rsidR="00BE3179" w:rsidRPr="00F46636" w14:paraId="02FBA7E7" w14:textId="77777777" w:rsidTr="002C3B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72E36A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THP-1-XBlue™-MD2-CD14 monocytes (human; reporter)</w:t>
            </w:r>
          </w:p>
        </w:tc>
        <w:tc>
          <w:tcPr>
            <w:tcW w:w="0" w:type="auto"/>
            <w:hideMark/>
          </w:tcPr>
          <w:p w14:paraId="5B8B1719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Quantitative NF-</w:t>
            </w:r>
            <w:proofErr w:type="spellStart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κB</w:t>
            </w:r>
            <w:proofErr w:type="spellEnd"/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/AP-1 SEAP reporter; high-throughput; stimulus-defined</w:t>
            </w:r>
          </w:p>
        </w:tc>
        <w:tc>
          <w:tcPr>
            <w:tcW w:w="0" w:type="auto"/>
            <w:hideMark/>
          </w:tcPr>
          <w:p w14:paraId="0201FFC4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Reporter activity ≠ phenotype-level inflammation; not CNS-resident</w:t>
            </w:r>
          </w:p>
        </w:tc>
        <w:tc>
          <w:tcPr>
            <w:tcW w:w="0" w:type="auto"/>
            <w:hideMark/>
          </w:tcPr>
          <w:p w14:paraId="21BDA1FA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Rapid ranking of TLR4-axis modulation (pathway-level)</w:t>
            </w:r>
          </w:p>
        </w:tc>
      </w:tr>
      <w:tr w:rsidR="00BE3179" w:rsidRPr="00F46636" w14:paraId="57951F24" w14:textId="77777777" w:rsidTr="002C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B64F641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HT22 hippocampal neurons (mouse)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B47CAF9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Downstream neuronal stress/viability/apoptosis endpoints; links </w:t>
            </w: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inflammation → neuronal injury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C427522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 xml:space="preserve">Direct LPS responsiveness is variable and often dose-dependent; best </w:t>
            </w: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interpreted as neuronal injury/stress rather than innate immune inflammation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C947D3C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 xml:space="preserve">Secondary validation: neuronal vulnerability and stress signalling </w:t>
            </w: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under inflammatory challenge</w:t>
            </w:r>
          </w:p>
        </w:tc>
      </w:tr>
      <w:tr w:rsidR="00BE3179" w:rsidRPr="00F46636" w14:paraId="753BACBA" w14:textId="77777777" w:rsidTr="002C3B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D898B3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SH-SY5Y neuroblastoma (human)</w:t>
            </w:r>
          </w:p>
        </w:tc>
        <w:tc>
          <w:tcPr>
            <w:tcW w:w="0" w:type="auto"/>
            <w:hideMark/>
          </w:tcPr>
          <w:p w14:paraId="2666BEBB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Human neuronal context; scalable injury endpoints</w:t>
            </w:r>
          </w:p>
        </w:tc>
        <w:tc>
          <w:tcPr>
            <w:tcW w:w="0" w:type="auto"/>
            <w:hideMark/>
          </w:tcPr>
          <w:p w14:paraId="4EAFCC26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Cancer-derived; differentiation-state variability; inflammatory responsiveness depends on conditioning</w:t>
            </w:r>
          </w:p>
        </w:tc>
        <w:tc>
          <w:tcPr>
            <w:tcW w:w="0" w:type="auto"/>
            <w:hideMark/>
          </w:tcPr>
          <w:p w14:paraId="49379AD5" w14:textId="77777777" w:rsidR="00BE3179" w:rsidRPr="00F46636" w:rsidRDefault="00BE3179" w:rsidP="002C3B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Downstream neuronal endpoints; translational directionality (injury/stress modules)</w:t>
            </w:r>
          </w:p>
        </w:tc>
      </w:tr>
      <w:tr w:rsidR="00BE3179" w:rsidRPr="00F46636" w14:paraId="6EF37D17" w14:textId="77777777" w:rsidTr="002C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D5E4320" w14:textId="77777777" w:rsidR="00BE3179" w:rsidRPr="00F46636" w:rsidRDefault="00BE3179" w:rsidP="002C3BE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  <w:t>dPC12 pheochromocytoma cells (rat)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441D74C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Strong oxidative/mitochondrial phenotypes; convenient for ROS/mitochondrial assays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CED730D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Tumour-derived neuron-like model; not CNS neuron; high-dose paradigms can be harsh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C6377B0" w14:textId="77777777" w:rsidR="00BE3179" w:rsidRPr="00F46636" w:rsidRDefault="00BE3179" w:rsidP="002C3B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466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ROS/mitochondria-centric injury modules; stress-pathway interrogation</w:t>
            </w:r>
          </w:p>
        </w:tc>
      </w:tr>
    </w:tbl>
    <w:p w14:paraId="0E12D99D" w14:textId="77777777" w:rsidR="00BE3179" w:rsidRPr="00F46636" w:rsidRDefault="00BE3179" w:rsidP="00BE3179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6105F33" w14:textId="77777777" w:rsidR="00F23582" w:rsidRDefault="00F23582"/>
    <w:p w14:paraId="747E4831" w14:textId="77777777" w:rsidR="00BE3179" w:rsidRDefault="00BE3179"/>
    <w:p w14:paraId="5D3A814A" w14:textId="77777777" w:rsidR="00BE3179" w:rsidRDefault="00BE3179"/>
    <w:p w14:paraId="251F92F0" w14:textId="77777777" w:rsidR="00BE3179" w:rsidRDefault="00BE3179"/>
    <w:p w14:paraId="1CE7D2C7" w14:textId="77777777" w:rsidR="00BE3179" w:rsidRDefault="00BE3179"/>
    <w:p w14:paraId="52E68204" w14:textId="77777777" w:rsidR="00BE3179" w:rsidRDefault="00BE3179"/>
    <w:p w14:paraId="3458A182" w14:textId="77777777" w:rsidR="00BE3179" w:rsidRDefault="00BE3179"/>
    <w:p w14:paraId="6A5E2228" w14:textId="77777777" w:rsidR="00BE3179" w:rsidRDefault="00BE3179"/>
    <w:p w14:paraId="1F8766DB" w14:textId="77777777" w:rsidR="00BE3179" w:rsidRDefault="00BE3179"/>
    <w:p w14:paraId="115C6AA1" w14:textId="77777777" w:rsidR="00BE3179" w:rsidRDefault="00BE3179"/>
    <w:p w14:paraId="629E606A" w14:textId="77777777" w:rsidR="00BE3179" w:rsidRDefault="00BE3179"/>
    <w:p w14:paraId="37D923E5" w14:textId="77777777" w:rsidR="00BE3179" w:rsidRDefault="00BE3179"/>
    <w:p w14:paraId="41141C82" w14:textId="77777777" w:rsidR="00BE3179" w:rsidRDefault="00BE3179"/>
    <w:p w14:paraId="196EE901" w14:textId="77777777" w:rsidR="00BE3179" w:rsidRDefault="00BE3179"/>
    <w:p w14:paraId="511E4F01" w14:textId="77777777" w:rsidR="00BE3179" w:rsidRDefault="00BE3179"/>
    <w:p w14:paraId="62B2781B" w14:textId="77777777" w:rsidR="00BE3179" w:rsidRDefault="00BE3179"/>
    <w:p w14:paraId="40239FBF" w14:textId="77777777" w:rsidR="00BE3179" w:rsidRDefault="00BE3179"/>
    <w:p w14:paraId="5BBA14CE" w14:textId="77777777" w:rsidR="00BE3179" w:rsidRDefault="00BE3179"/>
    <w:tbl>
      <w:tblPr>
        <w:tblStyle w:val="TableGrid3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BE3179" w:rsidRPr="00AD104F" w14:paraId="6990557C" w14:textId="77777777" w:rsidTr="002C3BE7">
        <w:trPr>
          <w:trHeight w:val="6795"/>
        </w:trPr>
        <w:tc>
          <w:tcPr>
            <w:tcW w:w="9758" w:type="dxa"/>
          </w:tcPr>
          <w:p w14:paraId="6C386469" w14:textId="77777777" w:rsidR="00BE3179" w:rsidRPr="00AD104F" w:rsidRDefault="00BE3179" w:rsidP="00BE3179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</w:rPr>
            </w:pPr>
            <w:r w:rsidRPr="00AD10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</w:rPr>
              <w:t>Rodent regional sampling emphasis</w:t>
            </w:r>
          </w:p>
          <w:p w14:paraId="4A70EF12" w14:textId="77777777" w:rsidR="00BE3179" w:rsidRPr="00AD104F" w:rsidRDefault="00BE3179" w:rsidP="002C3BE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AD104F"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:lang w:eastAsia="en-AU"/>
                <w14:ligatures w14:val="none"/>
              </w:rPr>
              <w:drawing>
                <wp:inline distT="0" distB="0" distL="0" distR="0" wp14:anchorId="2F43272F" wp14:editId="3E4309A8">
                  <wp:extent cx="5672565" cy="3866629"/>
                  <wp:effectExtent l="0" t="0" r="4445" b="635"/>
                  <wp:docPr id="739842128" name="Picture 1" descr="A diagram of the anatomy of a rat 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842128" name="Picture 1" descr="A diagram of the anatomy of a rat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8" r="7238" b="8276"/>
                          <a:stretch/>
                        </pic:blipFill>
                        <pic:spPr bwMode="auto">
                          <a:xfrm>
                            <a:off x="0" y="0"/>
                            <a:ext cx="5680338" cy="3871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3179" w:rsidRPr="00AD104F" w14:paraId="261C85BB" w14:textId="77777777" w:rsidTr="002C3BE7">
        <w:trPr>
          <w:trHeight w:val="5325"/>
        </w:trPr>
        <w:tc>
          <w:tcPr>
            <w:tcW w:w="9758" w:type="dxa"/>
          </w:tcPr>
          <w:p w14:paraId="612C6EFB" w14:textId="77777777" w:rsidR="00BE3179" w:rsidRPr="00AD104F" w:rsidRDefault="00BE3179" w:rsidP="00BE3179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0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Challenge architecture across species and routes</w:t>
            </w:r>
          </w:p>
          <w:p w14:paraId="00AA7378" w14:textId="77777777" w:rsidR="00BE3179" w:rsidRPr="00AD104F" w:rsidRDefault="00BE3179" w:rsidP="002C3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04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CD6507B" wp14:editId="34DA43C5">
                  <wp:extent cx="6024880" cy="3086567"/>
                  <wp:effectExtent l="0" t="0" r="0" b="0"/>
                  <wp:docPr id="121467123" name="Picture 1" descr="A screenshot of a graph 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67123" name="Picture 1" descr="A screenshot of a graph  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6037" cy="3097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B21BEF" w14:textId="77777777" w:rsidR="00BE3179" w:rsidRDefault="00BE3179"/>
    <w:p w14:paraId="4EBCF3F1" w14:textId="2134EB6C" w:rsidR="00BE3179" w:rsidRPr="00F46636" w:rsidRDefault="00BE3179" w:rsidP="00BE3179">
      <w:pPr>
        <w:spacing w:line="480" w:lineRule="auto"/>
        <w:jc w:val="both"/>
        <w:rPr>
          <w:rFonts w:ascii="Times New Roman" w:hAnsi="Times New Roman" w:cs="Times New Roman"/>
          <w:color w:val="0563C1" w:themeColor="hyperlink"/>
          <w:sz w:val="20"/>
          <w:szCs w:val="20"/>
          <w:u w:val="single"/>
        </w:rPr>
      </w:pPr>
      <w:r w:rsidRPr="00AD104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AD104F">
        <w:rPr>
          <w:rFonts w:ascii="Times New Roman" w:hAnsi="Times New Roman" w:cs="Times New Roman"/>
          <w:b/>
          <w:bCs/>
          <w:sz w:val="20"/>
          <w:szCs w:val="20"/>
        </w:rPr>
        <w:t xml:space="preserve">. Design-to-biology map of </w:t>
      </w:r>
      <w:r w:rsidRPr="00C2755E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 vivo</w:t>
      </w:r>
      <w:r w:rsidRPr="00AD104F">
        <w:rPr>
          <w:rFonts w:ascii="Times New Roman" w:hAnsi="Times New Roman" w:cs="Times New Roman"/>
          <w:b/>
          <w:bCs/>
          <w:sz w:val="20"/>
          <w:szCs w:val="20"/>
        </w:rPr>
        <w:t xml:space="preserve"> LPS neuroinflammation models</w:t>
      </w:r>
      <w:r w:rsidRPr="00AD104F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AD104F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AD104F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AD104F">
        <w:rPr>
          <w:rFonts w:ascii="Times New Roman" w:hAnsi="Times New Roman" w:cs="Times New Roman"/>
          <w:sz w:val="20"/>
          <w:szCs w:val="20"/>
        </w:rPr>
        <w:t xml:space="preserve"> Rodent regional sampling most commonly emphasizes the hippocampus and cortex, with additional sampling of the prefrontal cortex, striatum and amygdala; hippocampal are frequently resolved in region-specific analyses. </w:t>
      </w:r>
      <w:r w:rsidRPr="00AD104F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AD104F">
        <w:rPr>
          <w:rFonts w:ascii="Times New Roman" w:hAnsi="Times New Roman" w:cs="Times New Roman"/>
          <w:sz w:val="20"/>
          <w:szCs w:val="20"/>
        </w:rPr>
        <w:t xml:space="preserve">, </w:t>
      </w:r>
      <w:r w:rsidRPr="00C2755E">
        <w:rPr>
          <w:rFonts w:ascii="Times New Roman" w:hAnsi="Times New Roman" w:cs="Times New Roman"/>
          <w:i/>
          <w:iCs/>
          <w:sz w:val="20"/>
          <w:szCs w:val="20"/>
        </w:rPr>
        <w:t>In vivo</w:t>
      </w:r>
      <w:r w:rsidRPr="00AD104F">
        <w:rPr>
          <w:rFonts w:ascii="Times New Roman" w:hAnsi="Times New Roman" w:cs="Times New Roman"/>
          <w:sz w:val="20"/>
          <w:szCs w:val="20"/>
        </w:rPr>
        <w:t xml:space="preserve"> LPS paradigms are organized by route and timing, with rodent studies dominated by systemic intraperitoneal single-dose and repeated-dose designs, complemented by central delivery approaches, while zebrafish models use embryo immersion or larval brain injection. Endpoint collection spans acute, early post-acute, multi-day and delayed windows, illustrating how challenge architecture shapes anatomical focus, phenotypic </w:t>
      </w:r>
      <w:proofErr w:type="gramStart"/>
      <w:r w:rsidRPr="00AD104F">
        <w:rPr>
          <w:rFonts w:ascii="Times New Roman" w:hAnsi="Times New Roman" w:cs="Times New Roman"/>
          <w:sz w:val="20"/>
          <w:szCs w:val="20"/>
        </w:rPr>
        <w:t>depth</w:t>
      </w:r>
      <w:proofErr w:type="gramEnd"/>
      <w:r w:rsidRPr="00AD104F">
        <w:rPr>
          <w:rFonts w:ascii="Times New Roman" w:hAnsi="Times New Roman" w:cs="Times New Roman"/>
          <w:sz w:val="20"/>
          <w:szCs w:val="20"/>
        </w:rPr>
        <w:t xml:space="preserve"> and mechanistic interpretability. Created in </w:t>
      </w:r>
      <w:proofErr w:type="spellStart"/>
      <w:r w:rsidRPr="00AD104F">
        <w:rPr>
          <w:rFonts w:ascii="Times New Roman" w:hAnsi="Times New Roman" w:cs="Times New Roman"/>
          <w:sz w:val="20"/>
          <w:szCs w:val="20"/>
        </w:rPr>
        <w:t>BioRender</w:t>
      </w:r>
      <w:proofErr w:type="spellEnd"/>
      <w:r w:rsidRPr="00AD104F">
        <w:rPr>
          <w:rFonts w:ascii="Times New Roman" w:hAnsi="Times New Roman" w:cs="Times New Roman"/>
          <w:sz w:val="20"/>
          <w:szCs w:val="20"/>
        </w:rPr>
        <w:t xml:space="preserve">. Zhou, P. (2026) </w:t>
      </w:r>
      <w:hyperlink r:id="rId7" w:history="1">
        <w:r w:rsidRPr="00AD104F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https://BioRender.com/x2yrwfp</w:t>
        </w:r>
      </w:hyperlink>
      <w:r w:rsidRPr="00AD104F">
        <w:rPr>
          <w:rFonts w:ascii="Times New Roman" w:hAnsi="Times New Roman" w:cs="Times New Roman"/>
          <w:color w:val="0563C1" w:themeColor="hyperlink"/>
          <w:sz w:val="20"/>
          <w:szCs w:val="20"/>
          <w:u w:val="single"/>
        </w:rPr>
        <w:t>.</w:t>
      </w:r>
    </w:p>
    <w:p w14:paraId="5780779F" w14:textId="77777777" w:rsidR="00BE3179" w:rsidRDefault="00BE3179"/>
    <w:sectPr w:rsidR="00BE3179" w:rsidSect="00BE31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054872"/>
    <w:multiLevelType w:val="hybridMultilevel"/>
    <w:tmpl w:val="A7166086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792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79"/>
    <w:rsid w:val="002C1F14"/>
    <w:rsid w:val="00390362"/>
    <w:rsid w:val="0054505F"/>
    <w:rsid w:val="00875A2F"/>
    <w:rsid w:val="009E0BC0"/>
    <w:rsid w:val="00BE3179"/>
    <w:rsid w:val="00F2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41ED"/>
  <w15:chartTrackingRefBased/>
  <w15:docId w15:val="{B7B17B60-87AF-42DF-A129-FA10AA54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179"/>
    <w:rPr>
      <w:rFonts w:eastAsiaTheme="minorEastAsi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75A2F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5A2F"/>
    <w:rPr>
      <w:rFonts w:ascii="Times New Roman" w:eastAsiaTheme="majorEastAsia" w:hAnsi="Times New Roman" w:cstheme="majorBidi"/>
      <w:sz w:val="24"/>
      <w:szCs w:val="26"/>
    </w:rPr>
  </w:style>
  <w:style w:type="table" w:customStyle="1" w:styleId="PlainTable21">
    <w:name w:val="Plain Table 21"/>
    <w:basedOn w:val="TableNormal"/>
    <w:next w:val="PlainTable2"/>
    <w:uiPriority w:val="42"/>
    <w:rsid w:val="00BE317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BE317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3">
    <w:name w:val="Table Grid3"/>
    <w:basedOn w:val="TableNormal"/>
    <w:next w:val="TableGrid"/>
    <w:uiPriority w:val="39"/>
    <w:rsid w:val="00BE3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3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oRender.com/x2yrwf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Mazhar  Munir</dc:creator>
  <cp:keywords/>
  <dc:description/>
  <cp:lastModifiedBy>Muhammad Mazhar  Munir</cp:lastModifiedBy>
  <cp:revision>2</cp:revision>
  <dcterms:created xsi:type="dcterms:W3CDTF">2026-06-29T01:25:00Z</dcterms:created>
  <dcterms:modified xsi:type="dcterms:W3CDTF">2026-06-29T01:25:00Z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3a2c166c-bc49-4321-abfb-37b34a4cbdf1</vt:lpwstr>
  </property>
</Properties>
</file>