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325" w:rsidRPr="00D90325" w:rsidRDefault="00D90325" w:rsidP="00D00D6B">
      <w:pPr>
        <w:jc w:val="both"/>
        <w:rPr>
          <w:rFonts w:ascii="Times New Roman" w:hAnsi="Times New Roman" w:cs="Times New Roman"/>
          <w:b/>
          <w:sz w:val="40"/>
          <w:szCs w:val="40"/>
          <w:vertAlign w:val="superscript"/>
        </w:rPr>
      </w:pPr>
      <w:r w:rsidRPr="00D90325">
        <w:rPr>
          <w:rFonts w:ascii="Times New Roman" w:hAnsi="Times New Roman" w:cs="Times New Roman"/>
          <w:b/>
          <w:sz w:val="40"/>
          <w:szCs w:val="40"/>
          <w:vertAlign w:val="superscript"/>
        </w:rPr>
        <w:t>Supplementary material</w:t>
      </w:r>
    </w:p>
    <w:p w:rsidR="00D90325" w:rsidRDefault="00D90325" w:rsidP="00D00D6B">
      <w:pPr>
        <w:jc w:val="both"/>
        <w:rPr>
          <w:rFonts w:ascii="Times New Roman" w:hAnsi="Times New Roman" w:cs="Times New Roman"/>
          <w:b/>
          <w:sz w:val="36"/>
          <w:szCs w:val="36"/>
          <w:vertAlign w:val="superscript"/>
        </w:rPr>
      </w:pPr>
    </w:p>
    <w:p w:rsidR="00440193" w:rsidRPr="00D90325" w:rsidRDefault="00D90325" w:rsidP="00D00D6B">
      <w:pPr>
        <w:jc w:val="both"/>
        <w:rPr>
          <w:rFonts w:ascii="Times New Roman" w:hAnsi="Times New Roman" w:cs="Times New Roman"/>
          <w:b/>
          <w:sz w:val="40"/>
          <w:szCs w:val="40"/>
          <w:vertAlign w:val="superscript"/>
        </w:rPr>
      </w:pPr>
      <w:r w:rsidRPr="00D90325">
        <w:rPr>
          <w:rFonts w:ascii="Times New Roman" w:hAnsi="Times New Roman" w:cs="Times New Roman"/>
          <w:b/>
          <w:sz w:val="40"/>
          <w:szCs w:val="40"/>
          <w:vertAlign w:val="superscript"/>
        </w:rPr>
        <w:t>Journal of Nanoparticles Research</w:t>
      </w:r>
    </w:p>
    <w:p w:rsidR="00D90325" w:rsidRPr="00D90325" w:rsidRDefault="00D90325" w:rsidP="00D90325">
      <w:pPr>
        <w:spacing w:line="276" w:lineRule="auto"/>
        <w:jc w:val="center"/>
        <w:rPr>
          <w:rFonts w:ascii="Times New Roman" w:hAnsi="Times New Roman" w:cs="Times New Roman"/>
          <w:b/>
          <w:sz w:val="28"/>
          <w:szCs w:val="28"/>
          <w:lang w:val="en-US"/>
        </w:rPr>
      </w:pPr>
    </w:p>
    <w:p w:rsidR="00D90325" w:rsidRPr="00D90325" w:rsidRDefault="00D90325" w:rsidP="00D90325">
      <w:pPr>
        <w:spacing w:line="276" w:lineRule="auto"/>
        <w:rPr>
          <w:rFonts w:ascii="Times New Roman" w:hAnsi="Times New Roman" w:cs="Times New Roman"/>
          <w:b/>
          <w:sz w:val="28"/>
          <w:szCs w:val="28"/>
          <w:lang w:val="en-US"/>
        </w:rPr>
      </w:pPr>
      <w:r w:rsidRPr="00D90325">
        <w:rPr>
          <w:rFonts w:ascii="Times New Roman" w:hAnsi="Times New Roman" w:cs="Times New Roman"/>
          <w:b/>
          <w:sz w:val="28"/>
          <w:szCs w:val="28"/>
          <w:lang w:val="en-US"/>
        </w:rPr>
        <w:t>Enhancement of temozolomide stability by loading in chitosan-carboxylated polylactide-based nanoparticles</w:t>
      </w:r>
    </w:p>
    <w:p w:rsidR="00D90325" w:rsidRPr="00D90325" w:rsidRDefault="00D90325" w:rsidP="00D90325">
      <w:pPr>
        <w:rPr>
          <w:rFonts w:ascii="Times New Roman" w:hAnsi="Times New Roman" w:cs="Times New Roman"/>
          <w:sz w:val="24"/>
          <w:szCs w:val="24"/>
          <w:lang w:val="en-US"/>
        </w:rPr>
      </w:pPr>
      <w:r w:rsidRPr="00D90325">
        <w:rPr>
          <w:rFonts w:ascii="Times New Roman" w:hAnsi="Times New Roman" w:cs="Times New Roman"/>
          <w:sz w:val="24"/>
          <w:szCs w:val="24"/>
          <w:lang w:val="en-US"/>
        </w:rPr>
        <w:t>Antonio Di Martino, P</w:t>
      </w:r>
      <w:r w:rsidR="00E6135A">
        <w:rPr>
          <w:rFonts w:ascii="Times New Roman" w:hAnsi="Times New Roman" w:cs="Times New Roman"/>
          <w:sz w:val="24"/>
          <w:szCs w:val="24"/>
          <w:lang w:val="en-US"/>
        </w:rPr>
        <w:t xml:space="preserve">avel </w:t>
      </w:r>
      <w:proofErr w:type="spellStart"/>
      <w:r w:rsidR="00E6135A">
        <w:rPr>
          <w:rFonts w:ascii="Times New Roman" w:hAnsi="Times New Roman" w:cs="Times New Roman"/>
          <w:sz w:val="24"/>
          <w:szCs w:val="24"/>
          <w:lang w:val="en-US"/>
        </w:rPr>
        <w:t>Kucharczyk</w:t>
      </w:r>
      <w:proofErr w:type="spellEnd"/>
      <w:r w:rsidR="00E6135A">
        <w:rPr>
          <w:rFonts w:ascii="Times New Roman" w:hAnsi="Times New Roman" w:cs="Times New Roman"/>
          <w:sz w:val="24"/>
          <w:szCs w:val="24"/>
          <w:lang w:val="en-US"/>
        </w:rPr>
        <w:t xml:space="preserve">, </w:t>
      </w:r>
      <w:proofErr w:type="spellStart"/>
      <w:r w:rsidR="00E6135A">
        <w:rPr>
          <w:rFonts w:ascii="Times New Roman" w:hAnsi="Times New Roman" w:cs="Times New Roman"/>
          <w:sz w:val="24"/>
          <w:szCs w:val="24"/>
          <w:lang w:val="en-US"/>
        </w:rPr>
        <w:t>Zdenka</w:t>
      </w:r>
      <w:proofErr w:type="spellEnd"/>
      <w:r w:rsidR="00E6135A">
        <w:rPr>
          <w:rFonts w:ascii="Times New Roman" w:hAnsi="Times New Roman" w:cs="Times New Roman"/>
          <w:sz w:val="24"/>
          <w:szCs w:val="24"/>
          <w:lang w:val="en-US"/>
        </w:rPr>
        <w:t xml:space="preserve"> Capakova</w:t>
      </w:r>
      <w:bookmarkStart w:id="0" w:name="_GoBack"/>
      <w:bookmarkEnd w:id="0"/>
      <w:r w:rsidRPr="00D90325">
        <w:rPr>
          <w:rFonts w:ascii="Times New Roman" w:hAnsi="Times New Roman" w:cs="Times New Roman"/>
          <w:sz w:val="24"/>
          <w:szCs w:val="24"/>
          <w:lang w:val="en-US"/>
        </w:rPr>
        <w:t xml:space="preserve">, Petr </w:t>
      </w:r>
      <w:proofErr w:type="spellStart"/>
      <w:r w:rsidRPr="00D90325">
        <w:rPr>
          <w:rFonts w:ascii="Times New Roman" w:hAnsi="Times New Roman" w:cs="Times New Roman"/>
          <w:sz w:val="24"/>
          <w:szCs w:val="24"/>
          <w:lang w:val="en-US"/>
        </w:rPr>
        <w:t>Humpolicek</w:t>
      </w:r>
      <w:proofErr w:type="spellEnd"/>
      <w:r w:rsidRPr="00D90325">
        <w:rPr>
          <w:rFonts w:ascii="Times New Roman" w:hAnsi="Times New Roman" w:cs="Times New Roman"/>
          <w:sz w:val="24"/>
          <w:szCs w:val="24"/>
          <w:lang w:val="en-US"/>
        </w:rPr>
        <w:t xml:space="preserve">, Vladimir </w:t>
      </w:r>
      <w:proofErr w:type="spellStart"/>
      <w:r w:rsidRPr="00D90325">
        <w:rPr>
          <w:rFonts w:ascii="Times New Roman" w:hAnsi="Times New Roman" w:cs="Times New Roman"/>
          <w:sz w:val="24"/>
          <w:szCs w:val="24"/>
          <w:lang w:val="en-US"/>
        </w:rPr>
        <w:t>Sedlarik</w:t>
      </w:r>
      <w:proofErr w:type="spellEnd"/>
      <w:r w:rsidRPr="00D90325">
        <w:rPr>
          <w:rFonts w:ascii="Times New Roman" w:hAnsi="Times New Roman" w:cs="Times New Roman"/>
          <w:sz w:val="24"/>
          <w:szCs w:val="24"/>
          <w:lang w:val="en-US"/>
        </w:rPr>
        <w:t>*</w:t>
      </w:r>
    </w:p>
    <w:p w:rsidR="00D90325" w:rsidRPr="00D90325" w:rsidRDefault="00D90325" w:rsidP="00D90325">
      <w:pPr>
        <w:rPr>
          <w:rFonts w:ascii="Times New Roman" w:eastAsia="Italic" w:hAnsi="Times New Roman" w:cs="Times New Roman"/>
          <w:i/>
          <w:sz w:val="24"/>
          <w:szCs w:val="24"/>
          <w:lang w:val="en-US"/>
        </w:rPr>
      </w:pPr>
      <w:r w:rsidRPr="00D90325">
        <w:rPr>
          <w:rFonts w:ascii="Times New Roman" w:eastAsia="Italic" w:hAnsi="Times New Roman" w:cs="Times New Roman"/>
          <w:i/>
          <w:sz w:val="24"/>
          <w:szCs w:val="24"/>
          <w:lang w:val="en-US"/>
        </w:rPr>
        <w:t xml:space="preserve">Centre of Polymer Systems, University Institute, Tomas Bata University in Zlín, tr. T. </w:t>
      </w:r>
      <w:proofErr w:type="spellStart"/>
      <w:r w:rsidRPr="00D90325">
        <w:rPr>
          <w:rFonts w:ascii="Times New Roman" w:eastAsia="Italic" w:hAnsi="Times New Roman" w:cs="Times New Roman"/>
          <w:i/>
          <w:sz w:val="24"/>
          <w:szCs w:val="24"/>
          <w:lang w:val="en-US"/>
        </w:rPr>
        <w:t>Bati</w:t>
      </w:r>
      <w:proofErr w:type="spellEnd"/>
      <w:r w:rsidRPr="00D90325">
        <w:rPr>
          <w:rFonts w:ascii="Times New Roman" w:eastAsia="Italic" w:hAnsi="Times New Roman" w:cs="Times New Roman"/>
          <w:i/>
          <w:sz w:val="24"/>
          <w:szCs w:val="24"/>
          <w:lang w:val="en-US"/>
        </w:rPr>
        <w:t xml:space="preserve"> 5678, 76001 </w:t>
      </w:r>
      <w:proofErr w:type="spellStart"/>
      <w:r w:rsidRPr="00D90325">
        <w:rPr>
          <w:rFonts w:ascii="Times New Roman" w:eastAsia="Italic" w:hAnsi="Times New Roman" w:cs="Times New Roman"/>
          <w:i/>
          <w:sz w:val="24"/>
          <w:szCs w:val="24"/>
          <w:lang w:val="en-US"/>
        </w:rPr>
        <w:t>Zlin</w:t>
      </w:r>
      <w:proofErr w:type="spellEnd"/>
      <w:r w:rsidRPr="00D90325">
        <w:rPr>
          <w:rFonts w:ascii="Times New Roman" w:eastAsia="Italic" w:hAnsi="Times New Roman" w:cs="Times New Roman"/>
          <w:i/>
          <w:sz w:val="24"/>
          <w:szCs w:val="24"/>
          <w:lang w:val="en-US"/>
        </w:rPr>
        <w:t xml:space="preserve">, </w:t>
      </w:r>
      <w:r>
        <w:rPr>
          <w:rFonts w:ascii="Times New Roman" w:eastAsia="Italic" w:hAnsi="Times New Roman" w:cs="Times New Roman"/>
          <w:i/>
          <w:sz w:val="24"/>
          <w:szCs w:val="24"/>
          <w:lang w:val="en-US"/>
        </w:rPr>
        <w:t>Czech Republic</w:t>
      </w:r>
      <w:r w:rsidRPr="00D90325">
        <w:rPr>
          <w:rFonts w:ascii="Times New Roman" w:eastAsia="Italic" w:hAnsi="Times New Roman" w:cs="Times New Roman"/>
          <w:i/>
          <w:sz w:val="24"/>
          <w:szCs w:val="24"/>
          <w:lang w:val="en-US"/>
        </w:rPr>
        <w:br/>
      </w:r>
    </w:p>
    <w:p w:rsidR="00D90325" w:rsidRPr="00D90325" w:rsidRDefault="00D90325" w:rsidP="00D90325">
      <w:pPr>
        <w:jc w:val="center"/>
        <w:rPr>
          <w:rFonts w:ascii="Times New Roman" w:hAnsi="Times New Roman" w:cs="Times New Roman"/>
          <w:sz w:val="28"/>
          <w:szCs w:val="28"/>
          <w:lang w:val="en-US"/>
        </w:rPr>
      </w:pPr>
    </w:p>
    <w:p w:rsidR="00D90325" w:rsidRDefault="00D90325" w:rsidP="00D90325">
      <w:pPr>
        <w:spacing w:line="480" w:lineRule="auto"/>
        <w:rPr>
          <w:rFonts w:ascii="Times New Roman" w:hAnsi="Times New Roman" w:cs="Times New Roman"/>
          <w:i/>
          <w:sz w:val="18"/>
          <w:szCs w:val="18"/>
          <w:lang w:val="en-US"/>
        </w:rPr>
      </w:pPr>
    </w:p>
    <w:p w:rsidR="00D90325" w:rsidRDefault="00D90325" w:rsidP="00D90325">
      <w:pPr>
        <w:spacing w:line="480" w:lineRule="auto"/>
        <w:rPr>
          <w:rFonts w:ascii="Times New Roman" w:hAnsi="Times New Roman" w:cs="Times New Roman"/>
          <w:i/>
          <w:sz w:val="18"/>
          <w:szCs w:val="18"/>
          <w:lang w:val="en-US"/>
        </w:rPr>
      </w:pPr>
    </w:p>
    <w:p w:rsidR="00D90325" w:rsidRDefault="00D90325" w:rsidP="00D90325">
      <w:pPr>
        <w:spacing w:line="480" w:lineRule="auto"/>
        <w:rPr>
          <w:rFonts w:ascii="Times New Roman" w:hAnsi="Times New Roman" w:cs="Times New Roman"/>
          <w:i/>
          <w:sz w:val="18"/>
          <w:szCs w:val="18"/>
          <w:lang w:val="en-US"/>
        </w:rPr>
      </w:pPr>
    </w:p>
    <w:p w:rsidR="00D90325" w:rsidRDefault="00D90325" w:rsidP="00D90325">
      <w:pPr>
        <w:spacing w:line="480" w:lineRule="auto"/>
        <w:rPr>
          <w:rFonts w:ascii="Times New Roman" w:hAnsi="Times New Roman" w:cs="Times New Roman"/>
          <w:i/>
          <w:sz w:val="18"/>
          <w:szCs w:val="18"/>
          <w:lang w:val="en-US"/>
        </w:rPr>
      </w:pPr>
    </w:p>
    <w:p w:rsidR="00D90325" w:rsidRDefault="00D90325" w:rsidP="00D90325">
      <w:pPr>
        <w:spacing w:line="480" w:lineRule="auto"/>
        <w:rPr>
          <w:rFonts w:ascii="Times New Roman" w:hAnsi="Times New Roman" w:cs="Times New Roman"/>
          <w:i/>
          <w:sz w:val="18"/>
          <w:szCs w:val="18"/>
          <w:lang w:val="en-US"/>
        </w:rPr>
      </w:pPr>
    </w:p>
    <w:p w:rsidR="00D90325" w:rsidRDefault="00D90325" w:rsidP="00D90325">
      <w:pPr>
        <w:spacing w:line="480" w:lineRule="auto"/>
        <w:rPr>
          <w:rFonts w:ascii="Times New Roman" w:hAnsi="Times New Roman" w:cs="Times New Roman"/>
          <w:i/>
          <w:sz w:val="18"/>
          <w:szCs w:val="18"/>
          <w:lang w:val="en-US"/>
        </w:rPr>
      </w:pPr>
    </w:p>
    <w:p w:rsidR="00D90325" w:rsidRDefault="00D90325" w:rsidP="00D90325">
      <w:pPr>
        <w:spacing w:line="480" w:lineRule="auto"/>
        <w:rPr>
          <w:rFonts w:ascii="Times New Roman" w:hAnsi="Times New Roman" w:cs="Times New Roman"/>
          <w:i/>
          <w:sz w:val="18"/>
          <w:szCs w:val="18"/>
          <w:lang w:val="en-US"/>
        </w:rPr>
      </w:pPr>
    </w:p>
    <w:p w:rsidR="00D90325" w:rsidRDefault="00D90325" w:rsidP="00D90325">
      <w:pPr>
        <w:spacing w:line="480" w:lineRule="auto"/>
        <w:rPr>
          <w:rFonts w:ascii="Times New Roman" w:hAnsi="Times New Roman" w:cs="Times New Roman"/>
          <w:i/>
          <w:sz w:val="18"/>
          <w:szCs w:val="18"/>
          <w:lang w:val="en-US"/>
        </w:rPr>
      </w:pPr>
    </w:p>
    <w:p w:rsidR="00D90325" w:rsidRDefault="00D90325" w:rsidP="00D90325">
      <w:pPr>
        <w:spacing w:line="480" w:lineRule="auto"/>
        <w:rPr>
          <w:rFonts w:ascii="Times New Roman" w:hAnsi="Times New Roman" w:cs="Times New Roman"/>
          <w:i/>
          <w:sz w:val="18"/>
          <w:szCs w:val="18"/>
          <w:lang w:val="en-US"/>
        </w:rPr>
      </w:pPr>
    </w:p>
    <w:p w:rsidR="00D90325" w:rsidRDefault="00D90325" w:rsidP="00D90325">
      <w:pPr>
        <w:spacing w:line="480" w:lineRule="auto"/>
        <w:rPr>
          <w:rFonts w:ascii="Times New Roman" w:hAnsi="Times New Roman" w:cs="Times New Roman"/>
          <w:i/>
          <w:sz w:val="18"/>
          <w:szCs w:val="18"/>
          <w:lang w:val="en-US"/>
        </w:rPr>
      </w:pPr>
    </w:p>
    <w:p w:rsidR="00D90325" w:rsidRDefault="00D90325" w:rsidP="00D90325">
      <w:pPr>
        <w:spacing w:line="480" w:lineRule="auto"/>
        <w:rPr>
          <w:rFonts w:ascii="Times New Roman" w:hAnsi="Times New Roman" w:cs="Times New Roman"/>
          <w:i/>
          <w:sz w:val="18"/>
          <w:szCs w:val="18"/>
          <w:lang w:val="en-US"/>
        </w:rPr>
      </w:pPr>
    </w:p>
    <w:p w:rsidR="00D90325" w:rsidRDefault="00D90325" w:rsidP="00D90325">
      <w:pPr>
        <w:spacing w:line="480" w:lineRule="auto"/>
        <w:rPr>
          <w:rFonts w:ascii="Times New Roman" w:hAnsi="Times New Roman" w:cs="Times New Roman"/>
          <w:i/>
          <w:sz w:val="18"/>
          <w:szCs w:val="18"/>
          <w:lang w:val="en-US"/>
        </w:rPr>
      </w:pPr>
    </w:p>
    <w:p w:rsidR="00D90325" w:rsidRDefault="00D90325" w:rsidP="00D90325">
      <w:pPr>
        <w:spacing w:line="480" w:lineRule="auto"/>
        <w:rPr>
          <w:rFonts w:ascii="Times New Roman" w:hAnsi="Times New Roman" w:cs="Times New Roman"/>
          <w:i/>
          <w:sz w:val="18"/>
          <w:szCs w:val="18"/>
          <w:lang w:val="en-US"/>
        </w:rPr>
      </w:pPr>
    </w:p>
    <w:p w:rsidR="00D90325" w:rsidRDefault="00D90325" w:rsidP="00D90325">
      <w:pPr>
        <w:spacing w:line="480" w:lineRule="auto"/>
        <w:rPr>
          <w:rFonts w:ascii="Times New Roman" w:hAnsi="Times New Roman" w:cs="Times New Roman"/>
          <w:i/>
          <w:sz w:val="18"/>
          <w:szCs w:val="18"/>
          <w:lang w:val="en-US"/>
        </w:rPr>
      </w:pPr>
    </w:p>
    <w:p w:rsidR="00D90325" w:rsidRDefault="00D90325" w:rsidP="00D90325">
      <w:pPr>
        <w:spacing w:line="480" w:lineRule="auto"/>
        <w:rPr>
          <w:rFonts w:ascii="Times New Roman" w:hAnsi="Times New Roman" w:cs="Times New Roman"/>
          <w:i/>
          <w:sz w:val="18"/>
          <w:szCs w:val="18"/>
          <w:lang w:val="en-US"/>
        </w:rPr>
      </w:pPr>
    </w:p>
    <w:p w:rsidR="00D90325" w:rsidRPr="00D90325" w:rsidRDefault="00D90325" w:rsidP="00D90325">
      <w:pPr>
        <w:pStyle w:val="Titulek"/>
        <w:jc w:val="both"/>
        <w:rPr>
          <w:rFonts w:ascii="Times New Roman" w:hAnsi="Times New Roman" w:cs="Times New Roman"/>
          <w:b/>
          <w:i w:val="0"/>
          <w:color w:val="auto"/>
          <w:sz w:val="24"/>
          <w:szCs w:val="24"/>
        </w:rPr>
      </w:pPr>
      <w:r w:rsidRPr="00D90325">
        <w:rPr>
          <w:rFonts w:ascii="Times New Roman" w:hAnsi="Times New Roman" w:cs="Times New Roman"/>
          <w:b/>
          <w:i w:val="0"/>
          <w:color w:val="auto"/>
          <w:sz w:val="24"/>
          <w:szCs w:val="24"/>
        </w:rPr>
        <w:lastRenderedPageBreak/>
        <w:t xml:space="preserve">Figure S1 - </w:t>
      </w:r>
      <w:r w:rsidRPr="00D90325">
        <w:rPr>
          <w:rFonts w:ascii="Times New Roman" w:hAnsi="Times New Roman" w:cs="Times New Roman"/>
          <w:b/>
          <w:i w:val="0"/>
          <w:color w:val="auto"/>
          <w:sz w:val="24"/>
          <w:szCs w:val="24"/>
          <w:vertAlign w:val="superscript"/>
        </w:rPr>
        <w:t>1</w:t>
      </w:r>
      <w:r w:rsidRPr="00D90325">
        <w:rPr>
          <w:rFonts w:ascii="Times New Roman" w:hAnsi="Times New Roman" w:cs="Times New Roman"/>
          <w:b/>
          <w:i w:val="0"/>
          <w:color w:val="auto"/>
          <w:sz w:val="24"/>
          <w:szCs w:val="24"/>
        </w:rPr>
        <w:t>H NMR spectra of neat linear PLA and functionalized non-linear PLA (SPLA).</w:t>
      </w:r>
    </w:p>
    <w:p w:rsidR="00052BD0" w:rsidRPr="00440193" w:rsidRDefault="0020496A" w:rsidP="00D00D6B">
      <w:pPr>
        <w:jc w:val="both"/>
        <w:rPr>
          <w:rFonts w:ascii="Times New Roman" w:hAnsi="Times New Roman" w:cs="Times New Roman"/>
          <w:sz w:val="24"/>
          <w:szCs w:val="24"/>
        </w:rPr>
      </w:pPr>
      <w:bookmarkStart w:id="1" w:name="OLE_LINK128"/>
      <w:bookmarkStart w:id="2" w:name="OLE_LINK129"/>
      <w:bookmarkStart w:id="3" w:name="OLE_LINK130"/>
      <w:bookmarkStart w:id="4" w:name="OLE_LINK131"/>
      <w:bookmarkStart w:id="5" w:name="OLE_LINK132"/>
      <w:bookmarkStart w:id="6" w:name="OLE_LINK133"/>
      <w:r w:rsidRPr="00440193">
        <w:rPr>
          <w:rFonts w:ascii="Times New Roman" w:hAnsi="Times New Roman" w:cs="Times New Roman"/>
          <w:sz w:val="24"/>
          <w:szCs w:val="24"/>
          <w:vertAlign w:val="superscript"/>
        </w:rPr>
        <w:t>1</w:t>
      </w:r>
      <w:r w:rsidRPr="00440193">
        <w:rPr>
          <w:rFonts w:ascii="Times New Roman" w:hAnsi="Times New Roman" w:cs="Times New Roman"/>
          <w:sz w:val="24"/>
          <w:szCs w:val="24"/>
        </w:rPr>
        <w:t>H</w:t>
      </w:r>
      <w:bookmarkEnd w:id="1"/>
      <w:bookmarkEnd w:id="2"/>
      <w:bookmarkEnd w:id="3"/>
      <w:r w:rsidRPr="00440193">
        <w:rPr>
          <w:rFonts w:ascii="Times New Roman" w:hAnsi="Times New Roman" w:cs="Times New Roman"/>
          <w:sz w:val="24"/>
          <w:szCs w:val="24"/>
        </w:rPr>
        <w:t xml:space="preserve"> NMR </w:t>
      </w:r>
      <w:bookmarkEnd w:id="4"/>
      <w:bookmarkEnd w:id="5"/>
      <w:bookmarkEnd w:id="6"/>
      <w:r w:rsidRPr="00440193">
        <w:rPr>
          <w:rFonts w:ascii="Times New Roman" w:hAnsi="Times New Roman" w:cs="Times New Roman"/>
          <w:sz w:val="24"/>
          <w:szCs w:val="24"/>
        </w:rPr>
        <w:t xml:space="preserve">measurements were performed on a Varian </w:t>
      </w:r>
      <w:proofErr w:type="spellStart"/>
      <w:r w:rsidRPr="00440193">
        <w:rPr>
          <w:rFonts w:ascii="Times New Roman" w:hAnsi="Times New Roman" w:cs="Times New Roman"/>
          <w:sz w:val="24"/>
          <w:szCs w:val="24"/>
          <w:vertAlign w:val="superscript"/>
        </w:rPr>
        <w:t>Unity</w:t>
      </w:r>
      <w:r w:rsidRPr="00440193">
        <w:rPr>
          <w:rFonts w:ascii="Times New Roman" w:hAnsi="Times New Roman" w:cs="Times New Roman"/>
          <w:i/>
          <w:sz w:val="24"/>
          <w:szCs w:val="24"/>
        </w:rPr>
        <w:t>Inova</w:t>
      </w:r>
      <w:proofErr w:type="spellEnd"/>
      <w:r w:rsidRPr="00440193">
        <w:rPr>
          <w:rFonts w:ascii="Times New Roman" w:hAnsi="Times New Roman" w:cs="Times New Roman"/>
          <w:sz w:val="24"/>
          <w:szCs w:val="24"/>
        </w:rPr>
        <w:t xml:space="preserve"> 400 spectrometer. The chemical shifts of signals in spectra were referenced to solvent peaks (</w:t>
      </w:r>
      <w:r w:rsidRPr="00440193">
        <w:rPr>
          <w:rFonts w:ascii="Times New Roman" w:hAnsi="Times New Roman" w:cs="Times New Roman"/>
          <w:sz w:val="24"/>
          <w:szCs w:val="24"/>
          <w:vertAlign w:val="superscript"/>
        </w:rPr>
        <w:t>1</w:t>
      </w:r>
      <w:r w:rsidRPr="00440193">
        <w:rPr>
          <w:rFonts w:ascii="Times New Roman" w:hAnsi="Times New Roman" w:cs="Times New Roman"/>
          <w:sz w:val="24"/>
          <w:szCs w:val="24"/>
        </w:rPr>
        <w:t>H NMR (400 MHz, DMSO-</w:t>
      </w:r>
      <w:r w:rsidRPr="00440193">
        <w:rPr>
          <w:rFonts w:ascii="Times New Roman" w:hAnsi="Times New Roman" w:cs="Times New Roman"/>
          <w:i/>
          <w:sz w:val="24"/>
          <w:szCs w:val="24"/>
        </w:rPr>
        <w:t>d</w:t>
      </w:r>
      <w:r w:rsidRPr="00440193">
        <w:rPr>
          <w:rFonts w:ascii="Times New Roman" w:hAnsi="Times New Roman" w:cs="Times New Roman"/>
          <w:sz w:val="24"/>
          <w:szCs w:val="24"/>
          <w:vertAlign w:val="subscript"/>
        </w:rPr>
        <w:t>6</w:t>
      </w:r>
      <w:r w:rsidRPr="00440193">
        <w:rPr>
          <w:rFonts w:ascii="Times New Roman" w:hAnsi="Times New Roman" w:cs="Times New Roman"/>
          <w:sz w:val="24"/>
          <w:szCs w:val="24"/>
        </w:rPr>
        <w:t>)): δ=2.50 ppm). First order analysis was applied to evaluate all the NMR spectra received.</w:t>
      </w:r>
    </w:p>
    <w:p w:rsidR="00EC31E1" w:rsidRPr="00440193" w:rsidRDefault="00EC31E1" w:rsidP="00D00D6B">
      <w:pPr>
        <w:jc w:val="both"/>
        <w:rPr>
          <w:rFonts w:ascii="Times New Roman" w:hAnsi="Times New Roman" w:cs="Times New Roman"/>
          <w:sz w:val="24"/>
          <w:szCs w:val="24"/>
        </w:rPr>
      </w:pPr>
    </w:p>
    <w:p w:rsidR="00EC31E1" w:rsidRPr="00440193" w:rsidRDefault="00EC31E1" w:rsidP="00D00D6B">
      <w:pPr>
        <w:keepNext/>
        <w:jc w:val="both"/>
        <w:rPr>
          <w:rFonts w:ascii="Times New Roman" w:hAnsi="Times New Roman" w:cs="Times New Roman"/>
          <w:sz w:val="24"/>
          <w:szCs w:val="24"/>
        </w:rPr>
      </w:pPr>
      <w:r w:rsidRPr="00440193">
        <w:rPr>
          <w:rFonts w:ascii="Times New Roman" w:hAnsi="Times New Roman" w:cs="Times New Roman"/>
          <w:noProof/>
          <w:sz w:val="24"/>
          <w:szCs w:val="24"/>
          <w:lang w:val="cs-CZ" w:eastAsia="cs-CZ"/>
        </w:rPr>
        <w:drawing>
          <wp:inline distT="0" distB="0" distL="0" distR="0" wp14:anchorId="2D57CA96" wp14:editId="1C03B19D">
            <wp:extent cx="5760720" cy="4149183"/>
            <wp:effectExtent l="0" t="0" r="0" b="3810"/>
            <wp:docPr id="2" name="Obrázek 2" descr="C:\Users\kucharczyk\Desktop\hnm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charczyk\Desktop\hnmr.t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149183"/>
                    </a:xfrm>
                    <a:prstGeom prst="rect">
                      <a:avLst/>
                    </a:prstGeom>
                    <a:noFill/>
                    <a:ln>
                      <a:noFill/>
                    </a:ln>
                  </pic:spPr>
                </pic:pic>
              </a:graphicData>
            </a:graphic>
          </wp:inline>
        </w:drawing>
      </w:r>
    </w:p>
    <w:p w:rsidR="00D00D6B" w:rsidRPr="00440193" w:rsidRDefault="00D00D6B" w:rsidP="00D00D6B">
      <w:pPr>
        <w:jc w:val="both"/>
        <w:rPr>
          <w:rFonts w:ascii="Times New Roman" w:hAnsi="Times New Roman" w:cs="Times New Roman"/>
          <w:sz w:val="24"/>
          <w:szCs w:val="24"/>
        </w:rPr>
      </w:pPr>
    </w:p>
    <w:p w:rsidR="00DC0F61" w:rsidRPr="00440193" w:rsidRDefault="00CE3320" w:rsidP="00D00D6B">
      <w:pPr>
        <w:jc w:val="both"/>
        <w:rPr>
          <w:rFonts w:ascii="Times New Roman" w:hAnsi="Times New Roman" w:cs="Times New Roman"/>
          <w:sz w:val="24"/>
          <w:szCs w:val="24"/>
        </w:rPr>
      </w:pPr>
      <w:r w:rsidRPr="00440193">
        <w:rPr>
          <w:rFonts w:ascii="Times New Roman" w:hAnsi="Times New Roman" w:cs="Times New Roman"/>
          <w:sz w:val="24"/>
          <w:szCs w:val="24"/>
        </w:rPr>
        <w:t xml:space="preserve">The measured </w:t>
      </w:r>
      <w:r w:rsidRPr="00440193">
        <w:rPr>
          <w:rFonts w:ascii="Times New Roman" w:hAnsi="Times New Roman" w:cs="Times New Roman"/>
          <w:sz w:val="24"/>
          <w:szCs w:val="24"/>
          <w:vertAlign w:val="superscript"/>
        </w:rPr>
        <w:t>1</w:t>
      </w:r>
      <w:r w:rsidRPr="00440193">
        <w:rPr>
          <w:rFonts w:ascii="Times New Roman" w:hAnsi="Times New Roman" w:cs="Times New Roman"/>
          <w:sz w:val="24"/>
          <w:szCs w:val="24"/>
        </w:rPr>
        <w:t>H NMR spectra of linear and non-linear PLA are presented in Figure S1. As can be seen linear</w:t>
      </w:r>
      <w:r w:rsidR="006029C6" w:rsidRPr="00440193">
        <w:rPr>
          <w:rFonts w:ascii="Times New Roman" w:hAnsi="Times New Roman" w:cs="Times New Roman"/>
          <w:sz w:val="24"/>
          <w:szCs w:val="24"/>
        </w:rPr>
        <w:t>,</w:t>
      </w:r>
      <w:r w:rsidRPr="00440193">
        <w:rPr>
          <w:rFonts w:ascii="Times New Roman" w:hAnsi="Times New Roman" w:cs="Times New Roman"/>
          <w:sz w:val="24"/>
          <w:szCs w:val="24"/>
        </w:rPr>
        <w:t xml:space="preserve"> PLA exhibits signals typical for this polymer; i.e. 5.18 ppm (CH) from the L-lactic acid repeat unit, 5.11 ppm (CH) from the D-lactic acid repeating unit, 5.0 ppm (CH) from the carboxylic acid chain end, 4.2 ppm (CH) from the hydroxyl-terminated chain end, 1.5-1.4 ppm (CH</w:t>
      </w:r>
      <w:r w:rsidRPr="00440193">
        <w:rPr>
          <w:rFonts w:ascii="Times New Roman" w:hAnsi="Times New Roman" w:cs="Times New Roman"/>
          <w:sz w:val="24"/>
          <w:szCs w:val="24"/>
          <w:vertAlign w:val="subscript"/>
        </w:rPr>
        <w:t>3</w:t>
      </w:r>
      <w:r w:rsidRPr="00440193">
        <w:rPr>
          <w:rFonts w:ascii="Times New Roman" w:hAnsi="Times New Roman" w:cs="Times New Roman"/>
          <w:sz w:val="24"/>
          <w:szCs w:val="24"/>
        </w:rPr>
        <w:t>) originating from the main chain, and 1.3-1.25 ppm for the (CH</w:t>
      </w:r>
      <w:r w:rsidRPr="00440193">
        <w:rPr>
          <w:rFonts w:ascii="Times New Roman" w:hAnsi="Times New Roman" w:cs="Times New Roman"/>
          <w:sz w:val="24"/>
          <w:szCs w:val="24"/>
          <w:vertAlign w:val="subscript"/>
        </w:rPr>
        <w:t>3</w:t>
      </w:r>
      <w:r w:rsidRPr="00440193">
        <w:rPr>
          <w:rFonts w:ascii="Times New Roman" w:hAnsi="Times New Roman" w:cs="Times New Roman"/>
          <w:sz w:val="24"/>
          <w:szCs w:val="24"/>
        </w:rPr>
        <w:t>) hydroxyl end and free lactic acid units. The detailed description can be found under Reference</w:t>
      </w:r>
      <w:r w:rsidR="00A872F7" w:rsidRPr="00440193">
        <w:rPr>
          <w:rFonts w:ascii="Times New Roman" w:hAnsi="Times New Roman" w:cs="Times New Roman"/>
          <w:sz w:val="24"/>
          <w:szCs w:val="24"/>
        </w:rPr>
        <w:t xml:space="preserve"> </w:t>
      </w:r>
      <w:r w:rsidR="00440193">
        <w:rPr>
          <w:rFonts w:ascii="Times New Roman" w:hAnsi="Times New Roman" w:cs="Times New Roman"/>
          <w:sz w:val="24"/>
          <w:szCs w:val="24"/>
        </w:rPr>
        <w:t>(</w:t>
      </w:r>
      <w:r w:rsidR="00A872F7" w:rsidRPr="00440193">
        <w:rPr>
          <w:rFonts w:ascii="Times New Roman" w:hAnsi="Times New Roman" w:cs="Times New Roman"/>
          <w:i/>
          <w:sz w:val="24"/>
          <w:szCs w:val="24"/>
        </w:rPr>
        <w:t xml:space="preserve">J.L. Espartero, I. </w:t>
      </w:r>
      <w:proofErr w:type="spellStart"/>
      <w:r w:rsidR="00A872F7" w:rsidRPr="00440193">
        <w:rPr>
          <w:rFonts w:ascii="Times New Roman" w:hAnsi="Times New Roman" w:cs="Times New Roman"/>
          <w:i/>
          <w:sz w:val="24"/>
          <w:szCs w:val="24"/>
        </w:rPr>
        <w:t>Rashkov</w:t>
      </w:r>
      <w:proofErr w:type="spellEnd"/>
      <w:r w:rsidR="00A872F7" w:rsidRPr="00440193">
        <w:rPr>
          <w:rFonts w:ascii="Times New Roman" w:hAnsi="Times New Roman" w:cs="Times New Roman"/>
          <w:i/>
          <w:sz w:val="24"/>
          <w:szCs w:val="24"/>
        </w:rPr>
        <w:t xml:space="preserve">, S.M. Li, N. </w:t>
      </w:r>
      <w:proofErr w:type="spellStart"/>
      <w:r w:rsidR="00A872F7" w:rsidRPr="00440193">
        <w:rPr>
          <w:rFonts w:ascii="Times New Roman" w:hAnsi="Times New Roman" w:cs="Times New Roman"/>
          <w:i/>
          <w:sz w:val="24"/>
          <w:szCs w:val="24"/>
        </w:rPr>
        <w:t>Manolova</w:t>
      </w:r>
      <w:proofErr w:type="spellEnd"/>
      <w:r w:rsidR="00A872F7" w:rsidRPr="00440193">
        <w:rPr>
          <w:rFonts w:ascii="Times New Roman" w:hAnsi="Times New Roman" w:cs="Times New Roman"/>
          <w:i/>
          <w:sz w:val="24"/>
          <w:szCs w:val="24"/>
        </w:rPr>
        <w:t>, M. Vert, Macromolecules 1996, 29, 3535</w:t>
      </w:r>
      <w:r w:rsidR="00440193">
        <w:rPr>
          <w:rFonts w:ascii="Times New Roman" w:hAnsi="Times New Roman" w:cs="Times New Roman"/>
          <w:sz w:val="24"/>
          <w:szCs w:val="24"/>
        </w:rPr>
        <w:t>)</w:t>
      </w:r>
      <w:r w:rsidR="00A872F7" w:rsidRPr="00440193">
        <w:rPr>
          <w:rFonts w:ascii="Times New Roman" w:hAnsi="Times New Roman" w:cs="Times New Roman"/>
          <w:sz w:val="24"/>
          <w:szCs w:val="24"/>
        </w:rPr>
        <w:t>.</w:t>
      </w:r>
    </w:p>
    <w:p w:rsidR="00A872F7" w:rsidRPr="00440193" w:rsidRDefault="00A872F7" w:rsidP="00D00D6B">
      <w:pPr>
        <w:jc w:val="both"/>
        <w:rPr>
          <w:rFonts w:ascii="Times New Roman" w:hAnsi="Times New Roman" w:cs="Times New Roman"/>
          <w:sz w:val="24"/>
          <w:szCs w:val="24"/>
        </w:rPr>
      </w:pPr>
      <w:r w:rsidRPr="00440193">
        <w:rPr>
          <w:rFonts w:ascii="Times New Roman" w:hAnsi="Times New Roman" w:cs="Times New Roman"/>
          <w:sz w:val="24"/>
          <w:szCs w:val="24"/>
        </w:rPr>
        <w:t>In case of SPLA two new relatively broad peaks appear around 3.22ppm and 3.6ppm. These are attributed to CH</w:t>
      </w:r>
      <w:r w:rsidRPr="00440193">
        <w:rPr>
          <w:rFonts w:ascii="Times New Roman" w:hAnsi="Times New Roman" w:cs="Times New Roman"/>
          <w:sz w:val="24"/>
          <w:szCs w:val="24"/>
          <w:vertAlign w:val="subscript"/>
        </w:rPr>
        <w:t>2</w:t>
      </w:r>
      <w:r w:rsidRPr="00440193">
        <w:rPr>
          <w:rFonts w:ascii="Times New Roman" w:hAnsi="Times New Roman" w:cs="Times New Roman"/>
          <w:sz w:val="24"/>
          <w:szCs w:val="24"/>
        </w:rPr>
        <w:t xml:space="preserve"> groups from pentetic acid (PA) and this can be taken as </w:t>
      </w:r>
      <w:proofErr w:type="gramStart"/>
      <w:r w:rsidRPr="00440193">
        <w:rPr>
          <w:rFonts w:ascii="Times New Roman" w:hAnsi="Times New Roman" w:cs="Times New Roman"/>
          <w:sz w:val="24"/>
          <w:szCs w:val="24"/>
        </w:rPr>
        <w:t>an</w:t>
      </w:r>
      <w:proofErr w:type="gramEnd"/>
      <w:r w:rsidRPr="00440193">
        <w:rPr>
          <w:rFonts w:ascii="Times New Roman" w:hAnsi="Times New Roman" w:cs="Times New Roman"/>
          <w:sz w:val="24"/>
          <w:szCs w:val="24"/>
        </w:rPr>
        <w:t xml:space="preserve"> </w:t>
      </w:r>
      <w:r w:rsidR="0096452B" w:rsidRPr="00440193">
        <w:rPr>
          <w:rFonts w:ascii="Times New Roman" w:hAnsi="Times New Roman" w:cs="Times New Roman"/>
          <w:sz w:val="24"/>
          <w:szCs w:val="24"/>
        </w:rPr>
        <w:t>qualitative</w:t>
      </w:r>
      <w:r w:rsidRPr="00440193">
        <w:rPr>
          <w:rFonts w:ascii="Times New Roman" w:hAnsi="Times New Roman" w:cs="Times New Roman"/>
          <w:sz w:val="24"/>
          <w:szCs w:val="24"/>
        </w:rPr>
        <w:t xml:space="preserve"> evidence of presence of PA in molecular structure. After integration and of regions 5.0ppm (</w:t>
      </w:r>
      <m:oMath>
        <m:sSubSup>
          <m:sSubSupPr>
            <m:ctrlPr>
              <w:rPr>
                <w:rFonts w:ascii="Cambria Math" w:hAnsi="Cambria Math" w:cs="Times New Roman"/>
                <w:sz w:val="24"/>
                <w:szCs w:val="24"/>
              </w:rPr>
            </m:ctrlPr>
          </m:sSubSupPr>
          <m:e>
            <m:r>
              <w:rPr>
                <w:rFonts w:ascii="Cambria Math" w:hAnsi="Cambria Math" w:cs="Times New Roman"/>
                <w:sz w:val="24"/>
                <w:szCs w:val="24"/>
              </w:rPr>
              <m:t>A</m:t>
            </m:r>
          </m:e>
          <m:sub>
            <m:r>
              <w:rPr>
                <w:rFonts w:ascii="Cambria Math" w:hAnsi="Cambria Math" w:cs="Times New Roman"/>
                <w:sz w:val="24"/>
                <w:szCs w:val="24"/>
              </w:rPr>
              <m:t>COOH</m:t>
            </m:r>
          </m:sub>
          <m:sup>
            <m:r>
              <w:rPr>
                <w:rFonts w:ascii="Cambria Math" w:hAnsi="Cambria Math" w:cs="Times New Roman"/>
                <w:sz w:val="24"/>
                <w:szCs w:val="24"/>
              </w:rPr>
              <m:t>NMR</m:t>
            </m:r>
          </m:sup>
        </m:sSubSup>
      </m:oMath>
      <w:r w:rsidRPr="00440193">
        <w:rPr>
          <w:rFonts w:ascii="Times New Roman" w:hAnsi="Times New Roman" w:cs="Times New Roman"/>
          <w:sz w:val="24"/>
          <w:szCs w:val="24"/>
        </w:rPr>
        <w:t xml:space="preserve"> ) and 4.2ppm (</w:t>
      </w:r>
      <m:oMath>
        <m:sSubSup>
          <m:sSubSupPr>
            <m:ctrlPr>
              <w:rPr>
                <w:rFonts w:ascii="Cambria Math" w:hAnsi="Cambria Math" w:cs="Times New Roman"/>
                <w:sz w:val="24"/>
                <w:szCs w:val="24"/>
              </w:rPr>
            </m:ctrlPr>
          </m:sSubSupPr>
          <m:e>
            <m:r>
              <w:rPr>
                <w:rFonts w:ascii="Cambria Math" w:hAnsi="Cambria Math" w:cs="Times New Roman"/>
                <w:sz w:val="24"/>
                <w:szCs w:val="24"/>
              </w:rPr>
              <m:t>A</m:t>
            </m:r>
          </m:e>
          <m:sub>
            <m:r>
              <w:rPr>
                <w:rFonts w:ascii="Cambria Math" w:hAnsi="Cambria Math" w:cs="Times New Roman"/>
                <w:sz w:val="24"/>
                <w:szCs w:val="24"/>
              </w:rPr>
              <m:t>OH</m:t>
            </m:r>
          </m:sub>
          <m:sup>
            <m:r>
              <w:rPr>
                <w:rFonts w:ascii="Cambria Math" w:hAnsi="Cambria Math" w:cs="Times New Roman"/>
                <w:sz w:val="24"/>
                <w:szCs w:val="24"/>
              </w:rPr>
              <m:t>NMR</m:t>
            </m:r>
          </m:sup>
        </m:sSubSup>
      </m:oMath>
      <w:r w:rsidRPr="00440193">
        <w:rPr>
          <w:rFonts w:ascii="Times New Roman" w:eastAsiaTheme="minorEastAsia" w:hAnsi="Times New Roman" w:cs="Times New Roman"/>
          <w:sz w:val="24"/>
          <w:szCs w:val="24"/>
        </w:rPr>
        <w:t xml:space="preserve">) </w:t>
      </w:r>
      <w:r w:rsidR="0096452B" w:rsidRPr="00440193">
        <w:rPr>
          <w:rFonts w:ascii="Times New Roman" w:eastAsiaTheme="minorEastAsia" w:hAnsi="Times New Roman" w:cs="Times New Roman"/>
          <w:sz w:val="24"/>
          <w:szCs w:val="24"/>
        </w:rPr>
        <w:t>another</w:t>
      </w:r>
      <w:r w:rsidRPr="00440193">
        <w:rPr>
          <w:rFonts w:ascii="Times New Roman" w:eastAsiaTheme="minorEastAsia" w:hAnsi="Times New Roman" w:cs="Times New Roman"/>
          <w:sz w:val="24"/>
          <w:szCs w:val="24"/>
        </w:rPr>
        <w:t xml:space="preserve"> information</w:t>
      </w:r>
      <w:r w:rsidR="0096452B" w:rsidRPr="00440193">
        <w:rPr>
          <w:rFonts w:ascii="Times New Roman" w:eastAsiaTheme="minorEastAsia" w:hAnsi="Times New Roman" w:cs="Times New Roman"/>
          <w:sz w:val="24"/>
          <w:szCs w:val="24"/>
        </w:rPr>
        <w:t>,</w:t>
      </w:r>
      <w:r w:rsidRPr="00440193">
        <w:rPr>
          <w:rFonts w:ascii="Times New Roman" w:eastAsiaTheme="minorEastAsia" w:hAnsi="Times New Roman" w:cs="Times New Roman"/>
          <w:sz w:val="24"/>
          <w:szCs w:val="24"/>
        </w:rPr>
        <w:t xml:space="preserve"> which proof a non-linear character can be obtained. Because in linear PLA the number of COOH and OH end groups should be equal their ratio should be close to 1 (Table S1). In case of </w:t>
      </w:r>
      <w:r w:rsidR="00440193">
        <w:rPr>
          <w:rFonts w:ascii="Times New Roman" w:eastAsiaTheme="minorEastAsia" w:hAnsi="Times New Roman" w:cs="Times New Roman"/>
          <w:sz w:val="24"/>
          <w:szCs w:val="24"/>
        </w:rPr>
        <w:t xml:space="preserve">not </w:t>
      </w:r>
      <w:r w:rsidR="00440193" w:rsidRPr="00440193">
        <w:rPr>
          <w:rFonts w:ascii="Times New Roman" w:eastAsiaTheme="minorEastAsia" w:hAnsi="Times New Roman" w:cs="Times New Roman"/>
          <w:sz w:val="24"/>
          <w:szCs w:val="24"/>
        </w:rPr>
        <w:t>linear</w:t>
      </w:r>
      <w:r w:rsidRPr="00440193">
        <w:rPr>
          <w:rFonts w:ascii="Times New Roman" w:eastAsiaTheme="minorEastAsia" w:hAnsi="Times New Roman" w:cs="Times New Roman"/>
          <w:sz w:val="24"/>
          <w:szCs w:val="24"/>
        </w:rPr>
        <w:t xml:space="preserve"> structure with COOH enrich </w:t>
      </w:r>
      <w:r w:rsidRPr="00440193">
        <w:rPr>
          <w:rFonts w:ascii="Times New Roman" w:eastAsiaTheme="minorEastAsia" w:hAnsi="Times New Roman" w:cs="Times New Roman"/>
          <w:sz w:val="24"/>
          <w:szCs w:val="24"/>
        </w:rPr>
        <w:lastRenderedPageBreak/>
        <w:t>end group chemistry the ratio should be higher than 1, which was also detected by NMR (Table S1).</w:t>
      </w:r>
    </w:p>
    <w:p w:rsidR="0096452B" w:rsidRPr="00440193" w:rsidRDefault="0096452B" w:rsidP="00DC0F61">
      <w:pPr>
        <w:rPr>
          <w:rFonts w:ascii="Times New Roman" w:hAnsi="Times New Roman" w:cs="Times New Roman"/>
        </w:rPr>
      </w:pPr>
    </w:p>
    <w:p w:rsidR="00CE3320" w:rsidRPr="00D90325" w:rsidRDefault="00CE3320" w:rsidP="00CE3320">
      <w:pPr>
        <w:pStyle w:val="Titulek1"/>
        <w:keepNext/>
        <w:rPr>
          <w:rFonts w:ascii="Times New Roman" w:hAnsi="Times New Roman" w:cs="Times New Roman"/>
          <w:b/>
          <w:i w:val="0"/>
          <w:color w:val="auto"/>
          <w:sz w:val="24"/>
          <w:szCs w:val="24"/>
        </w:rPr>
      </w:pPr>
      <w:bookmarkStart w:id="7" w:name="Table4"/>
      <w:r w:rsidRPr="00D90325">
        <w:rPr>
          <w:rFonts w:ascii="Times New Roman" w:hAnsi="Times New Roman" w:cs="Times New Roman"/>
          <w:b/>
          <w:i w:val="0"/>
          <w:color w:val="auto"/>
          <w:sz w:val="24"/>
          <w:szCs w:val="24"/>
          <w:lang w:val="en-GB"/>
        </w:rPr>
        <w:t>Table S1.</w:t>
      </w:r>
      <w:bookmarkEnd w:id="7"/>
      <w:r w:rsidRPr="00D90325">
        <w:rPr>
          <w:rFonts w:ascii="Times New Roman" w:hAnsi="Times New Roman" w:cs="Times New Roman"/>
          <w:b/>
          <w:i w:val="0"/>
          <w:color w:val="auto"/>
          <w:sz w:val="24"/>
          <w:szCs w:val="24"/>
          <w:lang w:val="en-GB"/>
        </w:rPr>
        <w:t xml:space="preserve"> Properties of polycondensates calculated from </w:t>
      </w:r>
      <w:r w:rsidRPr="00D90325">
        <w:rPr>
          <w:rFonts w:ascii="Times New Roman" w:hAnsi="Times New Roman" w:cs="Times New Roman"/>
          <w:b/>
          <w:i w:val="0"/>
          <w:color w:val="auto"/>
          <w:sz w:val="24"/>
          <w:szCs w:val="24"/>
          <w:vertAlign w:val="superscript"/>
          <w:lang w:val="en-GB"/>
        </w:rPr>
        <w:t>1</w:t>
      </w:r>
      <w:r w:rsidRPr="00D90325">
        <w:rPr>
          <w:rFonts w:ascii="Times New Roman" w:hAnsi="Times New Roman" w:cs="Times New Roman"/>
          <w:b/>
          <w:i w:val="0"/>
          <w:color w:val="auto"/>
          <w:sz w:val="24"/>
          <w:szCs w:val="24"/>
          <w:lang w:val="en-GB"/>
        </w:rPr>
        <w:t>H NMR spectra.</w:t>
      </w:r>
    </w:p>
    <w:tbl>
      <w:tblPr>
        <w:tblW w:w="3630" w:type="dxa"/>
        <w:tblInd w:w="2728" w:type="dxa"/>
        <w:tblBorders>
          <w:top w:val="single" w:sz="12" w:space="0" w:color="000001"/>
          <w:bottom w:val="single" w:sz="12" w:space="0" w:color="000001"/>
          <w:insideH w:val="single" w:sz="12" w:space="0" w:color="000001"/>
        </w:tblBorders>
        <w:tblLook w:val="0000" w:firstRow="0" w:lastRow="0" w:firstColumn="0" w:lastColumn="0" w:noHBand="0" w:noVBand="0"/>
      </w:tblPr>
      <w:tblGrid>
        <w:gridCol w:w="1812"/>
        <w:gridCol w:w="1818"/>
      </w:tblGrid>
      <w:tr w:rsidR="00CE3320" w:rsidRPr="00440193" w:rsidTr="00440193">
        <w:tc>
          <w:tcPr>
            <w:tcW w:w="1812" w:type="dxa"/>
            <w:tcBorders>
              <w:top w:val="single" w:sz="12" w:space="0" w:color="000001"/>
              <w:bottom w:val="single" w:sz="12" w:space="0" w:color="000001"/>
            </w:tcBorders>
            <w:shd w:val="clear" w:color="auto" w:fill="auto"/>
            <w:vAlign w:val="center"/>
          </w:tcPr>
          <w:p w:rsidR="00CE3320" w:rsidRPr="00440193" w:rsidRDefault="00CE3320" w:rsidP="00997A38">
            <w:pPr>
              <w:spacing w:after="0" w:line="100" w:lineRule="atLeast"/>
              <w:jc w:val="center"/>
              <w:rPr>
                <w:rFonts w:ascii="Times New Roman" w:hAnsi="Times New Roman" w:cs="Times New Roman"/>
                <w:sz w:val="24"/>
                <w:szCs w:val="24"/>
              </w:rPr>
            </w:pPr>
          </w:p>
        </w:tc>
        <w:tc>
          <w:tcPr>
            <w:tcW w:w="1818" w:type="dxa"/>
            <w:tcBorders>
              <w:top w:val="single" w:sz="12" w:space="0" w:color="000001"/>
              <w:bottom w:val="single" w:sz="12" w:space="0" w:color="000001"/>
            </w:tcBorders>
            <w:shd w:val="clear" w:color="auto" w:fill="auto"/>
            <w:vAlign w:val="center"/>
          </w:tcPr>
          <w:p w:rsidR="00CE3320" w:rsidRPr="00440193" w:rsidRDefault="00E6135A" w:rsidP="00997A38">
            <w:pPr>
              <w:jc w:val="center"/>
              <w:rPr>
                <w:rFonts w:ascii="Times New Roman" w:hAnsi="Times New Roman" w:cs="Times New Roman"/>
                <w:sz w:val="24"/>
                <w:szCs w:val="24"/>
              </w:rPr>
            </w:pPr>
            <m:oMathPara>
              <m:oMath>
                <m:f>
                  <m:fPr>
                    <m:ctrlPr>
                      <w:rPr>
                        <w:rFonts w:ascii="Cambria Math" w:hAnsi="Cambria Math" w:cs="Times New Roman"/>
                        <w:sz w:val="24"/>
                        <w:szCs w:val="24"/>
                      </w:rPr>
                    </m:ctrlPr>
                  </m:fPr>
                  <m:num>
                    <m:sSup>
                      <m:sSupPr>
                        <m:ctrlPr>
                          <w:rPr>
                            <w:rFonts w:ascii="Cambria Math" w:hAnsi="Cambria Math" w:cs="Times New Roman"/>
                            <w:sz w:val="24"/>
                            <w:szCs w:val="24"/>
                          </w:rPr>
                        </m:ctrlPr>
                      </m:sSupPr>
                      <m:e>
                        <w:bookmarkStart w:id="8" w:name="OLE_LINK141"/>
                        <w:bookmarkStart w:id="9" w:name="OLE_LINK142"/>
                        <w:bookmarkStart w:id="10" w:name="OLE_LINK143"/>
                        <m:sSubSup>
                          <m:sSubSupPr>
                            <m:ctrlPr>
                              <w:rPr>
                                <w:rFonts w:ascii="Cambria Math" w:hAnsi="Cambria Math" w:cs="Times New Roman"/>
                                <w:sz w:val="24"/>
                                <w:szCs w:val="24"/>
                              </w:rPr>
                            </m:ctrlPr>
                          </m:sSubSupPr>
                          <m:e>
                            <m:r>
                              <w:rPr>
                                <w:rFonts w:ascii="Cambria Math" w:hAnsi="Cambria Math" w:cs="Times New Roman"/>
                                <w:sz w:val="24"/>
                                <w:szCs w:val="24"/>
                              </w:rPr>
                              <m:t>A</m:t>
                            </m:r>
                          </m:e>
                          <m:sub>
                            <m:r>
                              <w:rPr>
                                <w:rFonts w:ascii="Cambria Math" w:hAnsi="Cambria Math" w:cs="Times New Roman"/>
                                <w:sz w:val="24"/>
                                <w:szCs w:val="24"/>
                              </w:rPr>
                              <m:t>COOH</m:t>
                            </m:r>
                          </m:sub>
                          <m:sup>
                            <m:r>
                              <w:rPr>
                                <w:rFonts w:ascii="Cambria Math" w:hAnsi="Cambria Math" w:cs="Times New Roman"/>
                                <w:sz w:val="24"/>
                                <w:szCs w:val="24"/>
                              </w:rPr>
                              <m:t>NMR</m:t>
                            </m:r>
                          </m:sup>
                        </m:sSubSup>
                        <w:bookmarkEnd w:id="8"/>
                        <w:bookmarkEnd w:id="9"/>
                        <w:bookmarkEnd w:id="10"/>
                      </m:e>
                      <m:sup>
                        <m:r>
                          <w:rPr>
                            <w:rFonts w:ascii="Cambria Math" w:hAnsi="Cambria Math" w:cs="Times New Roman"/>
                            <w:sz w:val="24"/>
                            <w:szCs w:val="24"/>
                          </w:rPr>
                          <m:t>a</m:t>
                        </m:r>
                      </m:sup>
                    </m:sSup>
                  </m:num>
                  <m:den>
                    <w:bookmarkStart w:id="11" w:name="OLE_LINK144"/>
                    <m:sSubSup>
                      <m:sSubSupPr>
                        <m:ctrlPr>
                          <w:rPr>
                            <w:rFonts w:ascii="Cambria Math" w:hAnsi="Cambria Math" w:cs="Times New Roman"/>
                            <w:sz w:val="24"/>
                            <w:szCs w:val="24"/>
                          </w:rPr>
                        </m:ctrlPr>
                      </m:sSubSupPr>
                      <m:e>
                        <m:r>
                          <w:rPr>
                            <w:rFonts w:ascii="Cambria Math" w:hAnsi="Cambria Math" w:cs="Times New Roman"/>
                            <w:sz w:val="24"/>
                            <w:szCs w:val="24"/>
                          </w:rPr>
                          <m:t>A</m:t>
                        </m:r>
                      </m:e>
                      <m:sub>
                        <m:r>
                          <w:rPr>
                            <w:rFonts w:ascii="Cambria Math" w:hAnsi="Cambria Math" w:cs="Times New Roman"/>
                            <w:sz w:val="24"/>
                            <w:szCs w:val="24"/>
                          </w:rPr>
                          <m:t>OH</m:t>
                        </m:r>
                      </m:sub>
                      <m:sup>
                        <m:r>
                          <w:rPr>
                            <w:rFonts w:ascii="Cambria Math" w:hAnsi="Cambria Math" w:cs="Times New Roman"/>
                            <w:sz w:val="24"/>
                            <w:szCs w:val="24"/>
                          </w:rPr>
                          <m:t>NMR</m:t>
                        </m:r>
                      </m:sup>
                    </m:sSubSup>
                    <w:bookmarkEnd w:id="11"/>
                  </m:den>
                </m:f>
              </m:oMath>
            </m:oMathPara>
          </w:p>
        </w:tc>
      </w:tr>
      <w:tr w:rsidR="00CE3320" w:rsidRPr="00440193" w:rsidTr="00440193">
        <w:tc>
          <w:tcPr>
            <w:tcW w:w="1812" w:type="dxa"/>
            <w:tcBorders>
              <w:top w:val="single" w:sz="12" w:space="0" w:color="000001"/>
              <w:bottom w:val="single" w:sz="12" w:space="0" w:color="000001"/>
            </w:tcBorders>
            <w:shd w:val="clear" w:color="auto" w:fill="auto"/>
            <w:vAlign w:val="center"/>
          </w:tcPr>
          <w:p w:rsidR="00CE3320" w:rsidRPr="00440193" w:rsidRDefault="00CE3320" w:rsidP="00997A38">
            <w:pPr>
              <w:spacing w:after="0" w:line="100" w:lineRule="atLeast"/>
              <w:jc w:val="center"/>
              <w:rPr>
                <w:rFonts w:ascii="Times New Roman" w:eastAsia="Times New Roman" w:hAnsi="Times New Roman" w:cs="Times New Roman"/>
                <w:b/>
                <w:sz w:val="24"/>
                <w:szCs w:val="24"/>
              </w:rPr>
            </w:pPr>
            <w:r w:rsidRPr="00440193">
              <w:rPr>
                <w:rFonts w:ascii="Times New Roman" w:eastAsia="Times New Roman" w:hAnsi="Times New Roman" w:cs="Times New Roman"/>
                <w:b/>
                <w:sz w:val="24"/>
                <w:szCs w:val="24"/>
              </w:rPr>
              <w:t>PLA</w:t>
            </w:r>
          </w:p>
        </w:tc>
        <w:tc>
          <w:tcPr>
            <w:tcW w:w="1818" w:type="dxa"/>
            <w:tcBorders>
              <w:top w:val="single" w:sz="12" w:space="0" w:color="000001"/>
              <w:bottom w:val="single" w:sz="12" w:space="0" w:color="000001"/>
            </w:tcBorders>
            <w:shd w:val="clear" w:color="auto" w:fill="auto"/>
            <w:vAlign w:val="center"/>
          </w:tcPr>
          <w:p w:rsidR="00CE3320" w:rsidRPr="00440193" w:rsidRDefault="00CE3320" w:rsidP="00997A38">
            <w:pPr>
              <w:spacing w:after="0" w:line="100" w:lineRule="atLeast"/>
              <w:jc w:val="center"/>
              <w:rPr>
                <w:rFonts w:ascii="Times New Roman" w:hAnsi="Times New Roman" w:cs="Times New Roman"/>
                <w:sz w:val="24"/>
                <w:szCs w:val="24"/>
              </w:rPr>
            </w:pPr>
            <w:r w:rsidRPr="00440193">
              <w:rPr>
                <w:rFonts w:ascii="Times New Roman" w:hAnsi="Times New Roman" w:cs="Times New Roman"/>
                <w:sz w:val="24"/>
                <w:szCs w:val="24"/>
              </w:rPr>
              <w:t>0.98</w:t>
            </w:r>
          </w:p>
        </w:tc>
      </w:tr>
      <w:tr w:rsidR="00CE3320" w:rsidRPr="00440193" w:rsidTr="00440193">
        <w:tc>
          <w:tcPr>
            <w:tcW w:w="1812" w:type="dxa"/>
            <w:tcBorders>
              <w:top w:val="single" w:sz="12" w:space="0" w:color="000001"/>
              <w:bottom w:val="single" w:sz="12" w:space="0" w:color="000001"/>
            </w:tcBorders>
            <w:shd w:val="clear" w:color="auto" w:fill="auto"/>
            <w:vAlign w:val="center"/>
          </w:tcPr>
          <w:p w:rsidR="00CE3320" w:rsidRPr="00440193" w:rsidRDefault="00CE3320" w:rsidP="00997A38">
            <w:pPr>
              <w:spacing w:after="0" w:line="100" w:lineRule="atLeast"/>
              <w:jc w:val="center"/>
              <w:rPr>
                <w:rFonts w:ascii="Times New Roman" w:eastAsia="Times New Roman" w:hAnsi="Times New Roman" w:cs="Times New Roman"/>
                <w:b/>
                <w:sz w:val="24"/>
                <w:szCs w:val="24"/>
              </w:rPr>
            </w:pPr>
            <w:r w:rsidRPr="00440193">
              <w:rPr>
                <w:rFonts w:ascii="Times New Roman" w:eastAsia="Times New Roman" w:hAnsi="Times New Roman" w:cs="Times New Roman"/>
                <w:b/>
                <w:sz w:val="24"/>
                <w:szCs w:val="24"/>
              </w:rPr>
              <w:t>SPLA</w:t>
            </w:r>
          </w:p>
        </w:tc>
        <w:tc>
          <w:tcPr>
            <w:tcW w:w="1818" w:type="dxa"/>
            <w:tcBorders>
              <w:top w:val="single" w:sz="12" w:space="0" w:color="000001"/>
              <w:bottom w:val="single" w:sz="12" w:space="0" w:color="000001"/>
            </w:tcBorders>
            <w:shd w:val="clear" w:color="auto" w:fill="auto"/>
            <w:vAlign w:val="center"/>
          </w:tcPr>
          <w:p w:rsidR="00CE3320" w:rsidRPr="00440193" w:rsidRDefault="00CE3320" w:rsidP="00997A38">
            <w:pPr>
              <w:spacing w:after="0" w:line="100" w:lineRule="atLeast"/>
              <w:jc w:val="center"/>
              <w:rPr>
                <w:rFonts w:ascii="Times New Roman" w:hAnsi="Times New Roman" w:cs="Times New Roman"/>
                <w:sz w:val="24"/>
                <w:szCs w:val="24"/>
              </w:rPr>
            </w:pPr>
            <w:r w:rsidRPr="00440193">
              <w:rPr>
                <w:rFonts w:ascii="Times New Roman" w:hAnsi="Times New Roman" w:cs="Times New Roman"/>
                <w:sz w:val="24"/>
                <w:szCs w:val="24"/>
              </w:rPr>
              <w:t>1.51</w:t>
            </w:r>
          </w:p>
        </w:tc>
      </w:tr>
    </w:tbl>
    <w:p w:rsidR="00440193" w:rsidRDefault="00440193" w:rsidP="00CE3320">
      <w:pPr>
        <w:spacing w:after="0" w:line="20" w:lineRule="atLeast"/>
        <w:jc w:val="both"/>
        <w:rPr>
          <w:rFonts w:ascii="Times New Roman" w:hAnsi="Times New Roman" w:cs="Times New Roman"/>
          <w:i/>
          <w:sz w:val="24"/>
          <w:szCs w:val="24"/>
        </w:rPr>
      </w:pPr>
    </w:p>
    <w:p w:rsidR="00CE3320" w:rsidRPr="00440193" w:rsidRDefault="00CE3320" w:rsidP="00CE3320">
      <w:pPr>
        <w:spacing w:after="0" w:line="20" w:lineRule="atLeast"/>
        <w:jc w:val="both"/>
        <w:rPr>
          <w:rFonts w:ascii="Times New Roman" w:hAnsi="Times New Roman" w:cs="Times New Roman"/>
          <w:sz w:val="24"/>
          <w:szCs w:val="24"/>
        </w:rPr>
      </w:pPr>
      <w:r w:rsidRPr="00440193">
        <w:rPr>
          <w:rFonts w:ascii="Times New Roman" w:hAnsi="Times New Roman" w:cs="Times New Roman"/>
          <w:i/>
          <w:sz w:val="24"/>
          <w:szCs w:val="24"/>
        </w:rPr>
        <w:t xml:space="preserve">a – molar ratio between carboxylic and </w:t>
      </w:r>
      <w:proofErr w:type="spellStart"/>
      <w:r w:rsidRPr="00440193">
        <w:rPr>
          <w:rFonts w:ascii="Times New Roman" w:hAnsi="Times New Roman" w:cs="Times New Roman"/>
          <w:i/>
          <w:sz w:val="24"/>
          <w:szCs w:val="24"/>
        </w:rPr>
        <w:t>hydroxylic</w:t>
      </w:r>
      <w:proofErr w:type="spellEnd"/>
      <w:r w:rsidRPr="00440193">
        <w:rPr>
          <w:rFonts w:ascii="Times New Roman" w:hAnsi="Times New Roman" w:cs="Times New Roman"/>
          <w:i/>
          <w:sz w:val="24"/>
          <w:szCs w:val="24"/>
        </w:rPr>
        <w:t xml:space="preserve"> end groups </w:t>
      </w:r>
    </w:p>
    <w:p w:rsidR="0096452B" w:rsidRPr="00440193" w:rsidRDefault="0096452B" w:rsidP="00DC0F61">
      <w:pPr>
        <w:rPr>
          <w:rFonts w:ascii="Times New Roman" w:hAnsi="Times New Roman" w:cs="Times New Roman"/>
        </w:rPr>
      </w:pPr>
    </w:p>
    <w:p w:rsidR="0096452B" w:rsidRPr="00440193" w:rsidRDefault="0096452B" w:rsidP="00DC0F61">
      <w:pPr>
        <w:rPr>
          <w:rFonts w:ascii="Times New Roman" w:hAnsi="Times New Roman" w:cs="Times New Roman"/>
        </w:rPr>
      </w:pPr>
    </w:p>
    <w:p w:rsidR="0096452B" w:rsidRPr="00440193" w:rsidRDefault="00440193" w:rsidP="0096452B">
      <w:pPr>
        <w:jc w:val="both"/>
        <w:rPr>
          <w:rFonts w:ascii="Times New Roman" w:hAnsi="Times New Roman" w:cs="Times New Roman"/>
        </w:rPr>
      </w:pPr>
      <w:r w:rsidRPr="00440193">
        <w:rPr>
          <w:rFonts w:ascii="Times New Roman" w:hAnsi="Times New Roman" w:cs="Times New Roman"/>
        </w:rPr>
        <w:t>The</w:t>
      </w:r>
      <w:r w:rsidRPr="00440193">
        <w:rPr>
          <w:rFonts w:ascii="Times New Roman" w:hAnsi="Times New Roman" w:cs="Times New Roman"/>
          <w:b/>
        </w:rPr>
        <w:t xml:space="preserve"> </w:t>
      </w:r>
      <w:r w:rsidR="0096452B" w:rsidRPr="00440193">
        <w:rPr>
          <w:rFonts w:ascii="Times New Roman" w:hAnsi="Times New Roman" w:cs="Times New Roman"/>
        </w:rPr>
        <w:t xml:space="preserve">signals of COOH and OH were derived from CH responses directly neighbouring with these terminal groups and are very easily detectable in case of low molecular weight PLA under normal conditions.  </w:t>
      </w:r>
    </w:p>
    <w:p w:rsidR="00440193" w:rsidRDefault="00440193" w:rsidP="0096452B">
      <w:pPr>
        <w:jc w:val="both"/>
      </w:pPr>
    </w:p>
    <w:p w:rsidR="0096452B" w:rsidRPr="00DC0F61" w:rsidRDefault="0096452B" w:rsidP="00DC0F61"/>
    <w:sectPr w:rsidR="0096452B" w:rsidRPr="00DC0F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38">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Italic">
    <w:altName w:val="Times New Roman"/>
    <w:panose1 w:val="00000000000000000000"/>
    <w:charset w:val="00"/>
    <w:family w:val="roman"/>
    <w:notTrueType/>
    <w:pitch w:val="default"/>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96A"/>
    <w:rsid w:val="0020496A"/>
    <w:rsid w:val="00440193"/>
    <w:rsid w:val="006029C6"/>
    <w:rsid w:val="0096452B"/>
    <w:rsid w:val="009E5673"/>
    <w:rsid w:val="00A63699"/>
    <w:rsid w:val="00A872F7"/>
    <w:rsid w:val="00AE4662"/>
    <w:rsid w:val="00C65FCF"/>
    <w:rsid w:val="00CB2C58"/>
    <w:rsid w:val="00CE3320"/>
    <w:rsid w:val="00D00D6B"/>
    <w:rsid w:val="00D90325"/>
    <w:rsid w:val="00DB3BB5"/>
    <w:rsid w:val="00DC0F61"/>
    <w:rsid w:val="00E6135A"/>
    <w:rsid w:val="00EC31E1"/>
    <w:rsid w:val="00FD5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itulek">
    <w:name w:val="caption"/>
    <w:basedOn w:val="Normln"/>
    <w:next w:val="Normln"/>
    <w:uiPriority w:val="35"/>
    <w:unhideWhenUsed/>
    <w:qFormat/>
    <w:rsid w:val="00EC31E1"/>
    <w:pPr>
      <w:spacing w:after="200" w:line="240" w:lineRule="auto"/>
    </w:pPr>
    <w:rPr>
      <w:i/>
      <w:iCs/>
      <w:color w:val="44546A" w:themeColor="text2"/>
      <w:sz w:val="18"/>
      <w:szCs w:val="18"/>
    </w:rPr>
  </w:style>
  <w:style w:type="paragraph" w:customStyle="1" w:styleId="Titulek1">
    <w:name w:val="Titulek1"/>
    <w:basedOn w:val="Normln"/>
    <w:qFormat/>
    <w:rsid w:val="00CE3320"/>
    <w:pPr>
      <w:suppressAutoHyphens/>
      <w:overflowPunct w:val="0"/>
      <w:spacing w:after="200" w:line="100" w:lineRule="atLeast"/>
    </w:pPr>
    <w:rPr>
      <w:rFonts w:ascii="Calibri" w:eastAsia="SimSun" w:hAnsi="Calibri" w:cs="font338"/>
      <w:i/>
      <w:iCs/>
      <w:color w:val="44546A"/>
      <w:sz w:val="18"/>
      <w:szCs w:val="18"/>
      <w:lang w:val="cs-CZ" w:eastAsia="ar-SA"/>
    </w:rPr>
  </w:style>
  <w:style w:type="paragraph" w:styleId="Textbubliny">
    <w:name w:val="Balloon Text"/>
    <w:basedOn w:val="Normln"/>
    <w:link w:val="TextbublinyChar"/>
    <w:uiPriority w:val="99"/>
    <w:semiHidden/>
    <w:unhideWhenUsed/>
    <w:rsid w:val="00AE466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4662"/>
    <w:rPr>
      <w:rFonts w:ascii="Tahoma" w:hAnsi="Tahoma" w:cs="Tahoma"/>
      <w:sz w:val="16"/>
      <w:szCs w:val="16"/>
    </w:rPr>
  </w:style>
  <w:style w:type="character" w:styleId="Hypertextovodkaz">
    <w:name w:val="Hyperlink"/>
    <w:basedOn w:val="Standardnpsmoodstavce"/>
    <w:uiPriority w:val="99"/>
    <w:unhideWhenUsed/>
    <w:rsid w:val="00D9032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itulek">
    <w:name w:val="caption"/>
    <w:basedOn w:val="Normln"/>
    <w:next w:val="Normln"/>
    <w:uiPriority w:val="35"/>
    <w:unhideWhenUsed/>
    <w:qFormat/>
    <w:rsid w:val="00EC31E1"/>
    <w:pPr>
      <w:spacing w:after="200" w:line="240" w:lineRule="auto"/>
    </w:pPr>
    <w:rPr>
      <w:i/>
      <w:iCs/>
      <w:color w:val="44546A" w:themeColor="text2"/>
      <w:sz w:val="18"/>
      <w:szCs w:val="18"/>
    </w:rPr>
  </w:style>
  <w:style w:type="paragraph" w:customStyle="1" w:styleId="Titulek1">
    <w:name w:val="Titulek1"/>
    <w:basedOn w:val="Normln"/>
    <w:qFormat/>
    <w:rsid w:val="00CE3320"/>
    <w:pPr>
      <w:suppressAutoHyphens/>
      <w:overflowPunct w:val="0"/>
      <w:spacing w:after="200" w:line="100" w:lineRule="atLeast"/>
    </w:pPr>
    <w:rPr>
      <w:rFonts w:ascii="Calibri" w:eastAsia="SimSun" w:hAnsi="Calibri" w:cs="font338"/>
      <w:i/>
      <w:iCs/>
      <w:color w:val="44546A"/>
      <w:sz w:val="18"/>
      <w:szCs w:val="18"/>
      <w:lang w:val="cs-CZ" w:eastAsia="ar-SA"/>
    </w:rPr>
  </w:style>
  <w:style w:type="paragraph" w:styleId="Textbubliny">
    <w:name w:val="Balloon Text"/>
    <w:basedOn w:val="Normln"/>
    <w:link w:val="TextbublinyChar"/>
    <w:uiPriority w:val="99"/>
    <w:semiHidden/>
    <w:unhideWhenUsed/>
    <w:rsid w:val="00AE466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4662"/>
    <w:rPr>
      <w:rFonts w:ascii="Tahoma" w:hAnsi="Tahoma" w:cs="Tahoma"/>
      <w:sz w:val="16"/>
      <w:szCs w:val="16"/>
    </w:rPr>
  </w:style>
  <w:style w:type="character" w:styleId="Hypertextovodkaz">
    <w:name w:val="Hyperlink"/>
    <w:basedOn w:val="Standardnpsmoodstavce"/>
    <w:uiPriority w:val="99"/>
    <w:unhideWhenUsed/>
    <w:rsid w:val="00D903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357</Words>
  <Characters>2109</Characters>
  <Application>Microsoft Office Word</Application>
  <DocSecurity>0</DocSecurity>
  <Lines>17</Lines>
  <Paragraphs>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Kucharczyk Pavel</dc:creator>
  <cp:lastModifiedBy>Laďa</cp:lastModifiedBy>
  <cp:revision>3</cp:revision>
  <dcterms:created xsi:type="dcterms:W3CDTF">2016-10-31T19:55:00Z</dcterms:created>
  <dcterms:modified xsi:type="dcterms:W3CDTF">2016-10-31T19:56:00Z</dcterms:modified>
</cp:coreProperties>
</file>