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E74C3" w14:textId="77777777" w:rsidR="00D254F0" w:rsidRPr="004C0059" w:rsidRDefault="00D254F0" w:rsidP="00D254F0">
      <w:pPr>
        <w:spacing w:before="120" w:after="120" w:line="360" w:lineRule="auto"/>
        <w:rPr>
          <w:rFonts w:cstheme="minorHAnsi"/>
          <w:b/>
        </w:rPr>
      </w:pPr>
      <w:r>
        <w:rPr>
          <w:rFonts w:cstheme="minorHAnsi"/>
          <w:b/>
        </w:rPr>
        <w:t xml:space="preserve">Supplemental </w:t>
      </w:r>
      <w:r w:rsidRPr="004C0059">
        <w:rPr>
          <w:rFonts w:cstheme="minorHAnsi"/>
          <w:b/>
        </w:rPr>
        <w:t xml:space="preserve">Figure </w:t>
      </w:r>
      <w:r>
        <w:rPr>
          <w:rFonts w:cstheme="minorHAnsi"/>
          <w:b/>
        </w:rPr>
        <w:t>1</w:t>
      </w:r>
      <w:r w:rsidRPr="004C0059">
        <w:rPr>
          <w:rFonts w:cstheme="minorHAnsi"/>
        </w:rPr>
        <w:t xml:space="preserve">. </w:t>
      </w:r>
      <w:r>
        <w:rPr>
          <w:rFonts w:cstheme="minorHAnsi"/>
        </w:rPr>
        <w:t>U-87 MG xenograft study</w:t>
      </w:r>
      <w:bookmarkStart w:id="0" w:name="_GoBack"/>
      <w:bookmarkEnd w:id="0"/>
    </w:p>
    <w:p w14:paraId="52120C0B" w14:textId="77777777" w:rsidR="00D254F0" w:rsidRDefault="00D254F0" w:rsidP="00D254F0">
      <w:pPr>
        <w:spacing w:before="120" w:after="120" w:line="360" w:lineRule="auto"/>
        <w:rPr>
          <w:rFonts w:cstheme="minorHAnsi"/>
        </w:rPr>
      </w:pPr>
      <w:r>
        <w:rPr>
          <w:noProof/>
          <w:lang w:val="en-IN" w:eastAsia="en-IN"/>
        </w:rPr>
        <w:drawing>
          <wp:inline distT="0" distB="0" distL="0" distR="0" wp14:anchorId="76787799" wp14:editId="06911741">
            <wp:extent cx="5943600" cy="27279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4EC79" w14:textId="77777777" w:rsidR="00D254F0" w:rsidRDefault="00D254F0" w:rsidP="00D254F0">
      <w:pPr>
        <w:spacing w:before="120" w:after="120" w:line="360" w:lineRule="auto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Median t</w:t>
      </w:r>
      <w:r w:rsidRPr="00F103C9">
        <w:rPr>
          <w:rFonts w:cstheme="minorHAnsi"/>
          <w:sz w:val="18"/>
          <w:szCs w:val="18"/>
        </w:rPr>
        <w:t xml:space="preserve">umor </w:t>
      </w:r>
      <w:r>
        <w:rPr>
          <w:rFonts w:cstheme="minorHAnsi"/>
          <w:sz w:val="18"/>
          <w:szCs w:val="18"/>
        </w:rPr>
        <w:t>volumes of</w:t>
      </w:r>
      <w:r w:rsidRPr="00F103C9">
        <w:rPr>
          <w:rFonts w:cstheme="minorHAnsi"/>
          <w:sz w:val="18"/>
          <w:szCs w:val="18"/>
        </w:rPr>
        <w:t xml:space="preserve"> U</w:t>
      </w:r>
      <w:r>
        <w:rPr>
          <w:rFonts w:cstheme="minorHAnsi"/>
          <w:sz w:val="18"/>
          <w:szCs w:val="18"/>
        </w:rPr>
        <w:t>-</w:t>
      </w:r>
      <w:r w:rsidRPr="00F103C9">
        <w:rPr>
          <w:rFonts w:cstheme="minorHAnsi"/>
          <w:sz w:val="18"/>
          <w:szCs w:val="18"/>
        </w:rPr>
        <w:t>87</w:t>
      </w:r>
      <w:r>
        <w:rPr>
          <w:rFonts w:cstheme="minorHAnsi"/>
          <w:sz w:val="18"/>
          <w:szCs w:val="18"/>
        </w:rPr>
        <w:t xml:space="preserve"> </w:t>
      </w:r>
      <w:r w:rsidRPr="00F103C9">
        <w:rPr>
          <w:rFonts w:cstheme="minorHAnsi"/>
          <w:sz w:val="18"/>
          <w:szCs w:val="18"/>
        </w:rPr>
        <w:t>MG</w:t>
      </w:r>
      <w:r>
        <w:rPr>
          <w:rFonts w:cstheme="minorHAnsi"/>
          <w:sz w:val="18"/>
          <w:szCs w:val="18"/>
        </w:rPr>
        <w:t xml:space="preserve"> xenografts in the indicated treatment groups (G1 to G7). AA signifies the hydrochloride salt of the respective compound. Numbers in parentheses indicate the dose in mg/kg of the respective compound salt; po, administration by oral gavage; qd, once daily; x 21 or x 5 indicate that treatments lasted for 21 or 5 days, respectively; combination treatments lasted for 21 days. Vehicle 1 = </w:t>
      </w:r>
      <w:r w:rsidRPr="00F46DA3">
        <w:rPr>
          <w:rFonts w:cstheme="minorHAnsi"/>
          <w:sz w:val="18"/>
          <w:szCs w:val="18"/>
        </w:rPr>
        <w:t>0.25% methylcellulose and 0.05% Tween® 80 in deionized water</w:t>
      </w:r>
      <w:r>
        <w:rPr>
          <w:rFonts w:cstheme="minorHAnsi"/>
          <w:sz w:val="18"/>
          <w:szCs w:val="18"/>
        </w:rPr>
        <w:t xml:space="preserve">, Vehicle 2 = </w:t>
      </w:r>
      <w:r w:rsidRPr="00F46DA3">
        <w:rPr>
          <w:rFonts w:cstheme="minorHAnsi"/>
          <w:sz w:val="18"/>
          <w:szCs w:val="18"/>
        </w:rPr>
        <w:t>0.5% methylcellulose and 0.</w:t>
      </w:r>
      <w:r>
        <w:rPr>
          <w:rFonts w:cstheme="minorHAnsi"/>
          <w:sz w:val="18"/>
          <w:szCs w:val="18"/>
        </w:rPr>
        <w:t>5% Tween® 80 in deionized water. Animals were</w:t>
      </w:r>
      <w:r w:rsidRPr="00F46DA3">
        <w:rPr>
          <w:rFonts w:cstheme="minorHAnsi"/>
          <w:sz w:val="18"/>
          <w:szCs w:val="18"/>
        </w:rPr>
        <w:t xml:space="preserve"> euthanized when </w:t>
      </w:r>
      <w:r>
        <w:rPr>
          <w:rFonts w:cstheme="minorHAnsi"/>
          <w:sz w:val="18"/>
          <w:szCs w:val="18"/>
        </w:rPr>
        <w:t>their xenograft</w:t>
      </w:r>
      <w:r w:rsidRPr="00F46DA3">
        <w:rPr>
          <w:rFonts w:cstheme="minorHAnsi"/>
          <w:sz w:val="18"/>
          <w:szCs w:val="18"/>
        </w:rPr>
        <w:t xml:space="preserve"> reached the endpoint volume (2000</w:t>
      </w:r>
      <w:r>
        <w:rPr>
          <w:rFonts w:cstheme="minorHAnsi"/>
          <w:sz w:val="18"/>
          <w:szCs w:val="18"/>
        </w:rPr>
        <w:t xml:space="preserve"> </w:t>
      </w:r>
      <w:r w:rsidRPr="00F46DA3">
        <w:rPr>
          <w:rFonts w:cstheme="minorHAnsi"/>
          <w:sz w:val="18"/>
          <w:szCs w:val="18"/>
        </w:rPr>
        <w:t>mm</w:t>
      </w:r>
      <w:r w:rsidRPr="005C116F">
        <w:rPr>
          <w:rFonts w:cstheme="minorHAnsi"/>
          <w:sz w:val="18"/>
          <w:szCs w:val="18"/>
          <w:vertAlign w:val="superscript"/>
        </w:rPr>
        <w:t>3</w:t>
      </w:r>
      <w:r w:rsidRPr="00F46DA3">
        <w:rPr>
          <w:rFonts w:cstheme="minorHAnsi"/>
          <w:sz w:val="18"/>
          <w:szCs w:val="18"/>
        </w:rPr>
        <w:t>), or on the last day of the study (D51).</w:t>
      </w:r>
      <w:r>
        <w:rPr>
          <w:rFonts w:cstheme="minorHAnsi"/>
          <w:sz w:val="18"/>
          <w:szCs w:val="18"/>
        </w:rPr>
        <w:t xml:space="preserve"> </w:t>
      </w:r>
    </w:p>
    <w:p w14:paraId="4FD095B4" w14:textId="0D0B605F" w:rsidR="00D254F0" w:rsidRDefault="00D254F0" w:rsidP="00D254F0">
      <w:pPr>
        <w:spacing w:before="120" w:after="120" w:line="360" w:lineRule="auto"/>
        <w:rPr>
          <w:rFonts w:cstheme="minorHAnsi"/>
          <w:sz w:val="18"/>
          <w:szCs w:val="18"/>
        </w:rPr>
      </w:pPr>
      <w:r w:rsidRPr="005A29F4">
        <w:rPr>
          <w:rFonts w:cstheme="minorHAnsi" w:hint="eastAsia"/>
          <w:sz w:val="18"/>
          <w:szCs w:val="18"/>
        </w:rPr>
        <w:t>Because of rapid tumor progression</w:t>
      </w:r>
      <w:r>
        <w:rPr>
          <w:rFonts w:cstheme="minorHAnsi"/>
          <w:sz w:val="18"/>
          <w:szCs w:val="18"/>
        </w:rPr>
        <w:t xml:space="preserve"> in some of the treatment groups</w:t>
      </w:r>
      <w:r w:rsidRPr="005A29F4">
        <w:rPr>
          <w:rFonts w:cstheme="minorHAnsi" w:hint="eastAsia"/>
          <w:sz w:val="18"/>
          <w:szCs w:val="18"/>
        </w:rPr>
        <w:t>, short-term activity was analyzed on D13. Efficacy was determined as T/C (%), the percent mean tumor volume change from D1 to D13 in drug-treated (</w:t>
      </w:r>
      <w:r>
        <w:rPr>
          <w:rFonts w:cstheme="minorHAnsi"/>
          <w:sz w:val="18"/>
          <w:szCs w:val="18"/>
        </w:rPr>
        <w:t>Δ</w:t>
      </w:r>
      <w:r w:rsidRPr="005A29F4">
        <w:rPr>
          <w:rFonts w:cstheme="minorHAnsi" w:hint="eastAsia"/>
          <w:sz w:val="18"/>
          <w:szCs w:val="18"/>
        </w:rPr>
        <w:t>T) versus vehicle-treated (</w:t>
      </w:r>
      <w:r>
        <w:rPr>
          <w:rFonts w:cstheme="minorHAnsi"/>
          <w:sz w:val="18"/>
          <w:szCs w:val="18"/>
        </w:rPr>
        <w:t>Δ</w:t>
      </w:r>
      <w:r w:rsidRPr="005A29F4">
        <w:rPr>
          <w:rFonts w:cstheme="minorHAnsi" w:hint="eastAsia"/>
          <w:sz w:val="18"/>
          <w:szCs w:val="18"/>
        </w:rPr>
        <w:t>C, 2512 mm</w:t>
      </w:r>
      <w:r w:rsidRPr="005C116F">
        <w:rPr>
          <w:rFonts w:cstheme="minorHAnsi"/>
          <w:sz w:val="18"/>
          <w:szCs w:val="18"/>
          <w:vertAlign w:val="superscript"/>
        </w:rPr>
        <w:t>3</w:t>
      </w:r>
      <w:r w:rsidRPr="005A29F4">
        <w:rPr>
          <w:rFonts w:cstheme="minorHAnsi" w:hint="eastAsia"/>
          <w:sz w:val="18"/>
          <w:szCs w:val="18"/>
        </w:rPr>
        <w:t>) mice, or as T/T0, the group mean</w:t>
      </w:r>
      <w:r w:rsidRPr="005A29F4">
        <w:rPr>
          <w:rFonts w:cstheme="minorHAnsi"/>
          <w:sz w:val="18"/>
          <w:szCs w:val="18"/>
        </w:rPr>
        <w:t xml:space="preserve"> reduction in tumor volume from D1. A T/C ≤ 40% generally indicates potential therapeutic activity. All drug-treated groups were compared to the control group with Kruskal-Wallis analysis and Dunn’s post hoc multiple comparison test; these tests were repeated to compare the low-dose INC280 combination to its corresponding monotherapies. Temozolomide at 100 mg/kg produced 48% T/C, and did not achieve significant inhibition in this analysis. INC280 monotherapies at 17.7 and 35.3 mg/kg resulted in weakly dose-dependent 5% and 1% T/C, and significant median growth inhibition (P &lt; 0.01 and P &lt; 0.001), respectively. BKM120 monotherapy at 32.7 mg/kg resulted in 31% T/C, and non</w:t>
      </w:r>
      <w:r>
        <w:rPr>
          <w:rFonts w:cstheme="minorHAnsi"/>
          <w:sz w:val="18"/>
          <w:szCs w:val="18"/>
        </w:rPr>
        <w:t>-</w:t>
      </w:r>
      <w:r w:rsidRPr="005A29F4">
        <w:rPr>
          <w:rFonts w:cstheme="minorHAnsi"/>
          <w:sz w:val="18"/>
          <w:szCs w:val="18"/>
        </w:rPr>
        <w:t>significant inhibition.</w:t>
      </w:r>
      <w:r>
        <w:rPr>
          <w:rFonts w:cstheme="minorHAnsi"/>
          <w:sz w:val="18"/>
          <w:szCs w:val="18"/>
        </w:rPr>
        <w:t xml:space="preserve"> </w:t>
      </w:r>
      <w:r w:rsidRPr="005A29F4">
        <w:rPr>
          <w:rFonts w:cstheme="minorHAnsi"/>
          <w:sz w:val="18"/>
          <w:szCs w:val="18"/>
        </w:rPr>
        <w:t>Both combinations yielded significant median activity (P &lt; 0.001). INC280/BKM120 at the 17.7:32.7 mg/kg dose ratio produced –83% T/T0, and significantly outperformed the corresponding INC280 (P &lt; 0.05) and BKM120 (P &lt; 0.001) monotherapies. INC280/BKM120 at the 58.8:5.4 mg/kg ratio produced –75% T/T0; no monotherapies corresponded to this combination.</w:t>
      </w:r>
    </w:p>
    <w:p w14:paraId="100BF9A1" w14:textId="77777777" w:rsidR="00D254F0" w:rsidRDefault="00D254F0" w:rsidP="00D254F0">
      <w:pPr>
        <w:spacing w:before="120" w:after="120" w:line="360" w:lineRule="auto"/>
        <w:rPr>
          <w:rFonts w:eastAsia="TimesNewRoman" w:cstheme="minorHAnsi"/>
          <w:sz w:val="18"/>
          <w:szCs w:val="18"/>
        </w:rPr>
      </w:pPr>
      <w:r>
        <w:rPr>
          <w:rFonts w:eastAsia="TimesNewRoman" w:cstheme="minorHAnsi"/>
          <w:sz w:val="18"/>
          <w:szCs w:val="18"/>
        </w:rPr>
        <w:t>The study was conducted in compliance</w:t>
      </w:r>
      <w:r w:rsidRPr="00F14CE5">
        <w:rPr>
          <w:rFonts w:eastAsia="TimesNewRoman" w:cstheme="minorHAnsi"/>
          <w:sz w:val="18"/>
          <w:szCs w:val="18"/>
        </w:rPr>
        <w:t xml:space="preserve"> with the recommendations of the Guide for Care and Use of Laboratory</w:t>
      </w:r>
      <w:r>
        <w:rPr>
          <w:rFonts w:eastAsia="TimesNewRoman" w:cstheme="minorHAnsi"/>
          <w:sz w:val="18"/>
          <w:szCs w:val="18"/>
        </w:rPr>
        <w:t xml:space="preserve"> </w:t>
      </w:r>
      <w:r w:rsidRPr="00F14CE5">
        <w:rPr>
          <w:rFonts w:eastAsia="TimesNewRoman" w:cstheme="minorHAnsi"/>
          <w:sz w:val="18"/>
          <w:szCs w:val="18"/>
        </w:rPr>
        <w:t>Animals with respect to restraint, husbandry, surgical procedures, feed and fluid</w:t>
      </w:r>
      <w:r>
        <w:rPr>
          <w:rFonts w:eastAsia="TimesNewRoman" w:cstheme="minorHAnsi"/>
          <w:sz w:val="18"/>
          <w:szCs w:val="18"/>
        </w:rPr>
        <w:t xml:space="preserve"> </w:t>
      </w:r>
      <w:r w:rsidRPr="00F14CE5">
        <w:rPr>
          <w:rFonts w:eastAsia="TimesNewRoman" w:cstheme="minorHAnsi"/>
          <w:sz w:val="18"/>
          <w:szCs w:val="18"/>
        </w:rPr>
        <w:t xml:space="preserve">regulation, and veterinary care. The animal program at </w:t>
      </w:r>
      <w:r>
        <w:rPr>
          <w:rFonts w:eastAsia="TimesNewRoman" w:cstheme="minorHAnsi"/>
          <w:sz w:val="18"/>
          <w:szCs w:val="18"/>
        </w:rPr>
        <w:t>the CRO that conducted the experiment (Piedmont Research Center)</w:t>
      </w:r>
      <w:r w:rsidRPr="00F14CE5">
        <w:rPr>
          <w:rFonts w:eastAsia="TimesNewRoman" w:cstheme="minorHAnsi"/>
          <w:sz w:val="18"/>
          <w:szCs w:val="18"/>
        </w:rPr>
        <w:t xml:space="preserve"> is accredited by the</w:t>
      </w:r>
      <w:r>
        <w:rPr>
          <w:rFonts w:eastAsia="TimesNewRoman" w:cstheme="minorHAnsi"/>
          <w:sz w:val="18"/>
          <w:szCs w:val="18"/>
        </w:rPr>
        <w:t xml:space="preserve"> </w:t>
      </w:r>
      <w:r w:rsidRPr="00F14CE5">
        <w:rPr>
          <w:rFonts w:eastAsia="TimesNewRoman" w:cstheme="minorHAnsi"/>
          <w:sz w:val="18"/>
          <w:szCs w:val="18"/>
        </w:rPr>
        <w:t>Association for Assessment and Accreditation of Laboratory Animal Care (AAALAC)</w:t>
      </w:r>
      <w:r>
        <w:rPr>
          <w:rFonts w:eastAsia="TimesNewRoman" w:cstheme="minorHAnsi"/>
          <w:sz w:val="18"/>
          <w:szCs w:val="18"/>
        </w:rPr>
        <w:t xml:space="preserve"> </w:t>
      </w:r>
      <w:r w:rsidRPr="00F14CE5">
        <w:rPr>
          <w:rFonts w:eastAsia="TimesNewRoman" w:cstheme="minorHAnsi"/>
          <w:sz w:val="18"/>
          <w:szCs w:val="18"/>
        </w:rPr>
        <w:t>International, which assures compliance with accepted standards for the care and use of</w:t>
      </w:r>
      <w:r>
        <w:rPr>
          <w:rFonts w:eastAsia="TimesNewRoman" w:cstheme="minorHAnsi"/>
          <w:sz w:val="18"/>
          <w:szCs w:val="18"/>
        </w:rPr>
        <w:t xml:space="preserve"> </w:t>
      </w:r>
      <w:r w:rsidRPr="00F14CE5">
        <w:rPr>
          <w:rFonts w:eastAsia="TimesNewRoman" w:cstheme="minorHAnsi"/>
          <w:sz w:val="18"/>
          <w:szCs w:val="18"/>
        </w:rPr>
        <w:t>laboratory animals.</w:t>
      </w:r>
      <w:r>
        <w:rPr>
          <w:rFonts w:eastAsia="TimesNewRoman" w:cstheme="minorHAnsi"/>
          <w:sz w:val="18"/>
          <w:szCs w:val="18"/>
        </w:rPr>
        <w:t xml:space="preserve"> More details on the study are on file and available upon request.</w:t>
      </w:r>
    </w:p>
    <w:p w14:paraId="367443CB" w14:textId="77777777" w:rsidR="00D254F0" w:rsidRPr="004C0059" w:rsidRDefault="00D254F0" w:rsidP="00D254F0">
      <w:pPr>
        <w:spacing w:before="120" w:after="120" w:line="36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Supplemental </w:t>
      </w:r>
      <w:r w:rsidRPr="004C0059">
        <w:rPr>
          <w:rFonts w:cstheme="minorHAnsi"/>
          <w:b/>
        </w:rPr>
        <w:t xml:space="preserve">Figure </w:t>
      </w:r>
      <w:r>
        <w:rPr>
          <w:rFonts w:cstheme="minorHAnsi"/>
          <w:b/>
        </w:rPr>
        <w:t>2</w:t>
      </w:r>
      <w:r w:rsidRPr="004C0059">
        <w:rPr>
          <w:rFonts w:cstheme="minorHAnsi"/>
        </w:rPr>
        <w:t>. Study design</w:t>
      </w:r>
    </w:p>
    <w:p w14:paraId="2559A654" w14:textId="77777777" w:rsidR="00D254F0" w:rsidRPr="004C0059" w:rsidRDefault="00D254F0" w:rsidP="00D254F0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b/>
        </w:rPr>
      </w:pPr>
      <w:r w:rsidRPr="004C0059">
        <w:rPr>
          <w:rFonts w:cstheme="minorHAnsi"/>
          <w:noProof/>
          <w:lang w:val="en-IN" w:eastAsia="en-IN"/>
        </w:rPr>
        <w:drawing>
          <wp:inline distT="0" distB="0" distL="0" distR="0" wp14:anchorId="2E26EDA8" wp14:editId="2678025A">
            <wp:extent cx="5943600" cy="30245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EA759" w14:textId="77777777" w:rsidR="00D254F0" w:rsidRPr="00D222A2" w:rsidRDefault="00D254F0" w:rsidP="00D254F0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sz w:val="18"/>
        </w:rPr>
      </w:pPr>
      <w:r w:rsidRPr="00D222A2">
        <w:rPr>
          <w:rFonts w:cstheme="minorHAnsi"/>
          <w:sz w:val="18"/>
        </w:rPr>
        <w:t xml:space="preserve">GCN, gene copy number; FISH, fluorescent </w:t>
      </w:r>
      <w:r w:rsidRPr="00420EB3">
        <w:rPr>
          <w:rFonts w:cstheme="minorHAnsi"/>
          <w:i/>
          <w:sz w:val="18"/>
        </w:rPr>
        <w:t>in situ</w:t>
      </w:r>
      <w:r w:rsidRPr="00D222A2">
        <w:rPr>
          <w:rFonts w:cstheme="minorHAnsi"/>
          <w:sz w:val="18"/>
        </w:rPr>
        <w:t xml:space="preserve"> hybridization; IHC, immunochemistry; MTD, maximum tolerated dose; RP2D, recommended Phase II dose</w:t>
      </w:r>
    </w:p>
    <w:p w14:paraId="13770270" w14:textId="77777777" w:rsidR="00D254F0" w:rsidRPr="00D222A2" w:rsidRDefault="00D254F0" w:rsidP="00D254F0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sz w:val="18"/>
        </w:rPr>
      </w:pPr>
      <w:r w:rsidRPr="00D222A2">
        <w:rPr>
          <w:rFonts w:cstheme="minorHAnsi"/>
          <w:sz w:val="18"/>
          <w:vertAlign w:val="superscript"/>
        </w:rPr>
        <w:t>a</w:t>
      </w:r>
      <w:r w:rsidRPr="00D222A2">
        <w:rPr>
          <w:rFonts w:cstheme="minorHAnsi"/>
          <w:sz w:val="18"/>
        </w:rPr>
        <w:t>The single-agent arm was added in an amendment to this study</w:t>
      </w:r>
    </w:p>
    <w:p w14:paraId="57A534F7" w14:textId="77777777" w:rsidR="00D254F0" w:rsidRPr="00D222A2" w:rsidRDefault="00D254F0" w:rsidP="00D254F0">
      <w:pPr>
        <w:autoSpaceDE w:val="0"/>
        <w:autoSpaceDN w:val="0"/>
        <w:adjustRightInd w:val="0"/>
        <w:spacing w:before="120" w:after="120" w:line="360" w:lineRule="auto"/>
        <w:rPr>
          <w:rFonts w:cstheme="minorHAnsi"/>
          <w:b/>
          <w:sz w:val="18"/>
        </w:rPr>
      </w:pPr>
      <w:r w:rsidRPr="00D222A2">
        <w:rPr>
          <w:rFonts w:cstheme="minorHAnsi"/>
          <w:sz w:val="18"/>
        </w:rPr>
        <w:t>*Phase II arms shown in grey were not enrolled</w:t>
      </w:r>
    </w:p>
    <w:p w14:paraId="77EDBCFF" w14:textId="77777777" w:rsidR="00B144BF" w:rsidRDefault="00B144BF"/>
    <w:sectPr w:rsidR="00B144BF" w:rsidSect="00B14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rodie, Gillian (Ext)">
    <w15:presenceInfo w15:providerId="AD" w15:userId="S-1-5-21-329068152-854245398-839522115-18905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F0"/>
    <w:rsid w:val="000815A5"/>
    <w:rsid w:val="003B090B"/>
    <w:rsid w:val="0046274D"/>
    <w:rsid w:val="005907BE"/>
    <w:rsid w:val="005C116F"/>
    <w:rsid w:val="00AA1311"/>
    <w:rsid w:val="00B144BF"/>
    <w:rsid w:val="00D254F0"/>
    <w:rsid w:val="00E2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E9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4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22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C4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4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22C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C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C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C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C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0000410</dc:creator>
  <cp:lastModifiedBy>Palanimuthu A.</cp:lastModifiedBy>
  <cp:revision>4</cp:revision>
  <dcterms:created xsi:type="dcterms:W3CDTF">2019-11-20T09:49:00Z</dcterms:created>
  <dcterms:modified xsi:type="dcterms:W3CDTF">2019-11-27T04:29:00Z</dcterms:modified>
</cp:coreProperties>
</file>