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72C68" w14:textId="77777777" w:rsidR="00B45188" w:rsidRPr="00A34C52" w:rsidRDefault="00B45188" w:rsidP="00B45188">
      <w:pPr>
        <w:spacing w:line="360" w:lineRule="auto"/>
        <w:jc w:val="center"/>
        <w:rPr>
          <w:rFonts w:ascii="Arial" w:hAnsi="Arial" w:cs="Arial"/>
          <w:b/>
        </w:rPr>
      </w:pPr>
      <w:r w:rsidRPr="00A34C52">
        <w:rPr>
          <w:rFonts w:ascii="Arial" w:hAnsi="Arial" w:cs="Arial"/>
          <w:b/>
        </w:rPr>
        <w:t>Supplementary Material</w:t>
      </w:r>
    </w:p>
    <w:p w14:paraId="259F6255" w14:textId="31EC1BC1" w:rsidR="00B45188" w:rsidRPr="00A34C52" w:rsidRDefault="00B45188" w:rsidP="00B45188">
      <w:pPr>
        <w:spacing w:line="360" w:lineRule="auto"/>
        <w:rPr>
          <w:rFonts w:ascii="Arial" w:hAnsi="Arial" w:cs="Arial"/>
          <w:b/>
        </w:rPr>
      </w:pPr>
      <w:r w:rsidRPr="00A34C52">
        <w:rPr>
          <w:rFonts w:ascii="Arial" w:hAnsi="Arial" w:cs="Arial"/>
          <w:b/>
        </w:rPr>
        <w:t xml:space="preserve">Supplementary </w:t>
      </w:r>
      <w:r w:rsidR="004E39FB">
        <w:rPr>
          <w:rFonts w:ascii="Arial" w:hAnsi="Arial" w:cs="Arial"/>
          <w:b/>
        </w:rPr>
        <w:t>m</w:t>
      </w:r>
      <w:r w:rsidRPr="00A34C52">
        <w:rPr>
          <w:rFonts w:ascii="Arial" w:hAnsi="Arial" w:cs="Arial"/>
          <w:b/>
        </w:rPr>
        <w:t>ethods</w:t>
      </w:r>
    </w:p>
    <w:p w14:paraId="6E8C1478" w14:textId="1C426A59" w:rsidR="00B45188" w:rsidRPr="00A34C52" w:rsidRDefault="00B45188" w:rsidP="00B45188">
      <w:pPr>
        <w:spacing w:line="360" w:lineRule="auto"/>
        <w:rPr>
          <w:rFonts w:ascii="Arial" w:hAnsi="Arial" w:cs="Arial"/>
          <w:b/>
        </w:rPr>
      </w:pPr>
      <w:r w:rsidRPr="00A34C52">
        <w:rPr>
          <w:rFonts w:ascii="Arial" w:hAnsi="Arial" w:cs="Arial"/>
          <w:b/>
        </w:rPr>
        <w:t xml:space="preserve">Definition of </w:t>
      </w:r>
      <w:r w:rsidR="004E39FB">
        <w:rPr>
          <w:rFonts w:ascii="Arial" w:hAnsi="Arial" w:cs="Arial"/>
          <w:b/>
        </w:rPr>
        <w:t>d</w:t>
      </w:r>
      <w:r w:rsidRPr="00A34C52">
        <w:rPr>
          <w:rFonts w:ascii="Arial" w:hAnsi="Arial" w:cs="Arial"/>
          <w:b/>
        </w:rPr>
        <w:t>ose-</w:t>
      </w:r>
      <w:r w:rsidR="004E39FB">
        <w:rPr>
          <w:rFonts w:ascii="Arial" w:hAnsi="Arial" w:cs="Arial"/>
          <w:b/>
        </w:rPr>
        <w:t>l</w:t>
      </w:r>
      <w:r w:rsidRPr="00A34C52">
        <w:rPr>
          <w:rFonts w:ascii="Arial" w:hAnsi="Arial" w:cs="Arial"/>
          <w:b/>
        </w:rPr>
        <w:t xml:space="preserve">imiting </w:t>
      </w:r>
      <w:r w:rsidR="004E39FB">
        <w:rPr>
          <w:rFonts w:ascii="Arial" w:hAnsi="Arial" w:cs="Arial"/>
          <w:b/>
        </w:rPr>
        <w:t>t</w:t>
      </w:r>
      <w:r w:rsidRPr="00A34C52">
        <w:rPr>
          <w:rFonts w:ascii="Arial" w:hAnsi="Arial" w:cs="Arial"/>
          <w:b/>
        </w:rPr>
        <w:t>oxicity</w:t>
      </w:r>
    </w:p>
    <w:p w14:paraId="0EFA2546" w14:textId="77777777" w:rsidR="00B45188" w:rsidRPr="00A34C52" w:rsidRDefault="00B45188" w:rsidP="00B45188">
      <w:pPr>
        <w:spacing w:after="0" w:line="360" w:lineRule="auto"/>
        <w:rPr>
          <w:rFonts w:ascii="Arial" w:hAnsi="Arial" w:cs="Arial"/>
        </w:rPr>
      </w:pPr>
      <w:r w:rsidRPr="00A34C52">
        <w:rPr>
          <w:rFonts w:ascii="Arial" w:hAnsi="Arial" w:cs="Arial"/>
        </w:rPr>
        <w:t>A dose-limiting toxicity (DLT) was defined as an adverse event (AE) or laboratory abnormality considered related to afatinib and meeting any of the following criteria:</w:t>
      </w:r>
    </w:p>
    <w:p w14:paraId="2D74B4A4" w14:textId="77777777" w:rsidR="00B45188" w:rsidRPr="00A34C52" w:rsidRDefault="00B45188" w:rsidP="00B45188">
      <w:pPr>
        <w:pStyle w:val="ListParagraph"/>
        <w:numPr>
          <w:ilvl w:val="0"/>
          <w:numId w:val="1"/>
        </w:numPr>
        <w:spacing w:after="0" w:line="360" w:lineRule="auto"/>
        <w:rPr>
          <w:rFonts w:ascii="Arial" w:hAnsi="Arial" w:cs="Arial"/>
        </w:rPr>
      </w:pPr>
      <w:r w:rsidRPr="00A34C52">
        <w:rPr>
          <w:rFonts w:ascii="Arial" w:hAnsi="Arial" w:cs="Arial"/>
        </w:rPr>
        <w:t>Hematologic adverse reaction:</w:t>
      </w:r>
    </w:p>
    <w:p w14:paraId="7142B29E" w14:textId="3AF6A582" w:rsidR="00B45188" w:rsidRPr="00A34C52" w:rsidRDefault="00B45188" w:rsidP="00B45188">
      <w:pPr>
        <w:pStyle w:val="ListParagraph"/>
        <w:numPr>
          <w:ilvl w:val="0"/>
          <w:numId w:val="2"/>
        </w:numPr>
        <w:spacing w:after="0" w:line="360" w:lineRule="auto"/>
        <w:rPr>
          <w:rFonts w:ascii="Arial" w:hAnsi="Arial" w:cs="Arial"/>
        </w:rPr>
      </w:pPr>
      <w:r w:rsidRPr="00A34C52">
        <w:rPr>
          <w:rFonts w:ascii="Arial" w:hAnsi="Arial" w:cs="Arial"/>
        </w:rPr>
        <w:t xml:space="preserve">Common Terminology Criteria for Adverse Events (CTCAE) grade 4 neutropenia (absolute neutrophil count, including bands, </w:t>
      </w:r>
      <w:r w:rsidR="004E39FB" w:rsidRPr="004E39FB">
        <w:rPr>
          <w:rFonts w:ascii="Arial" w:hAnsi="Arial" w:cs="Arial"/>
        </w:rPr>
        <w:t xml:space="preserve">&lt; </w:t>
      </w:r>
      <w:r w:rsidRPr="00A34C52">
        <w:rPr>
          <w:rFonts w:ascii="Arial" w:hAnsi="Arial" w:cs="Arial"/>
        </w:rPr>
        <w:t>500/mm³) for &gt;</w:t>
      </w:r>
      <w:r w:rsidR="004E39FB">
        <w:rPr>
          <w:rFonts w:ascii="Arial" w:hAnsi="Arial" w:cs="Arial"/>
        </w:rPr>
        <w:t xml:space="preserve"> </w:t>
      </w:r>
      <w:r w:rsidRPr="00A34C52">
        <w:rPr>
          <w:rFonts w:ascii="Arial" w:hAnsi="Arial" w:cs="Arial"/>
        </w:rPr>
        <w:t>7 days</w:t>
      </w:r>
    </w:p>
    <w:p w14:paraId="26CB5CB3" w14:textId="77777777" w:rsidR="00B45188" w:rsidRPr="00A34C52" w:rsidRDefault="00B45188" w:rsidP="00B45188">
      <w:pPr>
        <w:pStyle w:val="ListParagraph"/>
        <w:numPr>
          <w:ilvl w:val="0"/>
          <w:numId w:val="2"/>
        </w:numPr>
        <w:spacing w:after="0" w:line="360" w:lineRule="auto"/>
        <w:rPr>
          <w:rFonts w:ascii="Arial" w:hAnsi="Arial" w:cs="Arial"/>
        </w:rPr>
      </w:pPr>
      <w:r w:rsidRPr="00A34C52">
        <w:rPr>
          <w:rFonts w:ascii="Arial" w:hAnsi="Arial" w:cs="Arial"/>
        </w:rPr>
        <w:t>CTCAE grade 3 or 4 neutropenia of any duration associated with fever &gt;38.3°C</w:t>
      </w:r>
    </w:p>
    <w:p w14:paraId="62AFF7E5" w14:textId="23384984" w:rsidR="00B45188" w:rsidRPr="00A34C52" w:rsidRDefault="00B45188" w:rsidP="00B45188">
      <w:pPr>
        <w:pStyle w:val="ListParagraph"/>
        <w:numPr>
          <w:ilvl w:val="0"/>
          <w:numId w:val="2"/>
        </w:numPr>
        <w:spacing w:after="0" w:line="360" w:lineRule="auto"/>
        <w:rPr>
          <w:rFonts w:ascii="Arial" w:hAnsi="Arial" w:cs="Arial"/>
        </w:rPr>
      </w:pPr>
      <w:r w:rsidRPr="00A34C52">
        <w:rPr>
          <w:rFonts w:ascii="Arial" w:hAnsi="Arial" w:cs="Arial"/>
        </w:rPr>
        <w:t xml:space="preserve">CTCAE grade 3 thrombocytopenia (platelet count </w:t>
      </w:r>
      <w:r w:rsidR="004E39FB" w:rsidRPr="004E39FB">
        <w:rPr>
          <w:rFonts w:ascii="Arial" w:hAnsi="Arial" w:cs="Arial"/>
        </w:rPr>
        <w:t xml:space="preserve">&lt; </w:t>
      </w:r>
      <w:r w:rsidRPr="00A34C52">
        <w:rPr>
          <w:rFonts w:ascii="Arial" w:hAnsi="Arial" w:cs="Arial"/>
        </w:rPr>
        <w:t>50,000–25,000/mm³)</w:t>
      </w:r>
    </w:p>
    <w:p w14:paraId="13C6073A" w14:textId="75142430" w:rsidR="00B45188" w:rsidRPr="00A34C52" w:rsidRDefault="00B45188" w:rsidP="00B45188">
      <w:pPr>
        <w:pStyle w:val="ListParagraph"/>
        <w:numPr>
          <w:ilvl w:val="0"/>
          <w:numId w:val="2"/>
        </w:numPr>
        <w:spacing w:after="0" w:line="360" w:lineRule="auto"/>
        <w:rPr>
          <w:rFonts w:ascii="Arial" w:hAnsi="Arial" w:cs="Arial"/>
        </w:rPr>
      </w:pPr>
      <w:r w:rsidRPr="00A34C52">
        <w:rPr>
          <w:rFonts w:ascii="Arial" w:hAnsi="Arial" w:cs="Arial"/>
        </w:rPr>
        <w:t xml:space="preserve">All other hematologic toxicities of CTCAE grade </w:t>
      </w:r>
      <w:r w:rsidR="004E39FB" w:rsidRPr="004E39FB">
        <w:rPr>
          <w:rFonts w:ascii="Arial" w:hAnsi="Arial" w:cs="Arial"/>
        </w:rPr>
        <w:t xml:space="preserve">≥ </w:t>
      </w:r>
      <w:r w:rsidRPr="00A34C52">
        <w:rPr>
          <w:rFonts w:ascii="Arial" w:hAnsi="Arial" w:cs="Arial"/>
        </w:rPr>
        <w:t>3 leading to an interruption of afatinib treatment (</w:t>
      </w:r>
      <w:r>
        <w:rPr>
          <w:rFonts w:ascii="Arial" w:hAnsi="Arial" w:cs="Arial"/>
        </w:rPr>
        <w:t>r</w:t>
      </w:r>
      <w:r w:rsidRPr="00A34C52">
        <w:rPr>
          <w:rFonts w:ascii="Arial" w:hAnsi="Arial" w:cs="Arial"/>
        </w:rPr>
        <w:t>egimen U) or treatment with afatinib and TMZ (</w:t>
      </w:r>
      <w:r>
        <w:rPr>
          <w:rFonts w:ascii="Arial" w:hAnsi="Arial" w:cs="Arial"/>
        </w:rPr>
        <w:t>r</w:t>
      </w:r>
      <w:r w:rsidRPr="00A34C52">
        <w:rPr>
          <w:rFonts w:ascii="Arial" w:hAnsi="Arial" w:cs="Arial"/>
        </w:rPr>
        <w:t xml:space="preserve">egimen M) for </w:t>
      </w:r>
      <w:r w:rsidR="004E39FB" w:rsidRPr="004E39FB">
        <w:rPr>
          <w:rFonts w:ascii="Arial" w:hAnsi="Arial" w:cs="Arial"/>
        </w:rPr>
        <w:t xml:space="preserve">&gt; </w:t>
      </w:r>
      <w:r w:rsidRPr="00A34C52">
        <w:rPr>
          <w:rFonts w:ascii="Arial" w:hAnsi="Arial" w:cs="Arial"/>
        </w:rPr>
        <w:t>14 days</w:t>
      </w:r>
    </w:p>
    <w:p w14:paraId="2F0FF94A" w14:textId="77777777" w:rsidR="00B45188" w:rsidRPr="00A34C52" w:rsidRDefault="00B45188" w:rsidP="00B45188">
      <w:pPr>
        <w:pStyle w:val="ListParagraph"/>
        <w:spacing w:after="0" w:line="360" w:lineRule="auto"/>
        <w:ind w:left="1080"/>
        <w:rPr>
          <w:rFonts w:ascii="Arial" w:hAnsi="Arial" w:cs="Arial"/>
        </w:rPr>
      </w:pPr>
    </w:p>
    <w:p w14:paraId="12DB4EB9" w14:textId="77777777" w:rsidR="00B45188" w:rsidRPr="00A34C52" w:rsidRDefault="00B45188" w:rsidP="00B45188">
      <w:pPr>
        <w:pStyle w:val="ListParagraph"/>
        <w:numPr>
          <w:ilvl w:val="0"/>
          <w:numId w:val="1"/>
        </w:numPr>
        <w:spacing w:after="0" w:line="360" w:lineRule="auto"/>
        <w:rPr>
          <w:rFonts w:ascii="Arial" w:hAnsi="Arial" w:cs="Arial"/>
        </w:rPr>
      </w:pPr>
      <w:r w:rsidRPr="00A34C52">
        <w:rPr>
          <w:rFonts w:ascii="Arial" w:hAnsi="Arial" w:cs="Arial"/>
        </w:rPr>
        <w:t>Non-hematologic adverse reaction:</w:t>
      </w:r>
    </w:p>
    <w:p w14:paraId="0267C396" w14:textId="18FD0CB4" w:rsidR="00B45188" w:rsidRPr="00A34C52" w:rsidRDefault="00B45188" w:rsidP="00B45188">
      <w:pPr>
        <w:pStyle w:val="ListParagraph"/>
        <w:numPr>
          <w:ilvl w:val="0"/>
          <w:numId w:val="3"/>
        </w:numPr>
        <w:spacing w:after="0" w:line="360" w:lineRule="auto"/>
        <w:rPr>
          <w:rFonts w:ascii="Arial" w:hAnsi="Arial" w:cs="Arial"/>
        </w:rPr>
      </w:pPr>
      <w:r w:rsidRPr="00A34C52">
        <w:rPr>
          <w:rFonts w:ascii="Arial" w:hAnsi="Arial" w:cs="Arial"/>
        </w:rPr>
        <w:t xml:space="preserve">CTCAE grade </w:t>
      </w:r>
      <w:r w:rsidR="004E39FB" w:rsidRPr="004E39FB">
        <w:rPr>
          <w:rFonts w:ascii="Arial" w:hAnsi="Arial" w:cs="Arial"/>
        </w:rPr>
        <w:t xml:space="preserve">≥ </w:t>
      </w:r>
      <w:r w:rsidRPr="00A34C52">
        <w:rPr>
          <w:rFonts w:ascii="Arial" w:hAnsi="Arial" w:cs="Arial"/>
        </w:rPr>
        <w:t xml:space="preserve">3 nausea or vomiting despite appropriate use of standard anti-emetics for </w:t>
      </w:r>
      <w:r w:rsidR="004E39FB" w:rsidRPr="004E39FB">
        <w:rPr>
          <w:rFonts w:ascii="Arial" w:hAnsi="Arial" w:cs="Arial"/>
        </w:rPr>
        <w:t xml:space="preserve">≥ </w:t>
      </w:r>
      <w:r w:rsidRPr="00A34C52">
        <w:rPr>
          <w:rFonts w:ascii="Arial" w:hAnsi="Arial" w:cs="Arial"/>
        </w:rPr>
        <w:t>3 days</w:t>
      </w:r>
    </w:p>
    <w:p w14:paraId="61C703B1" w14:textId="425C0ACB" w:rsidR="00B45188" w:rsidRPr="00A34C52" w:rsidRDefault="00B45188" w:rsidP="00B45188">
      <w:pPr>
        <w:pStyle w:val="ListParagraph"/>
        <w:numPr>
          <w:ilvl w:val="0"/>
          <w:numId w:val="3"/>
        </w:numPr>
        <w:spacing w:after="0" w:line="360" w:lineRule="auto"/>
        <w:rPr>
          <w:rFonts w:ascii="Arial" w:hAnsi="Arial" w:cs="Arial"/>
        </w:rPr>
      </w:pPr>
      <w:r w:rsidRPr="00A34C52">
        <w:rPr>
          <w:rFonts w:ascii="Arial" w:hAnsi="Arial" w:cs="Arial"/>
        </w:rPr>
        <w:t xml:space="preserve">CTCAE grade </w:t>
      </w:r>
      <w:r w:rsidR="004E39FB" w:rsidRPr="004E39FB">
        <w:rPr>
          <w:rFonts w:ascii="Arial" w:hAnsi="Arial" w:cs="Arial"/>
        </w:rPr>
        <w:t xml:space="preserve">≥ </w:t>
      </w:r>
      <w:r w:rsidRPr="00A34C52">
        <w:rPr>
          <w:rFonts w:ascii="Arial" w:hAnsi="Arial" w:cs="Arial"/>
        </w:rPr>
        <w:t xml:space="preserve">3 diarrhea despite appropriate use of standard anti-diarrheal therapy for </w:t>
      </w:r>
      <w:r w:rsidR="004E39FB" w:rsidRPr="004E39FB">
        <w:rPr>
          <w:rFonts w:ascii="Arial" w:hAnsi="Arial" w:cs="Arial"/>
        </w:rPr>
        <w:t xml:space="preserve">≥ </w:t>
      </w:r>
      <w:r w:rsidRPr="00A34C52">
        <w:rPr>
          <w:rFonts w:ascii="Arial" w:hAnsi="Arial" w:cs="Arial"/>
        </w:rPr>
        <w:t>3 days</w:t>
      </w:r>
    </w:p>
    <w:p w14:paraId="2AE591F8" w14:textId="6869268D" w:rsidR="00B45188" w:rsidRPr="00A34C52" w:rsidRDefault="00B45188" w:rsidP="00B45188">
      <w:pPr>
        <w:pStyle w:val="ListParagraph"/>
        <w:numPr>
          <w:ilvl w:val="0"/>
          <w:numId w:val="3"/>
        </w:numPr>
        <w:spacing w:after="0" w:line="360" w:lineRule="auto"/>
        <w:rPr>
          <w:rFonts w:ascii="Arial" w:hAnsi="Arial" w:cs="Arial"/>
        </w:rPr>
      </w:pPr>
      <w:r w:rsidRPr="00A34C52">
        <w:rPr>
          <w:rFonts w:ascii="Arial" w:hAnsi="Arial" w:cs="Arial"/>
        </w:rPr>
        <w:t xml:space="preserve">CTCAE grade </w:t>
      </w:r>
      <w:r w:rsidR="004E39FB" w:rsidRPr="004E39FB">
        <w:rPr>
          <w:rFonts w:ascii="Arial" w:hAnsi="Arial" w:cs="Arial"/>
        </w:rPr>
        <w:t xml:space="preserve">≥ </w:t>
      </w:r>
      <w:r w:rsidRPr="00A34C52">
        <w:rPr>
          <w:rFonts w:ascii="Arial" w:hAnsi="Arial" w:cs="Arial"/>
        </w:rPr>
        <w:t xml:space="preserve">3 rash despite standard medical management and lasting </w:t>
      </w:r>
      <w:r w:rsidR="004E39FB" w:rsidRPr="004E39FB">
        <w:rPr>
          <w:rFonts w:ascii="Arial" w:hAnsi="Arial" w:cs="Arial"/>
        </w:rPr>
        <w:t xml:space="preserve">&gt; </w:t>
      </w:r>
      <w:r w:rsidRPr="00A34C52">
        <w:rPr>
          <w:rFonts w:ascii="Arial" w:hAnsi="Arial" w:cs="Arial"/>
        </w:rPr>
        <w:t>7 days</w:t>
      </w:r>
    </w:p>
    <w:p w14:paraId="441D9A74" w14:textId="24F8E6A9" w:rsidR="00B45188" w:rsidRPr="00A34C52" w:rsidRDefault="00B45188" w:rsidP="00B45188">
      <w:pPr>
        <w:pStyle w:val="ListParagraph"/>
        <w:numPr>
          <w:ilvl w:val="0"/>
          <w:numId w:val="3"/>
        </w:numPr>
        <w:spacing w:after="0" w:line="360" w:lineRule="auto"/>
        <w:rPr>
          <w:rFonts w:ascii="Arial" w:hAnsi="Arial" w:cs="Arial"/>
        </w:rPr>
      </w:pPr>
      <w:r w:rsidRPr="00A34C52">
        <w:rPr>
          <w:rFonts w:ascii="Arial" w:hAnsi="Arial" w:cs="Arial"/>
        </w:rPr>
        <w:t xml:space="preserve">CTCAE grade </w:t>
      </w:r>
      <w:r w:rsidR="004E39FB" w:rsidRPr="004E39FB">
        <w:rPr>
          <w:rFonts w:ascii="Arial" w:hAnsi="Arial" w:cs="Arial"/>
        </w:rPr>
        <w:t xml:space="preserve">≥ </w:t>
      </w:r>
      <w:r w:rsidRPr="00A34C52">
        <w:rPr>
          <w:rFonts w:ascii="Arial" w:hAnsi="Arial" w:cs="Arial"/>
        </w:rPr>
        <w:t>2 cardiac left ventricular function</w:t>
      </w:r>
    </w:p>
    <w:p w14:paraId="3EBB394B" w14:textId="7BB5A966" w:rsidR="00B45188" w:rsidRPr="00A34C52" w:rsidRDefault="00B45188" w:rsidP="00B45188">
      <w:pPr>
        <w:pStyle w:val="ListParagraph"/>
        <w:numPr>
          <w:ilvl w:val="0"/>
          <w:numId w:val="3"/>
        </w:numPr>
        <w:spacing w:after="0" w:line="360" w:lineRule="auto"/>
        <w:rPr>
          <w:rFonts w:ascii="Arial" w:hAnsi="Arial" w:cs="Arial"/>
        </w:rPr>
      </w:pPr>
      <w:r w:rsidRPr="00A34C52">
        <w:rPr>
          <w:rFonts w:ascii="Arial" w:hAnsi="Arial" w:cs="Arial"/>
        </w:rPr>
        <w:t xml:space="preserve">CTCAE grade </w:t>
      </w:r>
      <w:r w:rsidR="004E39FB" w:rsidRPr="004E39FB">
        <w:rPr>
          <w:rFonts w:ascii="Arial" w:hAnsi="Arial" w:cs="Arial"/>
        </w:rPr>
        <w:t xml:space="preserve">≥ </w:t>
      </w:r>
      <w:r w:rsidRPr="00A34C52">
        <w:rPr>
          <w:rFonts w:ascii="Arial" w:hAnsi="Arial" w:cs="Arial"/>
        </w:rPr>
        <w:t>2 worsening of renal function as measured by serum creatinine, newly developed proteinuria, or newly developed decrease in glomerular filtration rate</w:t>
      </w:r>
    </w:p>
    <w:p w14:paraId="2F91D454" w14:textId="03309D41" w:rsidR="00B45188" w:rsidRPr="00A34C52" w:rsidRDefault="00B45188" w:rsidP="00B45188">
      <w:pPr>
        <w:pStyle w:val="ListParagraph"/>
        <w:numPr>
          <w:ilvl w:val="0"/>
          <w:numId w:val="3"/>
        </w:numPr>
        <w:spacing w:after="0" w:line="360" w:lineRule="auto"/>
        <w:rPr>
          <w:rFonts w:ascii="Arial" w:hAnsi="Arial" w:cs="Arial"/>
        </w:rPr>
      </w:pPr>
      <w:r w:rsidRPr="00A34C52">
        <w:rPr>
          <w:rFonts w:ascii="Arial" w:hAnsi="Arial" w:cs="Arial"/>
        </w:rPr>
        <w:t xml:space="preserve">All other non-hematologic toxicities of CTCAE grade </w:t>
      </w:r>
      <w:r w:rsidR="004E39FB" w:rsidRPr="004E39FB">
        <w:rPr>
          <w:rFonts w:ascii="Arial" w:hAnsi="Arial" w:cs="Arial"/>
        </w:rPr>
        <w:t xml:space="preserve">≥ </w:t>
      </w:r>
      <w:r w:rsidRPr="00A34C52">
        <w:rPr>
          <w:rFonts w:ascii="Arial" w:hAnsi="Arial" w:cs="Arial"/>
        </w:rPr>
        <w:t>3</w:t>
      </w:r>
    </w:p>
    <w:p w14:paraId="4FB9F8E3" w14:textId="77777777" w:rsidR="007F3E35" w:rsidRDefault="007F3E35" w:rsidP="007F3E35">
      <w:pPr>
        <w:rPr>
          <w:rFonts w:ascii="Arial" w:hAnsi="Arial" w:cs="Arial"/>
        </w:rPr>
      </w:pPr>
    </w:p>
    <w:p w14:paraId="5BE44EE1" w14:textId="77777777" w:rsidR="007F3E35" w:rsidRDefault="007F3E35" w:rsidP="007F3E35">
      <w:pPr>
        <w:rPr>
          <w:rFonts w:ascii="Arial" w:hAnsi="Arial" w:cs="Arial"/>
        </w:rPr>
      </w:pPr>
    </w:p>
    <w:p w14:paraId="0ED6240A" w14:textId="2C8DEDB0" w:rsidR="00662A67" w:rsidRDefault="00662A67" w:rsidP="007F3E35">
      <w:pPr>
        <w:rPr>
          <w:rFonts w:ascii="Arial" w:hAnsi="Arial" w:cs="Arial"/>
        </w:rPr>
      </w:pPr>
      <w:r w:rsidRPr="00662A67">
        <w:rPr>
          <w:rFonts w:ascii="Arial" w:hAnsi="Arial" w:cs="Arial"/>
          <w:b/>
          <w:bCs/>
        </w:rPr>
        <w:t>Pharmacokinetic sampling</w:t>
      </w:r>
      <w:r w:rsidRPr="00662A67">
        <w:rPr>
          <w:rFonts w:ascii="Arial" w:hAnsi="Arial" w:cs="Arial"/>
        </w:rPr>
        <w:t xml:space="preserve"> </w:t>
      </w:r>
    </w:p>
    <w:p w14:paraId="2778EF37" w14:textId="77777777" w:rsidR="00662A67" w:rsidRDefault="00662A67" w:rsidP="00B45188">
      <w:pPr>
        <w:spacing w:after="0" w:line="360" w:lineRule="auto"/>
        <w:rPr>
          <w:rFonts w:ascii="Arial" w:hAnsi="Arial" w:cs="Arial"/>
        </w:rPr>
      </w:pPr>
    </w:p>
    <w:p w14:paraId="088B6B71" w14:textId="3051AD1B" w:rsidR="00B45188" w:rsidRDefault="00662A67" w:rsidP="00B45188">
      <w:pPr>
        <w:spacing w:after="0" w:line="360" w:lineRule="auto"/>
        <w:rPr>
          <w:rFonts w:ascii="Arial" w:hAnsi="Arial" w:cs="Arial"/>
          <w:b/>
          <w:bCs/>
        </w:rPr>
      </w:pPr>
      <w:r w:rsidRPr="00E979ED">
        <w:rPr>
          <w:rFonts w:ascii="Arial" w:hAnsi="Arial" w:cs="Arial"/>
        </w:rPr>
        <w:t>Samples</w:t>
      </w:r>
      <w:r w:rsidRPr="00A34C52">
        <w:rPr>
          <w:rFonts w:ascii="Arial" w:hAnsi="Arial" w:cs="Arial"/>
        </w:rPr>
        <w:t xml:space="preserve"> were taken pre-dose on days 8, 15, and 29 of treatment, as well as 1, 3, and 6 hours post-dose on day 15 (the 6-hour post-dose sample was voluntary). Post-dose plasma drug concentrations are not further discussed.</w:t>
      </w:r>
    </w:p>
    <w:p w14:paraId="01C3CB90" w14:textId="11A6C724" w:rsidR="00623EFA" w:rsidRDefault="00623EFA">
      <w:pPr>
        <w:rPr>
          <w:rFonts w:ascii="Arial" w:hAnsi="Arial" w:cs="Arial"/>
          <w:b/>
          <w:bCs/>
        </w:rPr>
      </w:pPr>
      <w:r>
        <w:rPr>
          <w:rFonts w:ascii="Arial" w:hAnsi="Arial" w:cs="Arial"/>
          <w:b/>
          <w:bCs/>
        </w:rPr>
        <w:br w:type="page"/>
      </w:r>
    </w:p>
    <w:p w14:paraId="456256EA" w14:textId="5A15BE20" w:rsidR="000F6E8C" w:rsidRDefault="000F6E8C" w:rsidP="000F6E8C">
      <w:pPr>
        <w:spacing w:line="360" w:lineRule="auto"/>
        <w:rPr>
          <w:rFonts w:ascii="Arial" w:hAnsi="Arial" w:cs="Arial"/>
          <w:b/>
        </w:rPr>
      </w:pPr>
      <w:r w:rsidRPr="000F6E8C">
        <w:rPr>
          <w:rFonts w:ascii="Arial" w:hAnsi="Arial" w:cs="Arial"/>
          <w:b/>
        </w:rPr>
        <w:lastRenderedPageBreak/>
        <w:t xml:space="preserve">Supplementary </w:t>
      </w:r>
      <w:r w:rsidR="002B0790">
        <w:rPr>
          <w:rFonts w:ascii="Arial" w:hAnsi="Arial" w:cs="Arial"/>
          <w:b/>
        </w:rPr>
        <w:t>r</w:t>
      </w:r>
      <w:r w:rsidRPr="000F6E8C">
        <w:rPr>
          <w:rFonts w:ascii="Arial" w:hAnsi="Arial" w:cs="Arial"/>
          <w:b/>
        </w:rPr>
        <w:t>esults</w:t>
      </w:r>
    </w:p>
    <w:p w14:paraId="699928EE" w14:textId="77777777" w:rsidR="001D6E02" w:rsidRPr="00A34C52" w:rsidRDefault="001D6E02" w:rsidP="001D6E02">
      <w:pPr>
        <w:spacing w:after="0" w:line="360" w:lineRule="auto"/>
        <w:rPr>
          <w:rFonts w:ascii="Arial" w:hAnsi="Arial" w:cs="Arial"/>
          <w:b/>
        </w:rPr>
      </w:pPr>
    </w:p>
    <w:p w14:paraId="33C4178A" w14:textId="77777777" w:rsidR="001D6E02" w:rsidRPr="00A34C52" w:rsidRDefault="001D6E02" w:rsidP="001D6E02">
      <w:pPr>
        <w:spacing w:line="360" w:lineRule="auto"/>
        <w:rPr>
          <w:rFonts w:ascii="Arial" w:hAnsi="Arial" w:cs="Arial"/>
          <w:b/>
        </w:rPr>
      </w:pPr>
      <w:r w:rsidRPr="00A34C52">
        <w:rPr>
          <w:rFonts w:ascii="Arial" w:hAnsi="Arial" w:cs="Arial"/>
          <w:b/>
        </w:rPr>
        <w:t xml:space="preserve">Pharmacokinetics of </w:t>
      </w:r>
      <w:r>
        <w:rPr>
          <w:rFonts w:ascii="Arial" w:hAnsi="Arial" w:cs="Arial"/>
          <w:b/>
        </w:rPr>
        <w:t>a</w:t>
      </w:r>
      <w:r w:rsidRPr="00A34C52">
        <w:rPr>
          <w:rFonts w:ascii="Arial" w:hAnsi="Arial" w:cs="Arial"/>
          <w:b/>
        </w:rPr>
        <w:t xml:space="preserve">fatinib </w:t>
      </w:r>
    </w:p>
    <w:p w14:paraId="04C7E440" w14:textId="05E87337" w:rsidR="001D6E02" w:rsidRPr="00A34C52" w:rsidRDefault="001D6E02" w:rsidP="001D6E02">
      <w:pPr>
        <w:spacing w:after="0" w:line="360" w:lineRule="auto"/>
        <w:rPr>
          <w:rFonts w:ascii="Arial" w:hAnsi="Arial" w:cs="Arial"/>
        </w:rPr>
      </w:pPr>
      <w:r w:rsidRPr="00BE124C">
        <w:rPr>
          <w:rFonts w:ascii="Arial" w:hAnsi="Arial" w:cs="Arial"/>
        </w:rPr>
        <w:t>With</w:t>
      </w:r>
      <w:r w:rsidRPr="00A34C52">
        <w:rPr>
          <w:rFonts w:ascii="Arial" w:hAnsi="Arial" w:cs="Arial"/>
        </w:rPr>
        <w:t xml:space="preserve"> regimen M, two patients had </w:t>
      </w:r>
      <w:r>
        <w:rPr>
          <w:rFonts w:ascii="Arial" w:hAnsi="Arial" w:cs="Arial"/>
        </w:rPr>
        <w:t xml:space="preserve">measurements available for </w:t>
      </w:r>
      <w:r w:rsidRPr="00A34C52">
        <w:rPr>
          <w:rFonts w:ascii="Arial" w:hAnsi="Arial" w:cs="Arial"/>
        </w:rPr>
        <w:t>afatinib trough plasma concentrations at all three time points with 40 mg</w:t>
      </w:r>
      <w:r>
        <w:rPr>
          <w:rFonts w:ascii="Arial" w:hAnsi="Arial" w:cs="Arial"/>
        </w:rPr>
        <w:t xml:space="preserve"> afatinib</w:t>
      </w:r>
      <w:r w:rsidRPr="00A34C52">
        <w:rPr>
          <w:rFonts w:ascii="Arial" w:hAnsi="Arial" w:cs="Arial"/>
        </w:rPr>
        <w:t xml:space="preserve">. </w:t>
      </w:r>
      <w:r>
        <w:rPr>
          <w:rFonts w:ascii="Arial" w:hAnsi="Arial" w:cs="Arial"/>
        </w:rPr>
        <w:t>Four</w:t>
      </w:r>
      <w:r w:rsidRPr="00A34C52">
        <w:rPr>
          <w:rFonts w:ascii="Arial" w:hAnsi="Arial" w:cs="Arial"/>
        </w:rPr>
        <w:t xml:space="preserve"> addition</w:t>
      </w:r>
      <w:r>
        <w:rPr>
          <w:rFonts w:ascii="Arial" w:hAnsi="Arial" w:cs="Arial"/>
        </w:rPr>
        <w:t>al</w:t>
      </w:r>
      <w:r w:rsidRPr="00A34C52">
        <w:rPr>
          <w:rFonts w:ascii="Arial" w:hAnsi="Arial" w:cs="Arial"/>
        </w:rPr>
        <w:t xml:space="preserve"> patients had </w:t>
      </w:r>
      <w:r>
        <w:rPr>
          <w:rFonts w:ascii="Arial" w:hAnsi="Arial" w:cs="Arial"/>
        </w:rPr>
        <w:t>measurements for at least one time point</w:t>
      </w:r>
      <w:r w:rsidRPr="00A34C52">
        <w:rPr>
          <w:rFonts w:ascii="Arial" w:hAnsi="Arial" w:cs="Arial"/>
        </w:rPr>
        <w:t xml:space="preserve">. </w:t>
      </w:r>
      <w:r w:rsidRPr="00BE124C">
        <w:rPr>
          <w:rFonts w:ascii="Arial" w:hAnsi="Arial" w:cs="Arial"/>
        </w:rPr>
        <w:t xml:space="preserve">With regimen U, nine patients had measurements available for afatinib trough plasma concentrations at all three time points with 40 mg afatinib. In addition, 40 mg data were available for at least one time point from three additional patients. </w:t>
      </w:r>
      <w:r w:rsidRPr="00A34C52">
        <w:rPr>
          <w:rFonts w:ascii="Arial" w:hAnsi="Arial" w:cs="Arial"/>
        </w:rPr>
        <w:t>Afatinib trough plasma concentrations appeared stable throughout the treatment period and were similar between treatment regimens. Steady-state geometric mean plasma concentrations of afatinib with regimen M (40 mg/day) for days 8, 15, and 29 were 15.7</w:t>
      </w:r>
      <w:r w:rsidRPr="00A34C52">
        <w:rPr>
          <w:rFonts w:ascii="Arial" w:hAnsi="Arial" w:cs="Arial"/>
        </w:rPr>
        <w:sym w:font="Symbol" w:char="F02D"/>
      </w:r>
      <w:r w:rsidRPr="00A34C52">
        <w:rPr>
          <w:rFonts w:ascii="Arial" w:hAnsi="Arial" w:cs="Arial"/>
        </w:rPr>
        <w:t>17.4 ng/mL</w:t>
      </w:r>
      <w:r>
        <w:rPr>
          <w:rFonts w:ascii="Arial" w:hAnsi="Arial" w:cs="Arial"/>
        </w:rPr>
        <w:t xml:space="preserve"> (Supplementa</w:t>
      </w:r>
      <w:r w:rsidR="00637748">
        <w:rPr>
          <w:rFonts w:ascii="Arial" w:hAnsi="Arial" w:cs="Arial"/>
        </w:rPr>
        <w:t>ry</w:t>
      </w:r>
      <w:r>
        <w:rPr>
          <w:rFonts w:ascii="Arial" w:hAnsi="Arial" w:cs="Arial"/>
        </w:rPr>
        <w:t xml:space="preserve"> Figure 1)</w:t>
      </w:r>
      <w:r w:rsidRPr="00A34C52">
        <w:rPr>
          <w:rFonts w:ascii="Arial" w:hAnsi="Arial" w:cs="Arial"/>
        </w:rPr>
        <w:t>. For regimen U (40 mg/day), the concentrations were 16.1</w:t>
      </w:r>
      <w:r w:rsidRPr="00A34C52">
        <w:rPr>
          <w:rFonts w:ascii="Arial" w:hAnsi="Arial" w:cs="Arial"/>
        </w:rPr>
        <w:sym w:font="Symbol" w:char="F02D"/>
      </w:r>
      <w:r w:rsidRPr="00A34C52">
        <w:rPr>
          <w:rFonts w:ascii="Arial" w:hAnsi="Arial" w:cs="Arial"/>
        </w:rPr>
        <w:t>18.9 ng/mL.</w:t>
      </w:r>
    </w:p>
    <w:p w14:paraId="4AAF27A6" w14:textId="74E8247C" w:rsidR="001D6E02" w:rsidRDefault="001D6E02" w:rsidP="000F6E8C">
      <w:pPr>
        <w:spacing w:line="360" w:lineRule="auto"/>
        <w:rPr>
          <w:rFonts w:ascii="Arial" w:hAnsi="Arial" w:cs="Arial"/>
          <w:b/>
        </w:rPr>
      </w:pPr>
    </w:p>
    <w:p w14:paraId="5F303218" w14:textId="08CCA282" w:rsidR="00623EFA" w:rsidRDefault="00623EFA" w:rsidP="00623EFA">
      <w:pPr>
        <w:spacing w:line="360" w:lineRule="auto"/>
        <w:rPr>
          <w:rFonts w:ascii="Arial" w:hAnsi="Arial" w:cs="Arial"/>
        </w:rPr>
      </w:pPr>
      <w:r>
        <w:rPr>
          <w:rFonts w:ascii="Arial" w:hAnsi="Arial" w:cs="Arial"/>
          <w:b/>
        </w:rPr>
        <w:t xml:space="preserve">Supplementary Figure 1 </w:t>
      </w:r>
      <w:r w:rsidRPr="000521B2">
        <w:rPr>
          <w:rFonts w:ascii="Arial" w:hAnsi="Arial" w:cs="Arial"/>
        </w:rPr>
        <w:t xml:space="preserve">Geometric mean afatinib pre-dose steady-state plasma concentrations. </w:t>
      </w:r>
      <w:r w:rsidRPr="00D40CEC">
        <w:rPr>
          <w:rFonts w:ascii="Arial" w:hAnsi="Arial" w:cs="Arial"/>
        </w:rPr>
        <w:t>(</w:t>
      </w:r>
      <w:r w:rsidRPr="00D40CEC">
        <w:rPr>
          <w:rFonts w:ascii="Arial" w:hAnsi="Arial" w:cs="Arial"/>
          <w:b/>
          <w:bCs/>
        </w:rPr>
        <w:t>a</w:t>
      </w:r>
      <w:r w:rsidRPr="00D40CEC">
        <w:rPr>
          <w:rFonts w:ascii="Arial" w:hAnsi="Arial" w:cs="Arial"/>
        </w:rPr>
        <w:t xml:space="preserve">) </w:t>
      </w:r>
      <w:r w:rsidRPr="00D40CEC">
        <w:rPr>
          <w:rFonts w:ascii="Arial" w:hAnsi="Arial" w:cs="Arial"/>
          <w:bCs/>
        </w:rPr>
        <w:t xml:space="preserve">Regimen M: </w:t>
      </w:r>
      <w:proofErr w:type="spellStart"/>
      <w:r w:rsidRPr="00D40CEC">
        <w:rPr>
          <w:rFonts w:ascii="Arial" w:hAnsi="Arial" w:cs="Arial"/>
          <w:bCs/>
        </w:rPr>
        <w:t>afatinib+TMZ+RT</w:t>
      </w:r>
      <w:proofErr w:type="spellEnd"/>
      <w:r w:rsidRPr="00D40CEC">
        <w:rPr>
          <w:rFonts w:ascii="Arial" w:hAnsi="Arial" w:cs="Arial"/>
          <w:bCs/>
        </w:rPr>
        <w:t>; (</w:t>
      </w:r>
      <w:r w:rsidRPr="00D40CEC">
        <w:rPr>
          <w:rFonts w:ascii="Arial" w:hAnsi="Arial" w:cs="Arial"/>
          <w:b/>
        </w:rPr>
        <w:t>b</w:t>
      </w:r>
      <w:r w:rsidRPr="00D40CEC">
        <w:rPr>
          <w:rFonts w:ascii="Arial" w:hAnsi="Arial" w:cs="Arial"/>
          <w:bCs/>
        </w:rPr>
        <w:t xml:space="preserve">) Regimen U: </w:t>
      </w:r>
      <w:proofErr w:type="spellStart"/>
      <w:r w:rsidRPr="00D40CEC">
        <w:rPr>
          <w:rFonts w:ascii="Arial" w:hAnsi="Arial" w:cs="Arial"/>
          <w:bCs/>
        </w:rPr>
        <w:t>afatinib+RT</w:t>
      </w:r>
      <w:proofErr w:type="spellEnd"/>
      <w:r w:rsidRPr="00D40CEC">
        <w:rPr>
          <w:rFonts w:ascii="Arial" w:hAnsi="Arial" w:cs="Arial"/>
          <w:bCs/>
        </w:rPr>
        <w:t>.</w:t>
      </w:r>
      <w:r w:rsidRPr="00D40CEC">
        <w:rPr>
          <w:rFonts w:ascii="Arial" w:hAnsi="Arial" w:cs="Arial"/>
        </w:rPr>
        <w:t xml:space="preserve"> </w:t>
      </w:r>
      <w:r w:rsidRPr="009D0512">
        <w:rPr>
          <w:rFonts w:ascii="Arial" w:hAnsi="Arial" w:cs="Arial"/>
          <w:i/>
          <w:iCs/>
        </w:rPr>
        <w:t>gMean</w:t>
      </w:r>
      <w:r w:rsidRPr="009D0512">
        <w:rPr>
          <w:rFonts w:ascii="Arial" w:hAnsi="Arial" w:cs="Arial"/>
        </w:rPr>
        <w:t xml:space="preserve"> geometric mean</w:t>
      </w:r>
      <w:r>
        <w:rPr>
          <w:rFonts w:ascii="Arial" w:hAnsi="Arial" w:cs="Arial"/>
        </w:rPr>
        <w:t>,</w:t>
      </w:r>
      <w:r w:rsidRPr="009D0512">
        <w:rPr>
          <w:rFonts w:ascii="Arial" w:hAnsi="Arial" w:cs="Arial"/>
        </w:rPr>
        <w:t xml:space="preserve"> </w:t>
      </w:r>
      <w:r w:rsidRPr="009D0512">
        <w:rPr>
          <w:rFonts w:ascii="Arial" w:hAnsi="Arial" w:cs="Arial"/>
          <w:i/>
          <w:iCs/>
        </w:rPr>
        <w:t>RT</w:t>
      </w:r>
      <w:r w:rsidRPr="009D0512">
        <w:rPr>
          <w:rFonts w:ascii="Arial" w:hAnsi="Arial" w:cs="Arial"/>
        </w:rPr>
        <w:t xml:space="preserve"> radiotherapy</w:t>
      </w:r>
      <w:r>
        <w:rPr>
          <w:rFonts w:ascii="Arial" w:hAnsi="Arial" w:cs="Arial"/>
        </w:rPr>
        <w:t>,</w:t>
      </w:r>
      <w:r w:rsidRPr="009D0512">
        <w:rPr>
          <w:rFonts w:ascii="Arial" w:hAnsi="Arial" w:cs="Arial"/>
        </w:rPr>
        <w:t xml:space="preserve"> </w:t>
      </w:r>
      <w:r w:rsidRPr="009D0512">
        <w:rPr>
          <w:rFonts w:ascii="Arial" w:hAnsi="Arial" w:cs="Arial"/>
          <w:i/>
          <w:iCs/>
        </w:rPr>
        <w:t>TMZ</w:t>
      </w:r>
      <w:r w:rsidRPr="009D0512">
        <w:rPr>
          <w:rFonts w:ascii="Arial" w:hAnsi="Arial" w:cs="Arial"/>
        </w:rPr>
        <w:t xml:space="preserve"> temozolomide</w:t>
      </w:r>
      <w:r w:rsidR="009A623F">
        <w:rPr>
          <w:rFonts w:ascii="Arial" w:hAnsi="Arial" w:cs="Arial"/>
        </w:rPr>
        <w:t>.</w:t>
      </w:r>
    </w:p>
    <w:p w14:paraId="0920C351" w14:textId="56FEA34D" w:rsidR="00662A67" w:rsidRDefault="00662A67" w:rsidP="000F6E8C">
      <w:pPr>
        <w:spacing w:line="360" w:lineRule="auto"/>
        <w:rPr>
          <w:rFonts w:ascii="Arial" w:hAnsi="Arial" w:cs="Arial"/>
          <w:b/>
        </w:rPr>
      </w:pPr>
    </w:p>
    <w:p w14:paraId="02D2C9C1" w14:textId="52F221A3" w:rsidR="00662A67" w:rsidRDefault="00662A67" w:rsidP="000F6E8C">
      <w:pPr>
        <w:spacing w:line="360" w:lineRule="auto"/>
        <w:rPr>
          <w:rFonts w:ascii="Arial" w:hAnsi="Arial" w:cs="Arial"/>
          <w:b/>
        </w:rPr>
      </w:pPr>
      <w:r>
        <w:rPr>
          <w:rFonts w:ascii="Arial" w:hAnsi="Arial" w:cs="Arial"/>
          <w:noProof/>
          <w:lang w:eastAsia="en-US"/>
        </w:rPr>
        <w:drawing>
          <wp:inline distT="0" distB="0" distL="0" distR="0" wp14:anchorId="2E015164" wp14:editId="039C47BE">
            <wp:extent cx="5710555" cy="19843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0555" cy="1984375"/>
                    </a:xfrm>
                    <a:prstGeom prst="rect">
                      <a:avLst/>
                    </a:prstGeom>
                    <a:noFill/>
                    <a:ln>
                      <a:noFill/>
                    </a:ln>
                  </pic:spPr>
                </pic:pic>
              </a:graphicData>
            </a:graphic>
          </wp:inline>
        </w:drawing>
      </w:r>
    </w:p>
    <w:p w14:paraId="2D1B76BC" w14:textId="77777777" w:rsidR="00623EFA" w:rsidRDefault="00623EFA">
      <w:pPr>
        <w:rPr>
          <w:rFonts w:ascii="Arial" w:hAnsi="Arial" w:cs="Arial"/>
          <w:b/>
        </w:rPr>
      </w:pPr>
      <w:r>
        <w:rPr>
          <w:rFonts w:ascii="Arial" w:hAnsi="Arial" w:cs="Arial"/>
          <w:b/>
        </w:rPr>
        <w:br w:type="page"/>
      </w:r>
    </w:p>
    <w:p w14:paraId="67A5881E" w14:textId="5A2734A5" w:rsidR="00B45188" w:rsidRPr="00A34C52" w:rsidRDefault="00B45188" w:rsidP="00B45188">
      <w:pPr>
        <w:spacing w:after="0" w:line="360" w:lineRule="auto"/>
        <w:rPr>
          <w:rFonts w:ascii="Arial" w:hAnsi="Arial" w:cs="Arial"/>
        </w:rPr>
      </w:pPr>
      <w:r w:rsidRPr="00A34C52">
        <w:rPr>
          <w:rFonts w:ascii="Arial" w:hAnsi="Arial" w:cs="Arial"/>
          <w:b/>
        </w:rPr>
        <w:lastRenderedPageBreak/>
        <w:t xml:space="preserve">Supplementary Table 1 </w:t>
      </w:r>
      <w:r w:rsidRPr="00A34C52">
        <w:rPr>
          <w:rFonts w:ascii="Arial" w:hAnsi="Arial" w:cs="Arial"/>
        </w:rPr>
        <w:t xml:space="preserve">Drug-related AEs in </w:t>
      </w:r>
      <w:r w:rsidR="004E39FB" w:rsidRPr="004E39FB">
        <w:rPr>
          <w:rFonts w:ascii="Arial" w:hAnsi="Arial" w:cs="Arial"/>
        </w:rPr>
        <w:t xml:space="preserve">≥ </w:t>
      </w:r>
      <w:r w:rsidRPr="00A34C52">
        <w:rPr>
          <w:rFonts w:ascii="Arial" w:hAnsi="Arial" w:cs="Arial"/>
        </w:rPr>
        <w:t>20% of patients overall by primary SOC and preferred term</w:t>
      </w:r>
    </w:p>
    <w:p w14:paraId="5463DE55" w14:textId="77777777" w:rsidR="00B45188" w:rsidRPr="00A34C52" w:rsidRDefault="00B45188" w:rsidP="00B45188">
      <w:pPr>
        <w:spacing w:after="0" w:line="360" w:lineRule="auto"/>
        <w:rPr>
          <w:rFonts w:ascii="Arial" w:hAnsi="Arial" w:cs="Arial"/>
          <w:b/>
        </w:rPr>
      </w:pPr>
    </w:p>
    <w:tbl>
      <w:tblPr>
        <w:tblW w:w="9023" w:type="dxa"/>
        <w:tblBorders>
          <w:insideH w:val="single" w:sz="4" w:space="0" w:color="auto"/>
        </w:tblBorders>
        <w:tblCellMar>
          <w:left w:w="0" w:type="dxa"/>
          <w:right w:w="0" w:type="dxa"/>
        </w:tblCellMar>
        <w:tblLook w:val="0420" w:firstRow="1" w:lastRow="0" w:firstColumn="0" w:lastColumn="0" w:noHBand="0" w:noVBand="1"/>
      </w:tblPr>
      <w:tblGrid>
        <w:gridCol w:w="2400"/>
        <w:gridCol w:w="1655"/>
        <w:gridCol w:w="874"/>
        <w:gridCol w:w="782"/>
        <w:gridCol w:w="1265"/>
        <w:gridCol w:w="391"/>
        <w:gridCol w:w="1656"/>
      </w:tblGrid>
      <w:tr w:rsidR="00B45188" w:rsidRPr="002B0790" w14:paraId="30F32BC9" w14:textId="77777777" w:rsidTr="005905E2">
        <w:trPr>
          <w:trHeight w:val="456"/>
        </w:trPr>
        <w:tc>
          <w:tcPr>
            <w:tcW w:w="2400" w:type="dxa"/>
            <w:tcBorders>
              <w:bottom w:val="single" w:sz="4" w:space="0" w:color="000000" w:themeColor="text1"/>
            </w:tcBorders>
            <w:shd w:val="clear" w:color="auto" w:fill="auto"/>
            <w:tcMar>
              <w:top w:w="15" w:type="dxa"/>
              <w:left w:w="113" w:type="dxa"/>
              <w:bottom w:w="0" w:type="dxa"/>
              <w:right w:w="57" w:type="dxa"/>
            </w:tcMar>
            <w:vAlign w:val="center"/>
            <w:hideMark/>
          </w:tcPr>
          <w:p w14:paraId="16555140" w14:textId="77777777" w:rsidR="00B45188" w:rsidRPr="00A34C52" w:rsidRDefault="00B45188" w:rsidP="00861B32">
            <w:pPr>
              <w:spacing w:line="360" w:lineRule="auto"/>
              <w:rPr>
                <w:rFonts w:ascii="Arial" w:eastAsia="Times New Roman" w:hAnsi="Arial" w:cs="Arial"/>
              </w:rPr>
            </w:pPr>
          </w:p>
        </w:tc>
        <w:tc>
          <w:tcPr>
            <w:tcW w:w="1655" w:type="dxa"/>
            <w:tcBorders>
              <w:bottom w:val="single" w:sz="4" w:space="0" w:color="000000" w:themeColor="text1"/>
            </w:tcBorders>
            <w:shd w:val="clear" w:color="auto" w:fill="auto"/>
            <w:tcMar>
              <w:top w:w="15" w:type="dxa"/>
              <w:left w:w="144" w:type="dxa"/>
              <w:bottom w:w="0" w:type="dxa"/>
              <w:right w:w="144" w:type="dxa"/>
            </w:tcMar>
            <w:hideMark/>
          </w:tcPr>
          <w:p w14:paraId="621ACD14"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 xml:space="preserve">Regimen M </w:t>
            </w:r>
            <w:r w:rsidRPr="005905E2">
              <w:rPr>
                <w:rFonts w:ascii="Arial" w:hAnsi="Arial" w:cs="Arial"/>
                <w:b/>
                <w:bCs/>
                <w:kern w:val="24"/>
                <w:lang w:val="pt-PT"/>
              </w:rPr>
              <w:br/>
              <w:t>Afatinib (20 mg) +TMZ+RT</w:t>
            </w:r>
          </w:p>
          <w:p w14:paraId="393A6763" w14:textId="33E62D3B" w:rsidR="00B45188" w:rsidRPr="005905E2" w:rsidRDefault="002B0790" w:rsidP="00861B32">
            <w:pPr>
              <w:spacing w:line="360" w:lineRule="auto"/>
              <w:rPr>
                <w:rFonts w:ascii="Arial" w:eastAsia="Times New Roman" w:hAnsi="Arial" w:cs="Arial"/>
              </w:rPr>
            </w:pPr>
            <w:r w:rsidRPr="005905E2">
              <w:rPr>
                <w:rFonts w:ascii="Arial" w:eastAsia="Times New Roman" w:hAnsi="Arial" w:cs="Arial"/>
                <w:b/>
                <w:bCs/>
                <w:kern w:val="24"/>
              </w:rPr>
              <w:t>N</w:t>
            </w:r>
            <w:r w:rsidR="00B45188" w:rsidRPr="005905E2">
              <w:rPr>
                <w:rFonts w:ascii="Arial" w:eastAsia="Times New Roman" w:hAnsi="Arial" w:cs="Arial"/>
                <w:b/>
                <w:bCs/>
                <w:kern w:val="24"/>
              </w:rPr>
              <w:t xml:space="preserve"> = 7</w:t>
            </w:r>
          </w:p>
        </w:tc>
        <w:tc>
          <w:tcPr>
            <w:tcW w:w="1656" w:type="dxa"/>
            <w:gridSpan w:val="2"/>
            <w:tcBorders>
              <w:bottom w:val="single" w:sz="4" w:space="0" w:color="000000" w:themeColor="text1"/>
            </w:tcBorders>
            <w:shd w:val="clear" w:color="auto" w:fill="auto"/>
            <w:tcMar>
              <w:top w:w="15" w:type="dxa"/>
              <w:left w:w="144" w:type="dxa"/>
              <w:bottom w:w="0" w:type="dxa"/>
              <w:right w:w="144" w:type="dxa"/>
            </w:tcMar>
            <w:hideMark/>
          </w:tcPr>
          <w:p w14:paraId="109D02C1"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 xml:space="preserve">Regimen M </w:t>
            </w:r>
            <w:r w:rsidRPr="005905E2">
              <w:rPr>
                <w:rFonts w:ascii="Arial" w:hAnsi="Arial" w:cs="Arial"/>
                <w:b/>
                <w:bCs/>
                <w:kern w:val="24"/>
                <w:lang w:val="pt-PT"/>
              </w:rPr>
              <w:br/>
              <w:t>Afatinib (30 mg) +TMZ+RT</w:t>
            </w:r>
          </w:p>
          <w:p w14:paraId="727F6C05" w14:textId="2061EF00" w:rsidR="00B45188" w:rsidRPr="005905E2" w:rsidRDefault="002B0790" w:rsidP="00861B32">
            <w:pPr>
              <w:spacing w:line="360" w:lineRule="auto"/>
              <w:rPr>
                <w:rFonts w:ascii="Arial" w:eastAsia="Times New Roman" w:hAnsi="Arial" w:cs="Arial"/>
              </w:rPr>
            </w:pPr>
            <w:r w:rsidRPr="005905E2">
              <w:rPr>
                <w:rFonts w:ascii="Arial" w:eastAsia="Times New Roman" w:hAnsi="Arial" w:cs="Arial"/>
                <w:b/>
                <w:bCs/>
                <w:kern w:val="24"/>
              </w:rPr>
              <w:t>N</w:t>
            </w:r>
            <w:r w:rsidR="00B45188" w:rsidRPr="005905E2">
              <w:rPr>
                <w:rFonts w:ascii="Arial" w:eastAsia="Times New Roman" w:hAnsi="Arial" w:cs="Arial"/>
                <w:b/>
                <w:bCs/>
                <w:kern w:val="24"/>
              </w:rPr>
              <w:t xml:space="preserve"> = 6</w:t>
            </w:r>
          </w:p>
        </w:tc>
        <w:tc>
          <w:tcPr>
            <w:tcW w:w="1656" w:type="dxa"/>
            <w:gridSpan w:val="2"/>
            <w:tcBorders>
              <w:bottom w:val="single" w:sz="4" w:space="0" w:color="000000" w:themeColor="text1"/>
            </w:tcBorders>
            <w:shd w:val="clear" w:color="auto" w:fill="auto"/>
            <w:tcMar>
              <w:top w:w="15" w:type="dxa"/>
              <w:left w:w="144" w:type="dxa"/>
              <w:bottom w:w="0" w:type="dxa"/>
              <w:right w:w="144" w:type="dxa"/>
            </w:tcMar>
            <w:hideMark/>
          </w:tcPr>
          <w:p w14:paraId="1D5FE7B7"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 xml:space="preserve">Regimen M </w:t>
            </w:r>
            <w:r w:rsidRPr="005905E2">
              <w:rPr>
                <w:rFonts w:ascii="Arial" w:hAnsi="Arial" w:cs="Arial"/>
                <w:b/>
                <w:bCs/>
                <w:kern w:val="24"/>
                <w:lang w:val="pt-PT"/>
              </w:rPr>
              <w:br/>
              <w:t>Afatinib (40 mg) +TMZ+RT</w:t>
            </w:r>
          </w:p>
          <w:p w14:paraId="0349208A" w14:textId="681AA02D" w:rsidR="00B45188" w:rsidRPr="005905E2" w:rsidRDefault="002B0790" w:rsidP="00861B32">
            <w:pPr>
              <w:spacing w:line="360" w:lineRule="auto"/>
              <w:rPr>
                <w:rFonts w:ascii="Arial" w:eastAsia="Times New Roman" w:hAnsi="Arial" w:cs="Arial"/>
                <w:b/>
                <w:bCs/>
              </w:rPr>
            </w:pPr>
            <w:r w:rsidRPr="005905E2">
              <w:rPr>
                <w:rFonts w:ascii="Arial" w:eastAsia="Times New Roman" w:hAnsi="Arial" w:cs="Arial"/>
                <w:b/>
                <w:bCs/>
                <w:kern w:val="24"/>
              </w:rPr>
              <w:t>N</w:t>
            </w:r>
            <w:r w:rsidR="00B45188" w:rsidRPr="005905E2">
              <w:rPr>
                <w:rFonts w:ascii="Arial" w:eastAsia="Times New Roman" w:hAnsi="Arial" w:cs="Arial"/>
                <w:b/>
                <w:bCs/>
                <w:kern w:val="24"/>
              </w:rPr>
              <w:t xml:space="preserve"> = 7</w:t>
            </w:r>
          </w:p>
        </w:tc>
        <w:tc>
          <w:tcPr>
            <w:tcW w:w="1656" w:type="dxa"/>
            <w:tcBorders>
              <w:bottom w:val="single" w:sz="4" w:space="0" w:color="000000" w:themeColor="text1"/>
            </w:tcBorders>
            <w:shd w:val="clear" w:color="auto" w:fill="auto"/>
            <w:tcMar>
              <w:top w:w="15" w:type="dxa"/>
              <w:left w:w="144" w:type="dxa"/>
              <w:bottom w:w="0" w:type="dxa"/>
              <w:right w:w="144" w:type="dxa"/>
            </w:tcMar>
            <w:hideMark/>
          </w:tcPr>
          <w:p w14:paraId="2772056F"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 xml:space="preserve">Regimen M </w:t>
            </w:r>
            <w:r w:rsidRPr="005905E2">
              <w:rPr>
                <w:rFonts w:ascii="Arial" w:hAnsi="Arial" w:cs="Arial"/>
                <w:b/>
                <w:bCs/>
                <w:kern w:val="24"/>
                <w:lang w:val="pt-PT"/>
              </w:rPr>
              <w:br/>
              <w:t>Afatinib (total) +TMZ+RT</w:t>
            </w:r>
          </w:p>
          <w:p w14:paraId="5C4728C0" w14:textId="607FBBA2" w:rsidR="00B45188" w:rsidRPr="005905E2" w:rsidRDefault="002B0790" w:rsidP="00861B32">
            <w:pPr>
              <w:spacing w:line="360" w:lineRule="auto"/>
              <w:rPr>
                <w:rFonts w:ascii="Arial" w:eastAsia="Times New Roman" w:hAnsi="Arial" w:cs="Arial"/>
                <w:b/>
                <w:bCs/>
              </w:rPr>
            </w:pPr>
            <w:r w:rsidRPr="005905E2">
              <w:rPr>
                <w:rFonts w:ascii="Arial" w:eastAsia="Times New Roman" w:hAnsi="Arial" w:cs="Arial"/>
                <w:b/>
                <w:bCs/>
                <w:kern w:val="24"/>
              </w:rPr>
              <w:t>N</w:t>
            </w:r>
            <w:r w:rsidR="00B45188" w:rsidRPr="005905E2">
              <w:rPr>
                <w:rFonts w:ascii="Arial" w:eastAsia="Times New Roman" w:hAnsi="Arial" w:cs="Arial"/>
                <w:b/>
                <w:bCs/>
                <w:kern w:val="24"/>
              </w:rPr>
              <w:t xml:space="preserve"> = 20</w:t>
            </w:r>
          </w:p>
        </w:tc>
      </w:tr>
      <w:tr w:rsidR="00B45188" w:rsidRPr="00A34C52" w14:paraId="5905EED8" w14:textId="77777777" w:rsidTr="005905E2">
        <w:trPr>
          <w:trHeight w:val="257"/>
        </w:trPr>
        <w:tc>
          <w:tcPr>
            <w:tcW w:w="2400" w:type="dxa"/>
            <w:shd w:val="clear" w:color="auto" w:fill="auto"/>
            <w:tcMar>
              <w:top w:w="72" w:type="dxa"/>
              <w:left w:w="72" w:type="dxa"/>
              <w:bottom w:w="72" w:type="dxa"/>
              <w:right w:w="72" w:type="dxa"/>
            </w:tcMar>
            <w:vAlign w:val="center"/>
          </w:tcPr>
          <w:p w14:paraId="7BE39648" w14:textId="1F4E152A"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Total with related AE, </w:t>
            </w:r>
            <w:r w:rsidR="002B0790" w:rsidRPr="002B0790">
              <w:rPr>
                <w:rFonts w:ascii="Arial" w:eastAsia="Times New Roman" w:hAnsi="Arial" w:cs="Arial"/>
              </w:rPr>
              <w:t>n</w:t>
            </w:r>
            <w:r w:rsidRPr="00A34C52">
              <w:rPr>
                <w:rFonts w:ascii="Arial" w:eastAsia="Times New Roman" w:hAnsi="Arial" w:cs="Arial"/>
              </w:rPr>
              <w:t xml:space="preserve"> (%)</w:t>
            </w:r>
          </w:p>
        </w:tc>
        <w:tc>
          <w:tcPr>
            <w:tcW w:w="1655" w:type="dxa"/>
            <w:shd w:val="clear" w:color="auto" w:fill="auto"/>
            <w:tcMar>
              <w:top w:w="72" w:type="dxa"/>
              <w:left w:w="72" w:type="dxa"/>
              <w:bottom w:w="72" w:type="dxa"/>
              <w:right w:w="72" w:type="dxa"/>
            </w:tcMar>
            <w:vAlign w:val="center"/>
          </w:tcPr>
          <w:p w14:paraId="6509474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7 (100)</w:t>
            </w:r>
          </w:p>
        </w:tc>
        <w:tc>
          <w:tcPr>
            <w:tcW w:w="1656" w:type="dxa"/>
            <w:gridSpan w:val="2"/>
            <w:shd w:val="clear" w:color="auto" w:fill="auto"/>
            <w:tcMar>
              <w:top w:w="72" w:type="dxa"/>
              <w:left w:w="72" w:type="dxa"/>
              <w:bottom w:w="72" w:type="dxa"/>
              <w:right w:w="72" w:type="dxa"/>
            </w:tcMar>
            <w:vAlign w:val="center"/>
          </w:tcPr>
          <w:p w14:paraId="300184F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(100)</w:t>
            </w:r>
          </w:p>
        </w:tc>
        <w:tc>
          <w:tcPr>
            <w:tcW w:w="1656" w:type="dxa"/>
            <w:gridSpan w:val="2"/>
            <w:shd w:val="clear" w:color="auto" w:fill="auto"/>
            <w:tcMar>
              <w:top w:w="72" w:type="dxa"/>
              <w:left w:w="72" w:type="dxa"/>
              <w:bottom w:w="72" w:type="dxa"/>
              <w:right w:w="72" w:type="dxa"/>
            </w:tcMar>
            <w:vAlign w:val="center"/>
          </w:tcPr>
          <w:p w14:paraId="45575E82"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(86)</w:t>
            </w:r>
          </w:p>
        </w:tc>
        <w:tc>
          <w:tcPr>
            <w:tcW w:w="1656" w:type="dxa"/>
            <w:shd w:val="clear" w:color="auto" w:fill="auto"/>
            <w:tcMar>
              <w:top w:w="72" w:type="dxa"/>
              <w:left w:w="72" w:type="dxa"/>
              <w:bottom w:w="72" w:type="dxa"/>
              <w:right w:w="72" w:type="dxa"/>
            </w:tcMar>
            <w:vAlign w:val="center"/>
          </w:tcPr>
          <w:p w14:paraId="43D18C73"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19 (95)</w:t>
            </w:r>
          </w:p>
        </w:tc>
      </w:tr>
      <w:tr w:rsidR="00B45188" w:rsidRPr="00A34C52" w14:paraId="56CE3AF6" w14:textId="77777777" w:rsidTr="005905E2">
        <w:trPr>
          <w:trHeight w:val="257"/>
        </w:trPr>
        <w:tc>
          <w:tcPr>
            <w:tcW w:w="2400" w:type="dxa"/>
            <w:shd w:val="clear" w:color="auto" w:fill="auto"/>
            <w:tcMar>
              <w:top w:w="72" w:type="dxa"/>
              <w:left w:w="72" w:type="dxa"/>
              <w:bottom w:w="72" w:type="dxa"/>
              <w:right w:w="72" w:type="dxa"/>
            </w:tcMar>
            <w:vAlign w:val="center"/>
          </w:tcPr>
          <w:p w14:paraId="53A8B0D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Gastrointestinal disorders</w:t>
            </w:r>
          </w:p>
        </w:tc>
        <w:tc>
          <w:tcPr>
            <w:tcW w:w="1655" w:type="dxa"/>
            <w:shd w:val="clear" w:color="auto" w:fill="auto"/>
            <w:tcMar>
              <w:top w:w="72" w:type="dxa"/>
              <w:left w:w="72" w:type="dxa"/>
              <w:bottom w:w="72" w:type="dxa"/>
              <w:right w:w="72" w:type="dxa"/>
            </w:tcMar>
            <w:vAlign w:val="center"/>
          </w:tcPr>
          <w:p w14:paraId="099599F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(86)</w:t>
            </w:r>
          </w:p>
        </w:tc>
        <w:tc>
          <w:tcPr>
            <w:tcW w:w="1656" w:type="dxa"/>
            <w:gridSpan w:val="2"/>
            <w:shd w:val="clear" w:color="auto" w:fill="auto"/>
            <w:tcMar>
              <w:top w:w="72" w:type="dxa"/>
              <w:left w:w="72" w:type="dxa"/>
              <w:bottom w:w="72" w:type="dxa"/>
              <w:right w:w="72" w:type="dxa"/>
            </w:tcMar>
            <w:vAlign w:val="center"/>
          </w:tcPr>
          <w:p w14:paraId="4B40CC2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(100)</w:t>
            </w:r>
          </w:p>
        </w:tc>
        <w:tc>
          <w:tcPr>
            <w:tcW w:w="1656" w:type="dxa"/>
            <w:gridSpan w:val="2"/>
            <w:shd w:val="clear" w:color="auto" w:fill="auto"/>
            <w:tcMar>
              <w:top w:w="72" w:type="dxa"/>
              <w:left w:w="72" w:type="dxa"/>
              <w:bottom w:w="72" w:type="dxa"/>
              <w:right w:w="72" w:type="dxa"/>
            </w:tcMar>
            <w:vAlign w:val="center"/>
          </w:tcPr>
          <w:p w14:paraId="0FE6020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(71)</w:t>
            </w:r>
          </w:p>
        </w:tc>
        <w:tc>
          <w:tcPr>
            <w:tcW w:w="1656" w:type="dxa"/>
            <w:shd w:val="clear" w:color="auto" w:fill="auto"/>
            <w:tcMar>
              <w:top w:w="72" w:type="dxa"/>
              <w:left w:w="72" w:type="dxa"/>
              <w:bottom w:w="72" w:type="dxa"/>
              <w:right w:w="72" w:type="dxa"/>
            </w:tcMar>
            <w:vAlign w:val="center"/>
          </w:tcPr>
          <w:p w14:paraId="05E900BE"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17 (85)</w:t>
            </w:r>
          </w:p>
        </w:tc>
      </w:tr>
      <w:tr w:rsidR="00B45188" w:rsidRPr="00A34C52" w14:paraId="13423E8F" w14:textId="77777777" w:rsidTr="005905E2">
        <w:trPr>
          <w:trHeight w:val="241"/>
        </w:trPr>
        <w:tc>
          <w:tcPr>
            <w:tcW w:w="2400" w:type="dxa"/>
            <w:shd w:val="clear" w:color="auto" w:fill="auto"/>
            <w:tcMar>
              <w:top w:w="72" w:type="dxa"/>
              <w:left w:w="72" w:type="dxa"/>
              <w:bottom w:w="72" w:type="dxa"/>
              <w:right w:w="72" w:type="dxa"/>
            </w:tcMar>
            <w:vAlign w:val="center"/>
          </w:tcPr>
          <w:p w14:paraId="40B8C33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 Diarrhea</w:t>
            </w:r>
          </w:p>
        </w:tc>
        <w:tc>
          <w:tcPr>
            <w:tcW w:w="1655" w:type="dxa"/>
            <w:shd w:val="clear" w:color="auto" w:fill="auto"/>
            <w:tcMar>
              <w:top w:w="72" w:type="dxa"/>
              <w:left w:w="72" w:type="dxa"/>
              <w:bottom w:w="72" w:type="dxa"/>
              <w:right w:w="72" w:type="dxa"/>
            </w:tcMar>
            <w:vAlign w:val="center"/>
          </w:tcPr>
          <w:p w14:paraId="0B25D24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(86)</w:t>
            </w:r>
          </w:p>
        </w:tc>
        <w:tc>
          <w:tcPr>
            <w:tcW w:w="1656" w:type="dxa"/>
            <w:gridSpan w:val="2"/>
            <w:shd w:val="clear" w:color="auto" w:fill="auto"/>
            <w:tcMar>
              <w:top w:w="72" w:type="dxa"/>
              <w:left w:w="72" w:type="dxa"/>
              <w:bottom w:w="72" w:type="dxa"/>
              <w:right w:w="72" w:type="dxa"/>
            </w:tcMar>
            <w:vAlign w:val="center"/>
          </w:tcPr>
          <w:p w14:paraId="4500913C"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(83)</w:t>
            </w:r>
          </w:p>
        </w:tc>
        <w:tc>
          <w:tcPr>
            <w:tcW w:w="1656" w:type="dxa"/>
            <w:gridSpan w:val="2"/>
            <w:shd w:val="clear" w:color="auto" w:fill="auto"/>
            <w:tcMar>
              <w:top w:w="72" w:type="dxa"/>
              <w:left w:w="72" w:type="dxa"/>
              <w:bottom w:w="72" w:type="dxa"/>
              <w:right w:w="72" w:type="dxa"/>
            </w:tcMar>
            <w:vAlign w:val="center"/>
          </w:tcPr>
          <w:p w14:paraId="41D0816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(71)</w:t>
            </w:r>
          </w:p>
        </w:tc>
        <w:tc>
          <w:tcPr>
            <w:tcW w:w="1656" w:type="dxa"/>
            <w:shd w:val="clear" w:color="auto" w:fill="auto"/>
            <w:tcMar>
              <w:top w:w="72" w:type="dxa"/>
              <w:left w:w="72" w:type="dxa"/>
              <w:bottom w:w="72" w:type="dxa"/>
              <w:right w:w="72" w:type="dxa"/>
            </w:tcMar>
            <w:vAlign w:val="center"/>
          </w:tcPr>
          <w:p w14:paraId="77019872"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16 (80)</w:t>
            </w:r>
          </w:p>
        </w:tc>
      </w:tr>
      <w:tr w:rsidR="00B45188" w:rsidRPr="00A34C52" w14:paraId="1B8D43DA" w14:textId="77777777" w:rsidTr="005905E2">
        <w:trPr>
          <w:trHeight w:val="563"/>
        </w:trPr>
        <w:tc>
          <w:tcPr>
            <w:tcW w:w="2400" w:type="dxa"/>
            <w:shd w:val="clear" w:color="auto" w:fill="auto"/>
            <w:tcMar>
              <w:top w:w="72" w:type="dxa"/>
              <w:left w:w="72" w:type="dxa"/>
              <w:bottom w:w="72" w:type="dxa"/>
              <w:right w:w="72" w:type="dxa"/>
            </w:tcMar>
            <w:vAlign w:val="center"/>
          </w:tcPr>
          <w:p w14:paraId="6F66B23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 Nausea</w:t>
            </w:r>
          </w:p>
        </w:tc>
        <w:tc>
          <w:tcPr>
            <w:tcW w:w="1655" w:type="dxa"/>
            <w:shd w:val="clear" w:color="auto" w:fill="auto"/>
            <w:tcMar>
              <w:top w:w="72" w:type="dxa"/>
              <w:left w:w="72" w:type="dxa"/>
              <w:bottom w:w="72" w:type="dxa"/>
              <w:right w:w="72" w:type="dxa"/>
            </w:tcMar>
            <w:vAlign w:val="center"/>
          </w:tcPr>
          <w:p w14:paraId="51CFBFA5"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(43)</w:t>
            </w:r>
          </w:p>
        </w:tc>
        <w:tc>
          <w:tcPr>
            <w:tcW w:w="1656" w:type="dxa"/>
            <w:gridSpan w:val="2"/>
            <w:shd w:val="clear" w:color="auto" w:fill="auto"/>
            <w:tcMar>
              <w:top w:w="72" w:type="dxa"/>
              <w:left w:w="72" w:type="dxa"/>
              <w:bottom w:w="72" w:type="dxa"/>
              <w:right w:w="72" w:type="dxa"/>
            </w:tcMar>
            <w:vAlign w:val="center"/>
          </w:tcPr>
          <w:p w14:paraId="29F80ADD"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(33)</w:t>
            </w:r>
          </w:p>
        </w:tc>
        <w:tc>
          <w:tcPr>
            <w:tcW w:w="1656" w:type="dxa"/>
            <w:gridSpan w:val="2"/>
            <w:shd w:val="clear" w:color="auto" w:fill="auto"/>
            <w:tcMar>
              <w:top w:w="72" w:type="dxa"/>
              <w:left w:w="72" w:type="dxa"/>
              <w:bottom w:w="72" w:type="dxa"/>
              <w:right w:w="72" w:type="dxa"/>
            </w:tcMar>
            <w:vAlign w:val="center"/>
          </w:tcPr>
          <w:p w14:paraId="2BC585AC"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4 (57)</w:t>
            </w:r>
          </w:p>
        </w:tc>
        <w:tc>
          <w:tcPr>
            <w:tcW w:w="1656" w:type="dxa"/>
            <w:shd w:val="clear" w:color="auto" w:fill="auto"/>
            <w:tcMar>
              <w:top w:w="72" w:type="dxa"/>
              <w:left w:w="72" w:type="dxa"/>
              <w:bottom w:w="72" w:type="dxa"/>
              <w:right w:w="72" w:type="dxa"/>
            </w:tcMar>
            <w:vAlign w:val="center"/>
          </w:tcPr>
          <w:p w14:paraId="53A5D29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9 (45)</w:t>
            </w:r>
          </w:p>
        </w:tc>
      </w:tr>
      <w:tr w:rsidR="00B45188" w:rsidRPr="00A34C52" w14:paraId="296AA3BE" w14:textId="77777777" w:rsidTr="005905E2">
        <w:trPr>
          <w:trHeight w:val="563"/>
        </w:trPr>
        <w:tc>
          <w:tcPr>
            <w:tcW w:w="2400" w:type="dxa"/>
            <w:shd w:val="clear" w:color="auto" w:fill="auto"/>
            <w:tcMar>
              <w:top w:w="72" w:type="dxa"/>
              <w:left w:w="72" w:type="dxa"/>
              <w:bottom w:w="72" w:type="dxa"/>
              <w:right w:w="72" w:type="dxa"/>
            </w:tcMar>
            <w:vAlign w:val="center"/>
          </w:tcPr>
          <w:p w14:paraId="1570B6D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Skin and subcutaneous tissue disorders</w:t>
            </w:r>
          </w:p>
        </w:tc>
        <w:tc>
          <w:tcPr>
            <w:tcW w:w="1655" w:type="dxa"/>
            <w:shd w:val="clear" w:color="auto" w:fill="auto"/>
            <w:tcMar>
              <w:top w:w="72" w:type="dxa"/>
              <w:left w:w="72" w:type="dxa"/>
              <w:bottom w:w="72" w:type="dxa"/>
              <w:right w:w="72" w:type="dxa"/>
            </w:tcMar>
            <w:vAlign w:val="center"/>
          </w:tcPr>
          <w:p w14:paraId="20245717"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(86)</w:t>
            </w:r>
          </w:p>
        </w:tc>
        <w:tc>
          <w:tcPr>
            <w:tcW w:w="1656" w:type="dxa"/>
            <w:gridSpan w:val="2"/>
            <w:shd w:val="clear" w:color="auto" w:fill="auto"/>
            <w:tcMar>
              <w:top w:w="72" w:type="dxa"/>
              <w:left w:w="72" w:type="dxa"/>
              <w:bottom w:w="72" w:type="dxa"/>
              <w:right w:w="72" w:type="dxa"/>
            </w:tcMar>
            <w:vAlign w:val="center"/>
          </w:tcPr>
          <w:p w14:paraId="2D2DCB2C"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(83)</w:t>
            </w:r>
          </w:p>
        </w:tc>
        <w:tc>
          <w:tcPr>
            <w:tcW w:w="1656" w:type="dxa"/>
            <w:gridSpan w:val="2"/>
            <w:shd w:val="clear" w:color="auto" w:fill="auto"/>
            <w:tcMar>
              <w:top w:w="72" w:type="dxa"/>
              <w:left w:w="72" w:type="dxa"/>
              <w:bottom w:w="72" w:type="dxa"/>
              <w:right w:w="72" w:type="dxa"/>
            </w:tcMar>
            <w:vAlign w:val="center"/>
          </w:tcPr>
          <w:p w14:paraId="50D82B34"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(71)</w:t>
            </w:r>
          </w:p>
        </w:tc>
        <w:tc>
          <w:tcPr>
            <w:tcW w:w="1656" w:type="dxa"/>
            <w:shd w:val="clear" w:color="auto" w:fill="auto"/>
            <w:tcMar>
              <w:top w:w="72" w:type="dxa"/>
              <w:left w:w="72" w:type="dxa"/>
              <w:bottom w:w="72" w:type="dxa"/>
              <w:right w:w="72" w:type="dxa"/>
            </w:tcMar>
            <w:vAlign w:val="center"/>
          </w:tcPr>
          <w:p w14:paraId="0FFE4A07"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16 (80)</w:t>
            </w:r>
          </w:p>
        </w:tc>
      </w:tr>
      <w:tr w:rsidR="00B45188" w:rsidRPr="00A34C52" w14:paraId="009D982E" w14:textId="77777777" w:rsidTr="005905E2">
        <w:trPr>
          <w:trHeight w:val="322"/>
        </w:trPr>
        <w:tc>
          <w:tcPr>
            <w:tcW w:w="2400" w:type="dxa"/>
            <w:shd w:val="clear" w:color="auto" w:fill="auto"/>
            <w:tcMar>
              <w:top w:w="72" w:type="dxa"/>
              <w:left w:w="72" w:type="dxa"/>
              <w:bottom w:w="72" w:type="dxa"/>
              <w:right w:w="72" w:type="dxa"/>
            </w:tcMar>
            <w:vAlign w:val="center"/>
          </w:tcPr>
          <w:p w14:paraId="7B188883"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 Rash</w:t>
            </w:r>
          </w:p>
        </w:tc>
        <w:tc>
          <w:tcPr>
            <w:tcW w:w="1655" w:type="dxa"/>
            <w:shd w:val="clear" w:color="auto" w:fill="auto"/>
            <w:tcMar>
              <w:top w:w="72" w:type="dxa"/>
              <w:left w:w="72" w:type="dxa"/>
              <w:bottom w:w="72" w:type="dxa"/>
              <w:right w:w="72" w:type="dxa"/>
            </w:tcMar>
            <w:vAlign w:val="center"/>
          </w:tcPr>
          <w:p w14:paraId="7739F748"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(71)</w:t>
            </w:r>
          </w:p>
        </w:tc>
        <w:tc>
          <w:tcPr>
            <w:tcW w:w="1656" w:type="dxa"/>
            <w:gridSpan w:val="2"/>
            <w:shd w:val="clear" w:color="auto" w:fill="auto"/>
            <w:tcMar>
              <w:top w:w="72" w:type="dxa"/>
              <w:left w:w="72" w:type="dxa"/>
              <w:bottom w:w="72" w:type="dxa"/>
              <w:right w:w="72" w:type="dxa"/>
            </w:tcMar>
            <w:vAlign w:val="center"/>
          </w:tcPr>
          <w:p w14:paraId="05D0825E"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5 (83)</w:t>
            </w:r>
          </w:p>
        </w:tc>
        <w:tc>
          <w:tcPr>
            <w:tcW w:w="1656" w:type="dxa"/>
            <w:gridSpan w:val="2"/>
            <w:shd w:val="clear" w:color="auto" w:fill="auto"/>
            <w:tcMar>
              <w:top w:w="72" w:type="dxa"/>
              <w:left w:w="72" w:type="dxa"/>
              <w:bottom w:w="72" w:type="dxa"/>
              <w:right w:w="72" w:type="dxa"/>
            </w:tcMar>
            <w:vAlign w:val="center"/>
          </w:tcPr>
          <w:p w14:paraId="2B25F158"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(43)</w:t>
            </w:r>
          </w:p>
        </w:tc>
        <w:tc>
          <w:tcPr>
            <w:tcW w:w="1656" w:type="dxa"/>
            <w:shd w:val="clear" w:color="auto" w:fill="auto"/>
            <w:tcMar>
              <w:top w:w="72" w:type="dxa"/>
              <w:left w:w="72" w:type="dxa"/>
              <w:bottom w:w="72" w:type="dxa"/>
              <w:right w:w="72" w:type="dxa"/>
            </w:tcMar>
            <w:vAlign w:val="center"/>
          </w:tcPr>
          <w:p w14:paraId="69A8825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13 (65)</w:t>
            </w:r>
          </w:p>
        </w:tc>
      </w:tr>
      <w:tr w:rsidR="00B45188" w:rsidRPr="00A34C52" w14:paraId="06B2F468" w14:textId="77777777" w:rsidTr="005905E2">
        <w:trPr>
          <w:trHeight w:val="222"/>
        </w:trPr>
        <w:tc>
          <w:tcPr>
            <w:tcW w:w="2400" w:type="dxa"/>
            <w:shd w:val="clear" w:color="auto" w:fill="auto"/>
            <w:tcMar>
              <w:top w:w="72" w:type="dxa"/>
              <w:left w:w="72" w:type="dxa"/>
              <w:bottom w:w="72" w:type="dxa"/>
              <w:right w:w="72" w:type="dxa"/>
            </w:tcMar>
          </w:tcPr>
          <w:p w14:paraId="38E3DC40"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General disorders and administration site conditions</w:t>
            </w:r>
          </w:p>
        </w:tc>
        <w:tc>
          <w:tcPr>
            <w:tcW w:w="1655" w:type="dxa"/>
            <w:shd w:val="clear" w:color="auto" w:fill="auto"/>
            <w:tcMar>
              <w:top w:w="72" w:type="dxa"/>
              <w:left w:w="72" w:type="dxa"/>
              <w:bottom w:w="72" w:type="dxa"/>
              <w:right w:w="72" w:type="dxa"/>
            </w:tcMar>
          </w:tcPr>
          <w:p w14:paraId="18855E4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(86)</w:t>
            </w:r>
          </w:p>
        </w:tc>
        <w:tc>
          <w:tcPr>
            <w:tcW w:w="1656" w:type="dxa"/>
            <w:gridSpan w:val="2"/>
            <w:shd w:val="clear" w:color="auto" w:fill="auto"/>
            <w:tcMar>
              <w:top w:w="72" w:type="dxa"/>
              <w:left w:w="72" w:type="dxa"/>
              <w:bottom w:w="72" w:type="dxa"/>
              <w:right w:w="72" w:type="dxa"/>
            </w:tcMar>
          </w:tcPr>
          <w:p w14:paraId="4F7F166C"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4 (67)</w:t>
            </w:r>
          </w:p>
        </w:tc>
        <w:tc>
          <w:tcPr>
            <w:tcW w:w="1656" w:type="dxa"/>
            <w:gridSpan w:val="2"/>
            <w:shd w:val="clear" w:color="auto" w:fill="auto"/>
            <w:tcMar>
              <w:top w:w="72" w:type="dxa"/>
              <w:left w:w="72" w:type="dxa"/>
              <w:bottom w:w="72" w:type="dxa"/>
              <w:right w:w="72" w:type="dxa"/>
            </w:tcMar>
          </w:tcPr>
          <w:p w14:paraId="598C0965"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(29)</w:t>
            </w:r>
          </w:p>
        </w:tc>
        <w:tc>
          <w:tcPr>
            <w:tcW w:w="1656" w:type="dxa"/>
            <w:shd w:val="clear" w:color="auto" w:fill="auto"/>
            <w:tcMar>
              <w:top w:w="72" w:type="dxa"/>
              <w:left w:w="72" w:type="dxa"/>
              <w:bottom w:w="72" w:type="dxa"/>
              <w:right w:w="72" w:type="dxa"/>
            </w:tcMar>
          </w:tcPr>
          <w:p w14:paraId="6C515190"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12 (60)</w:t>
            </w:r>
          </w:p>
        </w:tc>
      </w:tr>
      <w:tr w:rsidR="00B45188" w:rsidRPr="00A34C52" w14:paraId="1AEE131C" w14:textId="77777777" w:rsidTr="005905E2">
        <w:trPr>
          <w:trHeight w:val="18"/>
        </w:trPr>
        <w:tc>
          <w:tcPr>
            <w:tcW w:w="2400" w:type="dxa"/>
            <w:shd w:val="clear" w:color="auto" w:fill="auto"/>
            <w:tcMar>
              <w:top w:w="72" w:type="dxa"/>
              <w:left w:w="72" w:type="dxa"/>
              <w:bottom w:w="72" w:type="dxa"/>
              <w:right w:w="72" w:type="dxa"/>
            </w:tcMar>
          </w:tcPr>
          <w:p w14:paraId="1A56ED42" w14:textId="77777777" w:rsidR="00B45188" w:rsidRPr="00A34C52" w:rsidRDefault="00B45188" w:rsidP="00861B32">
            <w:pPr>
              <w:spacing w:line="360" w:lineRule="auto"/>
              <w:rPr>
                <w:rFonts w:ascii="Arial" w:eastAsia="Times New Roman" w:hAnsi="Arial" w:cs="Arial"/>
              </w:rPr>
            </w:pPr>
            <w:r>
              <w:rPr>
                <w:rFonts w:ascii="Arial" w:eastAsia="Times New Roman" w:hAnsi="Arial" w:cs="Arial"/>
              </w:rPr>
              <w:t xml:space="preserve"> </w:t>
            </w:r>
            <w:r w:rsidRPr="00A34C52">
              <w:rPr>
                <w:rFonts w:ascii="Arial" w:eastAsia="Times New Roman" w:hAnsi="Arial" w:cs="Arial"/>
              </w:rPr>
              <w:t>Fatigue</w:t>
            </w:r>
          </w:p>
        </w:tc>
        <w:tc>
          <w:tcPr>
            <w:tcW w:w="1655" w:type="dxa"/>
            <w:shd w:val="clear" w:color="auto" w:fill="auto"/>
            <w:tcMar>
              <w:top w:w="72" w:type="dxa"/>
              <w:left w:w="72" w:type="dxa"/>
              <w:bottom w:w="72" w:type="dxa"/>
              <w:right w:w="72" w:type="dxa"/>
            </w:tcMar>
          </w:tcPr>
          <w:p w14:paraId="13D8CEA7"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4 (57)</w:t>
            </w:r>
          </w:p>
        </w:tc>
        <w:tc>
          <w:tcPr>
            <w:tcW w:w="1656" w:type="dxa"/>
            <w:gridSpan w:val="2"/>
            <w:shd w:val="clear" w:color="auto" w:fill="auto"/>
            <w:tcMar>
              <w:top w:w="72" w:type="dxa"/>
              <w:left w:w="72" w:type="dxa"/>
              <w:bottom w:w="72" w:type="dxa"/>
              <w:right w:w="72" w:type="dxa"/>
            </w:tcMar>
          </w:tcPr>
          <w:p w14:paraId="7F7C8FB1"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(50)</w:t>
            </w:r>
          </w:p>
        </w:tc>
        <w:tc>
          <w:tcPr>
            <w:tcW w:w="1656" w:type="dxa"/>
            <w:gridSpan w:val="2"/>
            <w:shd w:val="clear" w:color="auto" w:fill="auto"/>
            <w:tcMar>
              <w:top w:w="72" w:type="dxa"/>
              <w:left w:w="72" w:type="dxa"/>
              <w:bottom w:w="72" w:type="dxa"/>
              <w:right w:w="72" w:type="dxa"/>
            </w:tcMar>
          </w:tcPr>
          <w:p w14:paraId="68A16DE3"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(29)</w:t>
            </w:r>
          </w:p>
        </w:tc>
        <w:tc>
          <w:tcPr>
            <w:tcW w:w="1656" w:type="dxa"/>
            <w:shd w:val="clear" w:color="auto" w:fill="auto"/>
            <w:tcMar>
              <w:top w:w="72" w:type="dxa"/>
              <w:left w:w="72" w:type="dxa"/>
              <w:bottom w:w="72" w:type="dxa"/>
              <w:right w:w="72" w:type="dxa"/>
            </w:tcMar>
          </w:tcPr>
          <w:p w14:paraId="14018F95"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9 (45)</w:t>
            </w:r>
          </w:p>
        </w:tc>
      </w:tr>
      <w:tr w:rsidR="00B45188" w:rsidRPr="00A34C52" w14:paraId="16B6E3F8" w14:textId="77777777" w:rsidTr="005905E2">
        <w:trPr>
          <w:trHeight w:val="18"/>
        </w:trPr>
        <w:tc>
          <w:tcPr>
            <w:tcW w:w="2400" w:type="dxa"/>
            <w:shd w:val="clear" w:color="auto" w:fill="auto"/>
            <w:tcMar>
              <w:top w:w="72" w:type="dxa"/>
              <w:left w:w="72" w:type="dxa"/>
              <w:bottom w:w="72" w:type="dxa"/>
              <w:right w:w="72" w:type="dxa"/>
            </w:tcMar>
          </w:tcPr>
          <w:p w14:paraId="3A5FD3B1"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Infections and infestations</w:t>
            </w:r>
          </w:p>
        </w:tc>
        <w:tc>
          <w:tcPr>
            <w:tcW w:w="1655" w:type="dxa"/>
            <w:shd w:val="clear" w:color="auto" w:fill="auto"/>
            <w:tcMar>
              <w:top w:w="72" w:type="dxa"/>
              <w:left w:w="72" w:type="dxa"/>
              <w:bottom w:w="72" w:type="dxa"/>
              <w:right w:w="72" w:type="dxa"/>
            </w:tcMar>
          </w:tcPr>
          <w:p w14:paraId="094901D3"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(29)</w:t>
            </w:r>
          </w:p>
        </w:tc>
        <w:tc>
          <w:tcPr>
            <w:tcW w:w="1656" w:type="dxa"/>
            <w:gridSpan w:val="2"/>
            <w:shd w:val="clear" w:color="auto" w:fill="auto"/>
            <w:tcMar>
              <w:top w:w="72" w:type="dxa"/>
              <w:left w:w="72" w:type="dxa"/>
              <w:bottom w:w="72" w:type="dxa"/>
              <w:right w:w="72" w:type="dxa"/>
            </w:tcMar>
          </w:tcPr>
          <w:p w14:paraId="50D7AAEE"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(33)</w:t>
            </w:r>
          </w:p>
        </w:tc>
        <w:tc>
          <w:tcPr>
            <w:tcW w:w="1656" w:type="dxa"/>
            <w:gridSpan w:val="2"/>
            <w:shd w:val="clear" w:color="auto" w:fill="auto"/>
            <w:tcMar>
              <w:top w:w="72" w:type="dxa"/>
              <w:left w:w="72" w:type="dxa"/>
              <w:bottom w:w="72" w:type="dxa"/>
              <w:right w:w="72" w:type="dxa"/>
            </w:tcMar>
          </w:tcPr>
          <w:p w14:paraId="7CC55DE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(29)</w:t>
            </w:r>
          </w:p>
        </w:tc>
        <w:tc>
          <w:tcPr>
            <w:tcW w:w="1656" w:type="dxa"/>
            <w:shd w:val="clear" w:color="auto" w:fill="auto"/>
            <w:tcMar>
              <w:top w:w="72" w:type="dxa"/>
              <w:left w:w="72" w:type="dxa"/>
              <w:bottom w:w="72" w:type="dxa"/>
              <w:right w:w="72" w:type="dxa"/>
            </w:tcMar>
          </w:tcPr>
          <w:p w14:paraId="3AB040E8"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(30)</w:t>
            </w:r>
          </w:p>
        </w:tc>
      </w:tr>
      <w:tr w:rsidR="00B45188" w:rsidRPr="00A34C52" w14:paraId="31CDF393" w14:textId="77777777" w:rsidTr="005905E2">
        <w:trPr>
          <w:trHeight w:val="18"/>
        </w:trPr>
        <w:tc>
          <w:tcPr>
            <w:tcW w:w="2400" w:type="dxa"/>
            <w:shd w:val="clear" w:color="auto" w:fill="auto"/>
            <w:tcMar>
              <w:top w:w="72" w:type="dxa"/>
              <w:left w:w="72" w:type="dxa"/>
              <w:bottom w:w="72" w:type="dxa"/>
              <w:right w:w="72" w:type="dxa"/>
            </w:tcMar>
          </w:tcPr>
          <w:p w14:paraId="015452D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Blood and lymphatic system disorders</w:t>
            </w:r>
          </w:p>
        </w:tc>
        <w:tc>
          <w:tcPr>
            <w:tcW w:w="1655" w:type="dxa"/>
            <w:shd w:val="clear" w:color="auto" w:fill="auto"/>
            <w:tcMar>
              <w:top w:w="72" w:type="dxa"/>
              <w:left w:w="72" w:type="dxa"/>
              <w:bottom w:w="72" w:type="dxa"/>
              <w:right w:w="72" w:type="dxa"/>
            </w:tcMar>
          </w:tcPr>
          <w:p w14:paraId="1AFB19B0"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(43)</w:t>
            </w:r>
          </w:p>
        </w:tc>
        <w:tc>
          <w:tcPr>
            <w:tcW w:w="1656" w:type="dxa"/>
            <w:gridSpan w:val="2"/>
            <w:shd w:val="clear" w:color="auto" w:fill="auto"/>
            <w:tcMar>
              <w:top w:w="72" w:type="dxa"/>
              <w:left w:w="72" w:type="dxa"/>
              <w:bottom w:w="72" w:type="dxa"/>
              <w:right w:w="72" w:type="dxa"/>
            </w:tcMar>
          </w:tcPr>
          <w:p w14:paraId="2E153A0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 (17)</w:t>
            </w:r>
          </w:p>
        </w:tc>
        <w:tc>
          <w:tcPr>
            <w:tcW w:w="1656" w:type="dxa"/>
            <w:gridSpan w:val="2"/>
            <w:shd w:val="clear" w:color="auto" w:fill="auto"/>
            <w:tcMar>
              <w:top w:w="72" w:type="dxa"/>
              <w:left w:w="72" w:type="dxa"/>
              <w:bottom w:w="72" w:type="dxa"/>
              <w:right w:w="72" w:type="dxa"/>
            </w:tcMar>
          </w:tcPr>
          <w:p w14:paraId="7F5FC949"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(29)</w:t>
            </w:r>
          </w:p>
        </w:tc>
        <w:tc>
          <w:tcPr>
            <w:tcW w:w="1656" w:type="dxa"/>
            <w:shd w:val="clear" w:color="auto" w:fill="auto"/>
            <w:tcMar>
              <w:top w:w="72" w:type="dxa"/>
              <w:left w:w="72" w:type="dxa"/>
              <w:bottom w:w="72" w:type="dxa"/>
              <w:right w:w="72" w:type="dxa"/>
            </w:tcMar>
          </w:tcPr>
          <w:p w14:paraId="18B9FA8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(30)</w:t>
            </w:r>
          </w:p>
        </w:tc>
      </w:tr>
      <w:tr w:rsidR="00B45188" w:rsidRPr="00BB0606" w14:paraId="00B32BE6" w14:textId="77777777" w:rsidTr="005905E2">
        <w:trPr>
          <w:trHeight w:val="456"/>
        </w:trPr>
        <w:tc>
          <w:tcPr>
            <w:tcW w:w="2400" w:type="dxa"/>
            <w:shd w:val="clear" w:color="auto" w:fill="auto"/>
            <w:tcMar>
              <w:top w:w="15" w:type="dxa"/>
              <w:left w:w="113" w:type="dxa"/>
              <w:bottom w:w="0" w:type="dxa"/>
              <w:right w:w="57" w:type="dxa"/>
            </w:tcMar>
            <w:vAlign w:val="center"/>
            <w:hideMark/>
          </w:tcPr>
          <w:p w14:paraId="45062E03" w14:textId="77777777" w:rsidR="00B45188" w:rsidRPr="00A34C52" w:rsidRDefault="00B45188" w:rsidP="00861B32">
            <w:pPr>
              <w:spacing w:line="360" w:lineRule="auto"/>
              <w:rPr>
                <w:rFonts w:ascii="Arial" w:eastAsia="Times New Roman" w:hAnsi="Arial" w:cs="Arial"/>
              </w:rPr>
            </w:pPr>
          </w:p>
        </w:tc>
        <w:tc>
          <w:tcPr>
            <w:tcW w:w="2529" w:type="dxa"/>
            <w:gridSpan w:val="2"/>
            <w:shd w:val="clear" w:color="auto" w:fill="auto"/>
            <w:tcMar>
              <w:top w:w="15" w:type="dxa"/>
              <w:left w:w="144" w:type="dxa"/>
              <w:bottom w:w="0" w:type="dxa"/>
              <w:right w:w="144" w:type="dxa"/>
            </w:tcMar>
            <w:hideMark/>
          </w:tcPr>
          <w:p w14:paraId="191FFA3D" w14:textId="77777777" w:rsidR="00B45188" w:rsidRPr="005905E2" w:rsidRDefault="00B45188" w:rsidP="00861B32">
            <w:pPr>
              <w:spacing w:line="360" w:lineRule="auto"/>
              <w:rPr>
                <w:rFonts w:ascii="Arial" w:hAnsi="Arial" w:cs="Arial"/>
                <w:b/>
                <w:bCs/>
                <w:kern w:val="24"/>
                <w:lang w:val="pt-PT"/>
              </w:rPr>
            </w:pPr>
            <w:r w:rsidRPr="005905E2">
              <w:rPr>
                <w:rFonts w:ascii="Arial" w:hAnsi="Arial" w:cs="Arial"/>
                <w:b/>
                <w:bCs/>
                <w:kern w:val="24"/>
                <w:lang w:val="pt-PT"/>
              </w:rPr>
              <w:t xml:space="preserve">Regimen U </w:t>
            </w:r>
            <w:r w:rsidRPr="005905E2">
              <w:rPr>
                <w:rFonts w:ascii="Arial" w:hAnsi="Arial" w:cs="Arial"/>
                <w:b/>
                <w:bCs/>
                <w:kern w:val="24"/>
                <w:lang w:val="pt-PT"/>
              </w:rPr>
              <w:br/>
              <w:t>afatinib (20 mg)</w:t>
            </w:r>
          </w:p>
          <w:p w14:paraId="7ACFC522"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+RT</w:t>
            </w:r>
          </w:p>
          <w:p w14:paraId="0FCA946D" w14:textId="118EA189" w:rsidR="00B45188" w:rsidRPr="005905E2" w:rsidRDefault="002B0790" w:rsidP="00861B32">
            <w:pPr>
              <w:spacing w:line="360" w:lineRule="auto"/>
              <w:rPr>
                <w:rFonts w:ascii="Arial" w:hAnsi="Arial" w:cs="Arial"/>
                <w:b/>
                <w:bCs/>
                <w:lang w:val="pt-PT"/>
              </w:rPr>
            </w:pPr>
            <w:r w:rsidRPr="005905E2">
              <w:rPr>
                <w:rFonts w:ascii="Arial" w:eastAsia="Times New Roman" w:hAnsi="Arial" w:cs="Arial"/>
                <w:b/>
                <w:bCs/>
                <w:kern w:val="24"/>
                <w:lang w:val="pt-PT"/>
              </w:rPr>
              <w:t>N</w:t>
            </w:r>
            <w:r w:rsidR="00B45188" w:rsidRPr="005905E2">
              <w:rPr>
                <w:rFonts w:ascii="Arial" w:hAnsi="Arial" w:cs="Arial"/>
                <w:b/>
                <w:bCs/>
                <w:kern w:val="24"/>
                <w:lang w:val="pt-PT"/>
              </w:rPr>
              <w:t xml:space="preserve"> = 3</w:t>
            </w:r>
          </w:p>
        </w:tc>
        <w:tc>
          <w:tcPr>
            <w:tcW w:w="2047" w:type="dxa"/>
            <w:gridSpan w:val="2"/>
            <w:shd w:val="clear" w:color="auto" w:fill="auto"/>
            <w:tcMar>
              <w:top w:w="15" w:type="dxa"/>
              <w:left w:w="144" w:type="dxa"/>
              <w:bottom w:w="0" w:type="dxa"/>
              <w:right w:w="144" w:type="dxa"/>
            </w:tcMar>
            <w:hideMark/>
          </w:tcPr>
          <w:p w14:paraId="69ACE2CD" w14:textId="77777777" w:rsidR="00B45188" w:rsidRPr="005905E2" w:rsidRDefault="00B45188" w:rsidP="00861B32">
            <w:pPr>
              <w:spacing w:line="360" w:lineRule="auto"/>
              <w:rPr>
                <w:rFonts w:ascii="Arial" w:hAnsi="Arial" w:cs="Arial"/>
                <w:b/>
                <w:bCs/>
                <w:kern w:val="24"/>
                <w:lang w:val="pt-PT"/>
              </w:rPr>
            </w:pPr>
            <w:r w:rsidRPr="005905E2">
              <w:rPr>
                <w:rFonts w:ascii="Arial" w:hAnsi="Arial" w:cs="Arial"/>
                <w:b/>
                <w:bCs/>
                <w:kern w:val="24"/>
                <w:lang w:val="pt-PT"/>
              </w:rPr>
              <w:t>Regimen U</w:t>
            </w:r>
            <w:r w:rsidRPr="005905E2">
              <w:rPr>
                <w:rFonts w:ascii="Arial" w:hAnsi="Arial" w:cs="Arial"/>
                <w:b/>
                <w:bCs/>
                <w:kern w:val="24"/>
                <w:lang w:val="pt-PT"/>
              </w:rPr>
              <w:br/>
              <w:t>afatinib (40 mg)</w:t>
            </w:r>
          </w:p>
          <w:p w14:paraId="2885BE12"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+RT</w:t>
            </w:r>
          </w:p>
          <w:p w14:paraId="2DD98C16" w14:textId="27D7BDDE" w:rsidR="00B45188" w:rsidRPr="005905E2" w:rsidRDefault="002B0790" w:rsidP="00861B32">
            <w:pPr>
              <w:spacing w:line="360" w:lineRule="auto"/>
              <w:rPr>
                <w:rFonts w:ascii="Arial" w:hAnsi="Arial" w:cs="Arial"/>
                <w:b/>
                <w:bCs/>
                <w:lang w:val="pt-PT"/>
              </w:rPr>
            </w:pPr>
            <w:r w:rsidRPr="005905E2">
              <w:rPr>
                <w:rFonts w:ascii="Arial" w:eastAsia="Times New Roman" w:hAnsi="Arial" w:cs="Arial"/>
                <w:b/>
                <w:bCs/>
                <w:kern w:val="24"/>
                <w:lang w:val="pt-PT"/>
              </w:rPr>
              <w:t>N</w:t>
            </w:r>
            <w:r w:rsidR="00B45188" w:rsidRPr="005905E2">
              <w:rPr>
                <w:rFonts w:ascii="Arial" w:hAnsi="Arial" w:cs="Arial"/>
                <w:b/>
                <w:bCs/>
                <w:kern w:val="24"/>
                <w:lang w:val="pt-PT"/>
              </w:rPr>
              <w:t xml:space="preserve"> = 13</w:t>
            </w:r>
          </w:p>
        </w:tc>
        <w:tc>
          <w:tcPr>
            <w:tcW w:w="2047" w:type="dxa"/>
            <w:gridSpan w:val="2"/>
            <w:shd w:val="clear" w:color="auto" w:fill="auto"/>
            <w:tcMar>
              <w:top w:w="15" w:type="dxa"/>
              <w:left w:w="144" w:type="dxa"/>
              <w:bottom w:w="0" w:type="dxa"/>
              <w:right w:w="144" w:type="dxa"/>
            </w:tcMar>
            <w:hideMark/>
          </w:tcPr>
          <w:p w14:paraId="0DDFEFC7" w14:textId="77777777" w:rsidR="00B45188" w:rsidRPr="005905E2" w:rsidRDefault="00B45188" w:rsidP="00861B32">
            <w:pPr>
              <w:spacing w:line="360" w:lineRule="auto"/>
              <w:rPr>
                <w:rFonts w:ascii="Arial" w:hAnsi="Arial" w:cs="Arial"/>
                <w:b/>
                <w:bCs/>
                <w:kern w:val="24"/>
                <w:lang w:val="pt-PT"/>
              </w:rPr>
            </w:pPr>
            <w:r w:rsidRPr="005905E2">
              <w:rPr>
                <w:rFonts w:ascii="Arial" w:hAnsi="Arial" w:cs="Arial"/>
                <w:b/>
                <w:bCs/>
                <w:kern w:val="24"/>
                <w:lang w:val="pt-PT"/>
              </w:rPr>
              <w:t xml:space="preserve">Regimen U </w:t>
            </w:r>
            <w:r w:rsidRPr="005905E2">
              <w:rPr>
                <w:rFonts w:ascii="Arial" w:hAnsi="Arial" w:cs="Arial"/>
                <w:b/>
                <w:bCs/>
                <w:kern w:val="24"/>
                <w:lang w:val="pt-PT"/>
              </w:rPr>
              <w:br/>
              <w:t>afatinib (total)</w:t>
            </w:r>
          </w:p>
          <w:p w14:paraId="62FE5937" w14:textId="77777777" w:rsidR="00B45188" w:rsidRPr="005905E2" w:rsidRDefault="00B45188" w:rsidP="00861B32">
            <w:pPr>
              <w:spacing w:line="360" w:lineRule="auto"/>
              <w:rPr>
                <w:rFonts w:ascii="Arial" w:hAnsi="Arial" w:cs="Arial"/>
                <w:b/>
                <w:bCs/>
                <w:lang w:val="pt-PT"/>
              </w:rPr>
            </w:pPr>
            <w:r w:rsidRPr="005905E2">
              <w:rPr>
                <w:rFonts w:ascii="Arial" w:hAnsi="Arial" w:cs="Arial"/>
                <w:b/>
                <w:bCs/>
                <w:kern w:val="24"/>
                <w:lang w:val="pt-PT"/>
              </w:rPr>
              <w:t>+RT</w:t>
            </w:r>
          </w:p>
          <w:p w14:paraId="52B18E76" w14:textId="1A9BB0DD" w:rsidR="00B45188" w:rsidRPr="005905E2" w:rsidRDefault="002B0790" w:rsidP="00861B32">
            <w:pPr>
              <w:spacing w:line="360" w:lineRule="auto"/>
              <w:rPr>
                <w:rFonts w:ascii="Arial" w:hAnsi="Arial" w:cs="Arial"/>
                <w:b/>
                <w:bCs/>
                <w:lang w:val="pt-PT"/>
              </w:rPr>
            </w:pPr>
            <w:r w:rsidRPr="005905E2">
              <w:rPr>
                <w:rFonts w:ascii="Arial" w:eastAsia="Times New Roman" w:hAnsi="Arial" w:cs="Arial"/>
                <w:b/>
                <w:bCs/>
                <w:kern w:val="24"/>
                <w:lang w:val="pt-PT"/>
              </w:rPr>
              <w:t>N</w:t>
            </w:r>
            <w:r w:rsidR="00B45188" w:rsidRPr="005905E2">
              <w:rPr>
                <w:rFonts w:ascii="Arial" w:hAnsi="Arial" w:cs="Arial"/>
                <w:b/>
                <w:bCs/>
                <w:kern w:val="24"/>
                <w:lang w:val="pt-PT"/>
              </w:rPr>
              <w:t xml:space="preserve"> = 16</w:t>
            </w:r>
          </w:p>
        </w:tc>
      </w:tr>
      <w:tr w:rsidR="00B45188" w:rsidRPr="00A34C52" w14:paraId="6CB26B28" w14:textId="77777777" w:rsidTr="005905E2">
        <w:trPr>
          <w:trHeight w:val="257"/>
        </w:trPr>
        <w:tc>
          <w:tcPr>
            <w:tcW w:w="2400" w:type="dxa"/>
            <w:shd w:val="clear" w:color="auto" w:fill="auto"/>
            <w:tcMar>
              <w:top w:w="72" w:type="dxa"/>
              <w:left w:w="72" w:type="dxa"/>
              <w:bottom w:w="72" w:type="dxa"/>
              <w:right w:w="72" w:type="dxa"/>
            </w:tcMar>
            <w:vAlign w:val="center"/>
          </w:tcPr>
          <w:p w14:paraId="74A7C0A9" w14:textId="61DCBF23"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Total with related AE, </w:t>
            </w:r>
            <w:r w:rsidR="002B0790" w:rsidRPr="002B0790">
              <w:rPr>
                <w:rFonts w:ascii="Arial" w:eastAsia="Times New Roman" w:hAnsi="Arial" w:cs="Arial"/>
              </w:rPr>
              <w:t>n</w:t>
            </w:r>
            <w:r w:rsidRPr="00A34C52">
              <w:rPr>
                <w:rFonts w:ascii="Arial" w:eastAsia="Times New Roman" w:hAnsi="Arial" w:cs="Arial"/>
                <w:i/>
              </w:rPr>
              <w:t xml:space="preserve"> </w:t>
            </w:r>
            <w:r w:rsidRPr="00A34C52">
              <w:rPr>
                <w:rFonts w:ascii="Arial" w:eastAsia="Times New Roman" w:hAnsi="Arial" w:cs="Arial"/>
              </w:rPr>
              <w:t>(%)</w:t>
            </w:r>
          </w:p>
        </w:tc>
        <w:tc>
          <w:tcPr>
            <w:tcW w:w="2529" w:type="dxa"/>
            <w:gridSpan w:val="2"/>
            <w:shd w:val="clear" w:color="auto" w:fill="auto"/>
            <w:tcMar>
              <w:top w:w="72" w:type="dxa"/>
              <w:left w:w="72" w:type="dxa"/>
              <w:bottom w:w="72" w:type="dxa"/>
              <w:right w:w="72" w:type="dxa"/>
            </w:tcMar>
            <w:vAlign w:val="center"/>
          </w:tcPr>
          <w:p w14:paraId="629716BE"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(100)</w:t>
            </w:r>
          </w:p>
        </w:tc>
        <w:tc>
          <w:tcPr>
            <w:tcW w:w="2047" w:type="dxa"/>
            <w:gridSpan w:val="2"/>
            <w:shd w:val="clear" w:color="auto" w:fill="auto"/>
            <w:tcMar>
              <w:top w:w="72" w:type="dxa"/>
              <w:left w:w="72" w:type="dxa"/>
              <w:bottom w:w="72" w:type="dxa"/>
              <w:right w:w="72" w:type="dxa"/>
            </w:tcMar>
            <w:vAlign w:val="center"/>
          </w:tcPr>
          <w:p w14:paraId="59506C6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12 (92)</w:t>
            </w:r>
          </w:p>
        </w:tc>
        <w:tc>
          <w:tcPr>
            <w:tcW w:w="2047" w:type="dxa"/>
            <w:gridSpan w:val="2"/>
            <w:shd w:val="clear" w:color="auto" w:fill="auto"/>
            <w:tcMar>
              <w:top w:w="72" w:type="dxa"/>
              <w:left w:w="72" w:type="dxa"/>
              <w:bottom w:w="72" w:type="dxa"/>
              <w:right w:w="72" w:type="dxa"/>
            </w:tcMar>
            <w:vAlign w:val="center"/>
          </w:tcPr>
          <w:p w14:paraId="7D5CD05D"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15 (94)</w:t>
            </w:r>
          </w:p>
        </w:tc>
      </w:tr>
      <w:tr w:rsidR="00B45188" w:rsidRPr="00A34C52" w14:paraId="3A70BDCF" w14:textId="77777777" w:rsidTr="005905E2">
        <w:trPr>
          <w:trHeight w:val="241"/>
        </w:trPr>
        <w:tc>
          <w:tcPr>
            <w:tcW w:w="2400" w:type="dxa"/>
            <w:shd w:val="clear" w:color="auto" w:fill="auto"/>
            <w:tcMar>
              <w:top w:w="72" w:type="dxa"/>
              <w:left w:w="72" w:type="dxa"/>
              <w:bottom w:w="72" w:type="dxa"/>
              <w:right w:w="72" w:type="dxa"/>
            </w:tcMar>
            <w:vAlign w:val="center"/>
          </w:tcPr>
          <w:p w14:paraId="13C5C29D"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Skin and subcutaneous tissue disorders</w:t>
            </w:r>
          </w:p>
        </w:tc>
        <w:tc>
          <w:tcPr>
            <w:tcW w:w="2529" w:type="dxa"/>
            <w:gridSpan w:val="2"/>
            <w:shd w:val="clear" w:color="auto" w:fill="auto"/>
            <w:tcMar>
              <w:top w:w="72" w:type="dxa"/>
              <w:left w:w="72" w:type="dxa"/>
              <w:bottom w:w="72" w:type="dxa"/>
              <w:right w:w="72" w:type="dxa"/>
            </w:tcMar>
            <w:vAlign w:val="center"/>
          </w:tcPr>
          <w:p w14:paraId="24C7B5DD"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(100)</w:t>
            </w:r>
          </w:p>
        </w:tc>
        <w:tc>
          <w:tcPr>
            <w:tcW w:w="2047" w:type="dxa"/>
            <w:gridSpan w:val="2"/>
            <w:shd w:val="clear" w:color="auto" w:fill="auto"/>
            <w:tcMar>
              <w:top w:w="72" w:type="dxa"/>
              <w:left w:w="72" w:type="dxa"/>
              <w:bottom w:w="72" w:type="dxa"/>
              <w:right w:w="72" w:type="dxa"/>
            </w:tcMar>
            <w:vAlign w:val="center"/>
          </w:tcPr>
          <w:p w14:paraId="1C9894F0"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11 (85)</w:t>
            </w:r>
          </w:p>
        </w:tc>
        <w:tc>
          <w:tcPr>
            <w:tcW w:w="2047" w:type="dxa"/>
            <w:gridSpan w:val="2"/>
            <w:shd w:val="clear" w:color="auto" w:fill="auto"/>
            <w:tcMar>
              <w:top w:w="72" w:type="dxa"/>
              <w:left w:w="72" w:type="dxa"/>
              <w:bottom w:w="72" w:type="dxa"/>
              <w:right w:w="72" w:type="dxa"/>
            </w:tcMar>
            <w:vAlign w:val="center"/>
          </w:tcPr>
          <w:p w14:paraId="249670C3"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14 (88)</w:t>
            </w:r>
          </w:p>
        </w:tc>
      </w:tr>
      <w:tr w:rsidR="00B45188" w:rsidRPr="00A34C52" w14:paraId="6504FB2C" w14:textId="77777777" w:rsidTr="005905E2">
        <w:trPr>
          <w:trHeight w:val="257"/>
        </w:trPr>
        <w:tc>
          <w:tcPr>
            <w:tcW w:w="2400" w:type="dxa"/>
            <w:shd w:val="clear" w:color="auto" w:fill="auto"/>
            <w:tcMar>
              <w:top w:w="72" w:type="dxa"/>
              <w:left w:w="72" w:type="dxa"/>
              <w:bottom w:w="72" w:type="dxa"/>
              <w:right w:w="72" w:type="dxa"/>
            </w:tcMar>
            <w:vAlign w:val="center"/>
          </w:tcPr>
          <w:p w14:paraId="122E874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 Rash</w:t>
            </w:r>
          </w:p>
        </w:tc>
        <w:tc>
          <w:tcPr>
            <w:tcW w:w="2529" w:type="dxa"/>
            <w:gridSpan w:val="2"/>
            <w:shd w:val="clear" w:color="auto" w:fill="auto"/>
            <w:tcMar>
              <w:top w:w="72" w:type="dxa"/>
              <w:left w:w="72" w:type="dxa"/>
              <w:bottom w:w="72" w:type="dxa"/>
              <w:right w:w="72" w:type="dxa"/>
            </w:tcMar>
            <w:vAlign w:val="center"/>
          </w:tcPr>
          <w:p w14:paraId="1E08FA9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2 (67)</w:t>
            </w:r>
          </w:p>
        </w:tc>
        <w:tc>
          <w:tcPr>
            <w:tcW w:w="2047" w:type="dxa"/>
            <w:gridSpan w:val="2"/>
            <w:shd w:val="clear" w:color="auto" w:fill="auto"/>
            <w:tcMar>
              <w:top w:w="72" w:type="dxa"/>
              <w:left w:w="72" w:type="dxa"/>
              <w:bottom w:w="72" w:type="dxa"/>
              <w:right w:w="72" w:type="dxa"/>
            </w:tcMar>
            <w:vAlign w:val="center"/>
          </w:tcPr>
          <w:p w14:paraId="59829BD1"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10 (77)</w:t>
            </w:r>
          </w:p>
        </w:tc>
        <w:tc>
          <w:tcPr>
            <w:tcW w:w="2047" w:type="dxa"/>
            <w:gridSpan w:val="2"/>
            <w:shd w:val="clear" w:color="auto" w:fill="auto"/>
            <w:tcMar>
              <w:top w:w="72" w:type="dxa"/>
              <w:left w:w="72" w:type="dxa"/>
              <w:bottom w:w="72" w:type="dxa"/>
              <w:right w:w="72" w:type="dxa"/>
            </w:tcMar>
            <w:vAlign w:val="center"/>
          </w:tcPr>
          <w:p w14:paraId="02A091C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12 (75)</w:t>
            </w:r>
          </w:p>
        </w:tc>
      </w:tr>
      <w:tr w:rsidR="00B45188" w:rsidRPr="00A34C52" w14:paraId="5778E30D" w14:textId="77777777" w:rsidTr="005905E2">
        <w:trPr>
          <w:trHeight w:val="563"/>
        </w:trPr>
        <w:tc>
          <w:tcPr>
            <w:tcW w:w="2400" w:type="dxa"/>
            <w:shd w:val="clear" w:color="auto" w:fill="auto"/>
            <w:tcMar>
              <w:top w:w="72" w:type="dxa"/>
              <w:left w:w="72" w:type="dxa"/>
              <w:bottom w:w="72" w:type="dxa"/>
              <w:right w:w="72" w:type="dxa"/>
            </w:tcMar>
            <w:vAlign w:val="center"/>
          </w:tcPr>
          <w:p w14:paraId="0B24A134"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Gastrointestinal disorders</w:t>
            </w:r>
          </w:p>
        </w:tc>
        <w:tc>
          <w:tcPr>
            <w:tcW w:w="2529" w:type="dxa"/>
            <w:gridSpan w:val="2"/>
            <w:shd w:val="clear" w:color="auto" w:fill="auto"/>
            <w:tcMar>
              <w:top w:w="72" w:type="dxa"/>
              <w:left w:w="72" w:type="dxa"/>
              <w:bottom w:w="72" w:type="dxa"/>
              <w:right w:w="72" w:type="dxa"/>
            </w:tcMar>
            <w:vAlign w:val="center"/>
          </w:tcPr>
          <w:p w14:paraId="174906A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(100)</w:t>
            </w:r>
          </w:p>
        </w:tc>
        <w:tc>
          <w:tcPr>
            <w:tcW w:w="2047" w:type="dxa"/>
            <w:gridSpan w:val="2"/>
            <w:shd w:val="clear" w:color="auto" w:fill="auto"/>
            <w:tcMar>
              <w:top w:w="72" w:type="dxa"/>
              <w:left w:w="72" w:type="dxa"/>
              <w:bottom w:w="72" w:type="dxa"/>
              <w:right w:w="72" w:type="dxa"/>
            </w:tcMar>
            <w:vAlign w:val="center"/>
          </w:tcPr>
          <w:p w14:paraId="6792234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10 (77)</w:t>
            </w:r>
          </w:p>
        </w:tc>
        <w:tc>
          <w:tcPr>
            <w:tcW w:w="2047" w:type="dxa"/>
            <w:gridSpan w:val="2"/>
            <w:shd w:val="clear" w:color="auto" w:fill="auto"/>
            <w:tcMar>
              <w:top w:w="72" w:type="dxa"/>
              <w:left w:w="72" w:type="dxa"/>
              <w:bottom w:w="72" w:type="dxa"/>
              <w:right w:w="72" w:type="dxa"/>
            </w:tcMar>
            <w:vAlign w:val="center"/>
          </w:tcPr>
          <w:p w14:paraId="6C60C52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13 (81)</w:t>
            </w:r>
          </w:p>
        </w:tc>
      </w:tr>
      <w:tr w:rsidR="00B45188" w:rsidRPr="00A34C52" w14:paraId="52256D41" w14:textId="77777777" w:rsidTr="005905E2">
        <w:trPr>
          <w:trHeight w:val="306"/>
        </w:trPr>
        <w:tc>
          <w:tcPr>
            <w:tcW w:w="2400" w:type="dxa"/>
            <w:shd w:val="clear" w:color="auto" w:fill="auto"/>
            <w:tcMar>
              <w:top w:w="72" w:type="dxa"/>
              <w:left w:w="72" w:type="dxa"/>
              <w:bottom w:w="72" w:type="dxa"/>
              <w:right w:w="72" w:type="dxa"/>
            </w:tcMar>
            <w:vAlign w:val="center"/>
          </w:tcPr>
          <w:p w14:paraId="53AB613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 Diarrhea</w:t>
            </w:r>
          </w:p>
        </w:tc>
        <w:tc>
          <w:tcPr>
            <w:tcW w:w="2529" w:type="dxa"/>
            <w:gridSpan w:val="2"/>
            <w:shd w:val="clear" w:color="auto" w:fill="auto"/>
            <w:tcMar>
              <w:top w:w="72" w:type="dxa"/>
              <w:left w:w="72" w:type="dxa"/>
              <w:bottom w:w="72" w:type="dxa"/>
              <w:right w:w="72" w:type="dxa"/>
            </w:tcMar>
            <w:vAlign w:val="center"/>
          </w:tcPr>
          <w:p w14:paraId="70BE09C5"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(100)</w:t>
            </w:r>
          </w:p>
        </w:tc>
        <w:tc>
          <w:tcPr>
            <w:tcW w:w="2047" w:type="dxa"/>
            <w:gridSpan w:val="2"/>
            <w:shd w:val="clear" w:color="auto" w:fill="auto"/>
            <w:tcMar>
              <w:top w:w="72" w:type="dxa"/>
              <w:left w:w="72" w:type="dxa"/>
              <w:bottom w:w="72" w:type="dxa"/>
              <w:right w:w="72" w:type="dxa"/>
            </w:tcMar>
            <w:vAlign w:val="center"/>
          </w:tcPr>
          <w:p w14:paraId="4589B5A4"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10 (77)</w:t>
            </w:r>
          </w:p>
        </w:tc>
        <w:tc>
          <w:tcPr>
            <w:tcW w:w="2047" w:type="dxa"/>
            <w:gridSpan w:val="2"/>
            <w:shd w:val="clear" w:color="auto" w:fill="auto"/>
            <w:tcMar>
              <w:top w:w="72" w:type="dxa"/>
              <w:left w:w="72" w:type="dxa"/>
              <w:bottom w:w="72" w:type="dxa"/>
              <w:right w:w="72" w:type="dxa"/>
            </w:tcMar>
            <w:vAlign w:val="center"/>
          </w:tcPr>
          <w:p w14:paraId="4F0A1DC8"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13 (81)</w:t>
            </w:r>
          </w:p>
        </w:tc>
      </w:tr>
      <w:tr w:rsidR="00B45188" w:rsidRPr="00A34C52" w14:paraId="50D8AA9E" w14:textId="77777777" w:rsidTr="005905E2">
        <w:trPr>
          <w:trHeight w:val="18"/>
        </w:trPr>
        <w:tc>
          <w:tcPr>
            <w:tcW w:w="2400" w:type="dxa"/>
            <w:shd w:val="clear" w:color="auto" w:fill="auto"/>
            <w:tcMar>
              <w:top w:w="72" w:type="dxa"/>
              <w:left w:w="72" w:type="dxa"/>
              <w:bottom w:w="72" w:type="dxa"/>
              <w:right w:w="72" w:type="dxa"/>
            </w:tcMar>
            <w:vAlign w:val="center"/>
          </w:tcPr>
          <w:p w14:paraId="00DD2A2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General disorders and administration site conditions</w:t>
            </w:r>
          </w:p>
        </w:tc>
        <w:tc>
          <w:tcPr>
            <w:tcW w:w="2529" w:type="dxa"/>
            <w:gridSpan w:val="2"/>
            <w:shd w:val="clear" w:color="auto" w:fill="auto"/>
            <w:tcMar>
              <w:top w:w="72" w:type="dxa"/>
              <w:left w:w="72" w:type="dxa"/>
              <w:bottom w:w="72" w:type="dxa"/>
              <w:right w:w="72" w:type="dxa"/>
            </w:tcMar>
            <w:vAlign w:val="center"/>
          </w:tcPr>
          <w:p w14:paraId="3FA72EAD"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(100)</w:t>
            </w:r>
          </w:p>
        </w:tc>
        <w:tc>
          <w:tcPr>
            <w:tcW w:w="2047" w:type="dxa"/>
            <w:gridSpan w:val="2"/>
            <w:shd w:val="clear" w:color="auto" w:fill="auto"/>
            <w:tcMar>
              <w:top w:w="72" w:type="dxa"/>
              <w:left w:w="72" w:type="dxa"/>
              <w:bottom w:w="72" w:type="dxa"/>
              <w:right w:w="72" w:type="dxa"/>
            </w:tcMar>
            <w:vAlign w:val="center"/>
          </w:tcPr>
          <w:p w14:paraId="0BB67D24"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(23)</w:t>
            </w:r>
          </w:p>
        </w:tc>
        <w:tc>
          <w:tcPr>
            <w:tcW w:w="2047" w:type="dxa"/>
            <w:gridSpan w:val="2"/>
            <w:shd w:val="clear" w:color="auto" w:fill="auto"/>
            <w:tcMar>
              <w:top w:w="72" w:type="dxa"/>
              <w:left w:w="72" w:type="dxa"/>
              <w:bottom w:w="72" w:type="dxa"/>
              <w:right w:w="72" w:type="dxa"/>
            </w:tcMar>
            <w:vAlign w:val="center"/>
          </w:tcPr>
          <w:p w14:paraId="72EB884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(38)</w:t>
            </w:r>
          </w:p>
        </w:tc>
      </w:tr>
      <w:tr w:rsidR="00B45188" w:rsidRPr="00A34C52" w14:paraId="7A279D03" w14:textId="77777777" w:rsidTr="005905E2">
        <w:trPr>
          <w:trHeight w:val="18"/>
        </w:trPr>
        <w:tc>
          <w:tcPr>
            <w:tcW w:w="2400" w:type="dxa"/>
            <w:shd w:val="clear" w:color="auto" w:fill="auto"/>
            <w:tcMar>
              <w:top w:w="72" w:type="dxa"/>
              <w:left w:w="72" w:type="dxa"/>
              <w:bottom w:w="72" w:type="dxa"/>
              <w:right w:w="72" w:type="dxa"/>
            </w:tcMar>
            <w:vAlign w:val="center"/>
          </w:tcPr>
          <w:p w14:paraId="23165587"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 xml:space="preserve"> Fatigue</w:t>
            </w:r>
          </w:p>
        </w:tc>
        <w:tc>
          <w:tcPr>
            <w:tcW w:w="2529" w:type="dxa"/>
            <w:gridSpan w:val="2"/>
            <w:shd w:val="clear" w:color="auto" w:fill="auto"/>
            <w:tcMar>
              <w:top w:w="72" w:type="dxa"/>
              <w:left w:w="72" w:type="dxa"/>
              <w:bottom w:w="72" w:type="dxa"/>
              <w:right w:w="72" w:type="dxa"/>
            </w:tcMar>
            <w:vAlign w:val="center"/>
          </w:tcPr>
          <w:p w14:paraId="2ADBE5A0"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(100)</w:t>
            </w:r>
          </w:p>
        </w:tc>
        <w:tc>
          <w:tcPr>
            <w:tcW w:w="2047" w:type="dxa"/>
            <w:gridSpan w:val="2"/>
            <w:shd w:val="clear" w:color="auto" w:fill="auto"/>
            <w:tcMar>
              <w:top w:w="72" w:type="dxa"/>
              <w:left w:w="72" w:type="dxa"/>
              <w:bottom w:w="72" w:type="dxa"/>
              <w:right w:w="72" w:type="dxa"/>
            </w:tcMar>
            <w:vAlign w:val="center"/>
          </w:tcPr>
          <w:p w14:paraId="5104ECD6"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(23)</w:t>
            </w:r>
          </w:p>
        </w:tc>
        <w:tc>
          <w:tcPr>
            <w:tcW w:w="2047" w:type="dxa"/>
            <w:gridSpan w:val="2"/>
            <w:shd w:val="clear" w:color="auto" w:fill="auto"/>
            <w:tcMar>
              <w:top w:w="72" w:type="dxa"/>
              <w:left w:w="72" w:type="dxa"/>
              <w:bottom w:w="72" w:type="dxa"/>
              <w:right w:w="72" w:type="dxa"/>
            </w:tcMar>
            <w:vAlign w:val="center"/>
          </w:tcPr>
          <w:p w14:paraId="44FEB30C"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6 (38)</w:t>
            </w:r>
          </w:p>
        </w:tc>
      </w:tr>
      <w:tr w:rsidR="00B45188" w:rsidRPr="00A34C52" w14:paraId="3342EDD6" w14:textId="77777777" w:rsidTr="005905E2">
        <w:trPr>
          <w:trHeight w:val="18"/>
        </w:trPr>
        <w:tc>
          <w:tcPr>
            <w:tcW w:w="2400" w:type="dxa"/>
            <w:tcBorders>
              <w:bottom w:val="single" w:sz="4" w:space="0" w:color="auto"/>
            </w:tcBorders>
            <w:shd w:val="clear" w:color="auto" w:fill="auto"/>
            <w:tcMar>
              <w:top w:w="72" w:type="dxa"/>
              <w:left w:w="72" w:type="dxa"/>
              <w:bottom w:w="72" w:type="dxa"/>
              <w:right w:w="72" w:type="dxa"/>
            </w:tcMar>
            <w:vAlign w:val="center"/>
          </w:tcPr>
          <w:p w14:paraId="5CBF6B22"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Infections and infestations</w:t>
            </w:r>
          </w:p>
        </w:tc>
        <w:tc>
          <w:tcPr>
            <w:tcW w:w="2529" w:type="dxa"/>
            <w:gridSpan w:val="2"/>
            <w:tcBorders>
              <w:bottom w:val="single" w:sz="4" w:space="0" w:color="auto"/>
            </w:tcBorders>
            <w:shd w:val="clear" w:color="auto" w:fill="auto"/>
            <w:tcMar>
              <w:top w:w="72" w:type="dxa"/>
              <w:left w:w="72" w:type="dxa"/>
              <w:bottom w:w="72" w:type="dxa"/>
              <w:right w:w="72" w:type="dxa"/>
            </w:tcMar>
            <w:vAlign w:val="center"/>
          </w:tcPr>
          <w:p w14:paraId="367DD8AF"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 (33)</w:t>
            </w:r>
          </w:p>
        </w:tc>
        <w:tc>
          <w:tcPr>
            <w:tcW w:w="2047" w:type="dxa"/>
            <w:gridSpan w:val="2"/>
            <w:tcBorders>
              <w:bottom w:val="single" w:sz="4" w:space="0" w:color="auto"/>
            </w:tcBorders>
            <w:shd w:val="clear" w:color="auto" w:fill="auto"/>
            <w:tcMar>
              <w:top w:w="72" w:type="dxa"/>
              <w:left w:w="72" w:type="dxa"/>
              <w:bottom w:w="72" w:type="dxa"/>
              <w:right w:w="72" w:type="dxa"/>
            </w:tcMar>
            <w:vAlign w:val="center"/>
          </w:tcPr>
          <w:p w14:paraId="14EE898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(23)</w:t>
            </w:r>
          </w:p>
        </w:tc>
        <w:tc>
          <w:tcPr>
            <w:tcW w:w="2047" w:type="dxa"/>
            <w:gridSpan w:val="2"/>
            <w:tcBorders>
              <w:bottom w:val="single" w:sz="4" w:space="0" w:color="auto"/>
            </w:tcBorders>
            <w:shd w:val="clear" w:color="auto" w:fill="auto"/>
            <w:tcMar>
              <w:top w:w="72" w:type="dxa"/>
              <w:left w:w="72" w:type="dxa"/>
              <w:bottom w:w="72" w:type="dxa"/>
              <w:right w:w="72" w:type="dxa"/>
            </w:tcMar>
            <w:vAlign w:val="center"/>
          </w:tcPr>
          <w:p w14:paraId="1E1F566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4 (25)</w:t>
            </w:r>
          </w:p>
        </w:tc>
      </w:tr>
      <w:tr w:rsidR="00B45188" w:rsidRPr="00A34C52" w14:paraId="08FF7007" w14:textId="77777777" w:rsidTr="005905E2">
        <w:trPr>
          <w:trHeight w:val="18"/>
        </w:trPr>
        <w:tc>
          <w:tcPr>
            <w:tcW w:w="2400" w:type="dxa"/>
            <w:tcBorders>
              <w:top w:val="single" w:sz="4" w:space="0" w:color="auto"/>
              <w:bottom w:val="single" w:sz="4" w:space="0" w:color="auto"/>
            </w:tcBorders>
            <w:shd w:val="clear" w:color="auto" w:fill="auto"/>
            <w:tcMar>
              <w:top w:w="72" w:type="dxa"/>
              <w:left w:w="72" w:type="dxa"/>
              <w:bottom w:w="72" w:type="dxa"/>
              <w:right w:w="72" w:type="dxa"/>
            </w:tcMar>
            <w:vAlign w:val="center"/>
          </w:tcPr>
          <w:p w14:paraId="29AAEF9A"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Nervous system disorders</w:t>
            </w:r>
          </w:p>
        </w:tc>
        <w:tc>
          <w:tcPr>
            <w:tcW w:w="2529" w:type="dxa"/>
            <w:gridSpan w:val="2"/>
            <w:tcBorders>
              <w:top w:val="single" w:sz="4" w:space="0" w:color="auto"/>
              <w:bottom w:val="single" w:sz="4" w:space="0" w:color="auto"/>
            </w:tcBorders>
            <w:shd w:val="clear" w:color="auto" w:fill="auto"/>
            <w:tcMar>
              <w:top w:w="72" w:type="dxa"/>
              <w:left w:w="72" w:type="dxa"/>
              <w:bottom w:w="72" w:type="dxa"/>
              <w:right w:w="72" w:type="dxa"/>
            </w:tcMar>
            <w:vAlign w:val="center"/>
          </w:tcPr>
          <w:p w14:paraId="1DB6BE04"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1 (33)</w:t>
            </w:r>
          </w:p>
        </w:tc>
        <w:tc>
          <w:tcPr>
            <w:tcW w:w="2047" w:type="dxa"/>
            <w:gridSpan w:val="2"/>
            <w:tcBorders>
              <w:top w:val="single" w:sz="4" w:space="0" w:color="auto"/>
              <w:bottom w:val="single" w:sz="4" w:space="0" w:color="auto"/>
            </w:tcBorders>
            <w:shd w:val="clear" w:color="auto" w:fill="auto"/>
            <w:tcMar>
              <w:top w:w="72" w:type="dxa"/>
              <w:left w:w="72" w:type="dxa"/>
              <w:bottom w:w="72" w:type="dxa"/>
              <w:right w:w="72" w:type="dxa"/>
            </w:tcMar>
            <w:vAlign w:val="center"/>
          </w:tcPr>
          <w:p w14:paraId="06A4557B"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3 (23)</w:t>
            </w:r>
          </w:p>
        </w:tc>
        <w:tc>
          <w:tcPr>
            <w:tcW w:w="2047" w:type="dxa"/>
            <w:gridSpan w:val="2"/>
            <w:tcBorders>
              <w:top w:val="single" w:sz="4" w:space="0" w:color="auto"/>
              <w:bottom w:val="single" w:sz="4" w:space="0" w:color="auto"/>
            </w:tcBorders>
            <w:shd w:val="clear" w:color="auto" w:fill="auto"/>
            <w:tcMar>
              <w:top w:w="72" w:type="dxa"/>
              <w:left w:w="72" w:type="dxa"/>
              <w:bottom w:w="72" w:type="dxa"/>
              <w:right w:w="72" w:type="dxa"/>
            </w:tcMar>
            <w:vAlign w:val="center"/>
          </w:tcPr>
          <w:p w14:paraId="697001BC" w14:textId="77777777" w:rsidR="00B45188" w:rsidRPr="00A34C52" w:rsidRDefault="00B45188" w:rsidP="00861B32">
            <w:pPr>
              <w:spacing w:line="360" w:lineRule="auto"/>
              <w:rPr>
                <w:rFonts w:ascii="Arial" w:eastAsia="Times New Roman" w:hAnsi="Arial" w:cs="Arial"/>
              </w:rPr>
            </w:pPr>
            <w:r w:rsidRPr="00A34C52">
              <w:rPr>
                <w:rFonts w:ascii="Arial" w:eastAsia="Times New Roman" w:hAnsi="Arial" w:cs="Arial"/>
              </w:rPr>
              <w:t>4 (25)</w:t>
            </w:r>
          </w:p>
        </w:tc>
      </w:tr>
    </w:tbl>
    <w:p w14:paraId="4A797124" w14:textId="3211CBC1" w:rsidR="00B45188" w:rsidRPr="00A34C52" w:rsidRDefault="00B45188" w:rsidP="00B45188">
      <w:pPr>
        <w:spacing w:after="0" w:line="360" w:lineRule="auto"/>
        <w:rPr>
          <w:rFonts w:ascii="Arial" w:hAnsi="Arial" w:cs="Arial"/>
        </w:rPr>
      </w:pPr>
      <w:r w:rsidRPr="005905E2">
        <w:rPr>
          <w:rFonts w:ascii="Arial" w:hAnsi="Arial" w:cs="Arial"/>
          <w:i/>
          <w:iCs/>
        </w:rPr>
        <w:t>AE</w:t>
      </w:r>
      <w:r w:rsidRPr="00A34C52">
        <w:rPr>
          <w:rFonts w:ascii="Arial" w:hAnsi="Arial" w:cs="Arial"/>
        </w:rPr>
        <w:t xml:space="preserve"> adverse event</w:t>
      </w:r>
      <w:r w:rsidR="002B0790">
        <w:rPr>
          <w:rFonts w:ascii="Arial" w:hAnsi="Arial" w:cs="Arial"/>
        </w:rPr>
        <w:t>,</w:t>
      </w:r>
      <w:r w:rsidRPr="00A34C52">
        <w:rPr>
          <w:rFonts w:ascii="Arial" w:hAnsi="Arial" w:cs="Arial"/>
        </w:rPr>
        <w:t xml:space="preserve"> </w:t>
      </w:r>
      <w:r w:rsidRPr="005905E2">
        <w:rPr>
          <w:rFonts w:ascii="Arial" w:hAnsi="Arial" w:cs="Arial"/>
          <w:i/>
          <w:iCs/>
        </w:rPr>
        <w:t>RT</w:t>
      </w:r>
      <w:r w:rsidRPr="00A34C52">
        <w:rPr>
          <w:rFonts w:ascii="Arial" w:hAnsi="Arial" w:cs="Arial"/>
        </w:rPr>
        <w:t xml:space="preserve"> radiotherapy</w:t>
      </w:r>
      <w:r w:rsidR="002B0790">
        <w:rPr>
          <w:rFonts w:ascii="Arial" w:hAnsi="Arial" w:cs="Arial"/>
        </w:rPr>
        <w:t>,</w:t>
      </w:r>
      <w:r w:rsidRPr="00A34C52">
        <w:rPr>
          <w:rFonts w:ascii="Arial" w:hAnsi="Arial" w:cs="Arial"/>
        </w:rPr>
        <w:t xml:space="preserve"> </w:t>
      </w:r>
      <w:r w:rsidRPr="005905E2">
        <w:rPr>
          <w:rFonts w:ascii="Arial" w:hAnsi="Arial" w:cs="Arial"/>
          <w:i/>
          <w:iCs/>
        </w:rPr>
        <w:t>SOC</w:t>
      </w:r>
      <w:r w:rsidRPr="00A34C52">
        <w:rPr>
          <w:rFonts w:ascii="Arial" w:hAnsi="Arial" w:cs="Arial"/>
        </w:rPr>
        <w:t xml:space="preserve"> system organ class</w:t>
      </w:r>
      <w:r w:rsidR="002B0790">
        <w:rPr>
          <w:rFonts w:ascii="Arial" w:hAnsi="Arial" w:cs="Arial"/>
        </w:rPr>
        <w:t>,</w:t>
      </w:r>
      <w:r w:rsidRPr="00A34C52">
        <w:rPr>
          <w:rFonts w:ascii="Arial" w:hAnsi="Arial" w:cs="Arial"/>
        </w:rPr>
        <w:t xml:space="preserve"> </w:t>
      </w:r>
      <w:r w:rsidRPr="005905E2">
        <w:rPr>
          <w:rFonts w:ascii="Arial" w:hAnsi="Arial" w:cs="Arial"/>
          <w:i/>
          <w:iCs/>
        </w:rPr>
        <w:t>TMZ</w:t>
      </w:r>
      <w:r w:rsidRPr="00A34C52">
        <w:rPr>
          <w:rFonts w:ascii="Arial" w:hAnsi="Arial" w:cs="Arial"/>
        </w:rPr>
        <w:t xml:space="preserve"> temozolomide</w:t>
      </w:r>
    </w:p>
    <w:p w14:paraId="2FF65F8D" w14:textId="77777777" w:rsidR="00B45188" w:rsidRPr="00A34C52" w:rsidRDefault="00B45188" w:rsidP="00B45188">
      <w:pPr>
        <w:spacing w:after="0" w:line="360" w:lineRule="auto"/>
        <w:rPr>
          <w:rFonts w:ascii="Arial" w:hAnsi="Arial" w:cs="Arial"/>
          <w:sz w:val="20"/>
        </w:rPr>
      </w:pPr>
    </w:p>
    <w:p w14:paraId="07C84F38" w14:textId="77777777" w:rsidR="00A74F6A" w:rsidRDefault="00A74F6A"/>
    <w:sectPr w:rsidR="00A74F6A" w:rsidSect="00695222">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D218D" w14:textId="77777777" w:rsidR="006801B3" w:rsidRDefault="006801B3" w:rsidP="004E39FB">
      <w:pPr>
        <w:spacing w:after="0" w:line="240" w:lineRule="auto"/>
      </w:pPr>
      <w:r>
        <w:separator/>
      </w:r>
    </w:p>
  </w:endnote>
  <w:endnote w:type="continuationSeparator" w:id="0">
    <w:p w14:paraId="0DB84A51" w14:textId="77777777" w:rsidR="006801B3" w:rsidRDefault="006801B3" w:rsidP="004E3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9740408"/>
      <w:docPartObj>
        <w:docPartGallery w:val="Page Numbers (Bottom of Page)"/>
        <w:docPartUnique/>
      </w:docPartObj>
    </w:sdtPr>
    <w:sdtEndPr>
      <w:rPr>
        <w:noProof/>
      </w:rPr>
    </w:sdtEndPr>
    <w:sdtContent>
      <w:p w14:paraId="0654CCD4" w14:textId="5B5E7669" w:rsidR="00BB0606" w:rsidRDefault="00BB0606">
        <w:pPr>
          <w:pStyle w:val="Footer"/>
          <w:jc w:val="right"/>
        </w:pPr>
        <w:r>
          <w:fldChar w:fldCharType="begin"/>
        </w:r>
        <w:r>
          <w:instrText xml:space="preserve"> PAGE   \* MERGEFORMAT </w:instrText>
        </w:r>
        <w:r>
          <w:fldChar w:fldCharType="separate"/>
        </w:r>
        <w:r w:rsidR="001F3DDF">
          <w:rPr>
            <w:noProof/>
          </w:rPr>
          <w:t>4</w:t>
        </w:r>
        <w:r>
          <w:rPr>
            <w:noProof/>
          </w:rPr>
          <w:fldChar w:fldCharType="end"/>
        </w:r>
      </w:p>
    </w:sdtContent>
  </w:sdt>
  <w:p w14:paraId="35A92587" w14:textId="77777777" w:rsidR="00BB0606" w:rsidRDefault="00BB0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7CEDB" w14:textId="77777777" w:rsidR="006801B3" w:rsidRDefault="006801B3" w:rsidP="004E39FB">
      <w:pPr>
        <w:spacing w:after="0" w:line="240" w:lineRule="auto"/>
      </w:pPr>
      <w:r>
        <w:separator/>
      </w:r>
    </w:p>
  </w:footnote>
  <w:footnote w:type="continuationSeparator" w:id="0">
    <w:p w14:paraId="142482D6" w14:textId="77777777" w:rsidR="006801B3" w:rsidRDefault="006801B3" w:rsidP="004E3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8E1"/>
    <w:multiLevelType w:val="hybridMultilevel"/>
    <w:tmpl w:val="46546FF4"/>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DFB208B"/>
    <w:multiLevelType w:val="hybridMultilevel"/>
    <w:tmpl w:val="51DCE852"/>
    <w:lvl w:ilvl="0" w:tplc="A1EEC0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F802032"/>
    <w:multiLevelType w:val="hybridMultilevel"/>
    <w:tmpl w:val="8A6846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188"/>
    <w:rsid w:val="00023D8C"/>
    <w:rsid w:val="000F6E8C"/>
    <w:rsid w:val="001D6E02"/>
    <w:rsid w:val="001F3DDF"/>
    <w:rsid w:val="00251800"/>
    <w:rsid w:val="002B0790"/>
    <w:rsid w:val="003134A1"/>
    <w:rsid w:val="004C42AD"/>
    <w:rsid w:val="004E39FB"/>
    <w:rsid w:val="00556D9A"/>
    <w:rsid w:val="005905E2"/>
    <w:rsid w:val="005D3DBE"/>
    <w:rsid w:val="00623EFA"/>
    <w:rsid w:val="00637748"/>
    <w:rsid w:val="00662A67"/>
    <w:rsid w:val="006801B3"/>
    <w:rsid w:val="007426FF"/>
    <w:rsid w:val="007F3E35"/>
    <w:rsid w:val="00937B72"/>
    <w:rsid w:val="00994ECD"/>
    <w:rsid w:val="009A623F"/>
    <w:rsid w:val="00A74F6A"/>
    <w:rsid w:val="00B45188"/>
    <w:rsid w:val="00BB0606"/>
    <w:rsid w:val="00E178FC"/>
    <w:rsid w:val="00F530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A6791"/>
  <w15:chartTrackingRefBased/>
  <w15:docId w15:val="{B68DAB77-1EEE-4F43-87E1-FA50EE6A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8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5188"/>
    <w:pPr>
      <w:ind w:left="720"/>
      <w:contextualSpacing/>
    </w:pPr>
  </w:style>
  <w:style w:type="character" w:customStyle="1" w:styleId="ListParagraphChar">
    <w:name w:val="List Paragraph Char"/>
    <w:basedOn w:val="DefaultParagraphFont"/>
    <w:link w:val="ListParagraph"/>
    <w:uiPriority w:val="34"/>
    <w:rsid w:val="00B45188"/>
    <w:rPr>
      <w:lang w:val="en-US"/>
    </w:rPr>
  </w:style>
  <w:style w:type="paragraph" w:styleId="Header">
    <w:name w:val="header"/>
    <w:basedOn w:val="Normal"/>
    <w:link w:val="HeaderChar"/>
    <w:uiPriority w:val="99"/>
    <w:unhideWhenUsed/>
    <w:rsid w:val="004E3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9FB"/>
    <w:rPr>
      <w:lang w:val="en-US"/>
    </w:rPr>
  </w:style>
  <w:style w:type="paragraph" w:styleId="Footer">
    <w:name w:val="footer"/>
    <w:basedOn w:val="Normal"/>
    <w:link w:val="FooterChar"/>
    <w:uiPriority w:val="99"/>
    <w:unhideWhenUsed/>
    <w:rsid w:val="004E3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9FB"/>
    <w:rPr>
      <w:lang w:val="en-US"/>
    </w:rPr>
  </w:style>
  <w:style w:type="table" w:styleId="ListTable6Colorful">
    <w:name w:val="List Table 6 Colorful"/>
    <w:basedOn w:val="TableNormal"/>
    <w:uiPriority w:val="51"/>
    <w:rsid w:val="002B079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590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5E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Jim Sinclair</cp:lastModifiedBy>
  <cp:revision>2</cp:revision>
  <dcterms:created xsi:type="dcterms:W3CDTF">2021-11-15T10:22:00Z</dcterms:created>
  <dcterms:modified xsi:type="dcterms:W3CDTF">2021-11-15T10:22:00Z</dcterms:modified>
</cp:coreProperties>
</file>