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2BCC95" w14:textId="77777777" w:rsidR="001C5C7A" w:rsidRPr="001C5C7A" w:rsidRDefault="001C5C7A" w:rsidP="001C5C7A">
      <w:pPr>
        <w:jc w:val="left"/>
        <w:rPr>
          <w:rFonts w:cs="Times New Roman"/>
          <w:b/>
          <w:sz w:val="20"/>
          <w:szCs w:val="20"/>
        </w:rPr>
      </w:pPr>
      <w:r w:rsidRPr="001C5C7A">
        <w:rPr>
          <w:rFonts w:cs="Times New Roman"/>
          <w:b/>
          <w:sz w:val="20"/>
          <w:szCs w:val="20"/>
        </w:rPr>
        <w:t>Supplementary Material</w:t>
      </w:r>
    </w:p>
    <w:p w14:paraId="44546AB6" w14:textId="77777777" w:rsidR="001C5C7A" w:rsidRPr="001C5C7A" w:rsidRDefault="001C5C7A" w:rsidP="001C5C7A">
      <w:pPr>
        <w:jc w:val="left"/>
        <w:rPr>
          <w:rFonts w:cs="Times New Roman"/>
          <w:b/>
          <w:sz w:val="20"/>
          <w:szCs w:val="20"/>
        </w:rPr>
      </w:pPr>
    </w:p>
    <w:p w14:paraId="758EA83F" w14:textId="0BAF4EB6" w:rsidR="001C5C7A" w:rsidRPr="001C5C7A" w:rsidRDefault="001C5C7A" w:rsidP="001C5C7A">
      <w:pPr>
        <w:pStyle w:val="desc"/>
        <w:spacing w:before="0" w:beforeAutospacing="0" w:after="0" w:afterAutospacing="0"/>
        <w:rPr>
          <w:rFonts w:ascii="Times New Roman" w:hAnsi="Times New Roman" w:cs="Times New Roman"/>
          <w:b/>
          <w:sz w:val="20"/>
          <w:szCs w:val="20"/>
        </w:rPr>
      </w:pPr>
      <w:r w:rsidRPr="001C5C7A">
        <w:rPr>
          <w:rFonts w:ascii="Times New Roman" w:hAnsi="Times New Roman" w:cs="Times New Roman"/>
          <w:b/>
          <w:sz w:val="20"/>
          <w:szCs w:val="20"/>
        </w:rPr>
        <w:softHyphen/>
      </w:r>
      <w:r w:rsidRPr="001C5C7A">
        <w:rPr>
          <w:rFonts w:ascii="Times New Roman" w:hAnsi="Times New Roman" w:cs="Times New Roman"/>
          <w:b/>
          <w:sz w:val="20"/>
          <w:szCs w:val="20"/>
        </w:rPr>
        <w:softHyphen/>
      </w:r>
      <w:r w:rsidRPr="001C5C7A">
        <w:rPr>
          <w:rFonts w:ascii="Times New Roman" w:hAnsi="Times New Roman" w:cs="Times New Roman"/>
          <w:b/>
          <w:sz w:val="20"/>
          <w:szCs w:val="20"/>
        </w:rPr>
        <w:softHyphen/>
      </w:r>
      <w:r w:rsidRPr="001C5C7A">
        <w:rPr>
          <w:rFonts w:ascii="Times New Roman" w:hAnsi="Times New Roman" w:cs="Times New Roman"/>
          <w:b/>
          <w:sz w:val="20"/>
          <w:szCs w:val="20"/>
        </w:rPr>
        <w:softHyphen/>
      </w:r>
      <w:r w:rsidRPr="001C5C7A">
        <w:rPr>
          <w:rFonts w:ascii="Times New Roman" w:hAnsi="Times New Roman" w:cs="Times New Roman"/>
          <w:b/>
          <w:sz w:val="20"/>
          <w:szCs w:val="20"/>
        </w:rPr>
        <w:softHyphen/>
        <w:t>Clinical significance of cerebral microbleeds in patients with germinoma who underwent long-term follow-up</w:t>
      </w:r>
    </w:p>
    <w:p w14:paraId="7CD97ACF" w14:textId="77777777" w:rsidR="001C5C7A" w:rsidRDefault="001C5C7A" w:rsidP="001C5C7A">
      <w:pPr>
        <w:widowControl/>
        <w:jc w:val="left"/>
        <w:rPr>
          <w:rFonts w:eastAsia="ＭＳ Ｐゴシック" w:cs="Times New Roman"/>
          <w:b/>
          <w:kern w:val="0"/>
          <w:sz w:val="20"/>
          <w:szCs w:val="20"/>
        </w:rPr>
      </w:pPr>
    </w:p>
    <w:p w14:paraId="3E495634" w14:textId="77777777" w:rsidR="001C5C7A" w:rsidRDefault="001C5C7A" w:rsidP="001C5C7A">
      <w:pPr>
        <w:widowControl/>
        <w:jc w:val="left"/>
        <w:rPr>
          <w:rFonts w:eastAsia="ＭＳ Ｐゴシック" w:cs="Times New Roman"/>
          <w:b/>
          <w:kern w:val="0"/>
          <w:sz w:val="20"/>
          <w:szCs w:val="20"/>
        </w:rPr>
      </w:pPr>
      <w:r>
        <w:rPr>
          <w:rFonts w:eastAsia="ＭＳ Ｐゴシック" w:cs="Times New Roman"/>
          <w:b/>
          <w:kern w:val="0"/>
          <w:sz w:val="20"/>
          <w:szCs w:val="20"/>
        </w:rPr>
        <w:t>Journal of Neuro-O</w:t>
      </w:r>
      <w:r w:rsidRPr="001C5C7A">
        <w:rPr>
          <w:rFonts w:eastAsia="ＭＳ Ｐゴシック" w:cs="Times New Roman"/>
          <w:b/>
          <w:kern w:val="0"/>
          <w:sz w:val="20"/>
          <w:szCs w:val="20"/>
        </w:rPr>
        <w:t>ncology</w:t>
      </w:r>
    </w:p>
    <w:p w14:paraId="1E7CDE3C" w14:textId="77777777" w:rsidR="001C5C7A" w:rsidRPr="001C5C7A" w:rsidRDefault="001C5C7A" w:rsidP="001C5C7A">
      <w:pPr>
        <w:widowControl/>
        <w:jc w:val="left"/>
        <w:rPr>
          <w:rFonts w:cs="Times New Roman"/>
          <w:kern w:val="0"/>
          <w:sz w:val="20"/>
          <w:szCs w:val="20"/>
        </w:rPr>
      </w:pPr>
    </w:p>
    <w:p w14:paraId="3766795E" w14:textId="77777777" w:rsidR="001C5C7A" w:rsidRPr="001C5C7A" w:rsidRDefault="001C5C7A" w:rsidP="001C5C7A">
      <w:pPr>
        <w:jc w:val="left"/>
        <w:rPr>
          <w:rFonts w:cs="Times New Roman"/>
          <w:sz w:val="20"/>
          <w:szCs w:val="20"/>
        </w:rPr>
      </w:pPr>
      <w:r w:rsidRPr="001C5C7A">
        <w:rPr>
          <w:rFonts w:cs="Times New Roman"/>
          <w:sz w:val="20"/>
          <w:szCs w:val="20"/>
        </w:rPr>
        <w:t>Masayuki Kanamori, MD, PhD</w:t>
      </w:r>
      <w:r w:rsidRPr="001C5C7A">
        <w:rPr>
          <w:rFonts w:cs="Times New Roman"/>
          <w:sz w:val="20"/>
          <w:szCs w:val="20"/>
          <w:vertAlign w:val="superscript"/>
        </w:rPr>
        <w:t>1</w:t>
      </w:r>
      <w:r w:rsidRPr="001C5C7A">
        <w:rPr>
          <w:rFonts w:cs="Times New Roman"/>
          <w:sz w:val="20"/>
          <w:szCs w:val="20"/>
        </w:rPr>
        <w:t xml:space="preserve">, </w:t>
      </w:r>
      <w:proofErr w:type="spellStart"/>
      <w:r w:rsidRPr="001C5C7A">
        <w:rPr>
          <w:rFonts w:cs="Times New Roman"/>
          <w:sz w:val="20"/>
          <w:szCs w:val="20"/>
        </w:rPr>
        <w:t>Shunji</w:t>
      </w:r>
      <w:proofErr w:type="spellEnd"/>
      <w:r w:rsidRPr="001C5C7A">
        <w:rPr>
          <w:rFonts w:cs="Times New Roman"/>
          <w:sz w:val="20"/>
          <w:szCs w:val="20"/>
        </w:rPr>
        <w:t xml:space="preserve"> </w:t>
      </w:r>
      <w:proofErr w:type="spellStart"/>
      <w:r w:rsidRPr="001C5C7A">
        <w:rPr>
          <w:rFonts w:cs="Times New Roman"/>
          <w:sz w:val="20"/>
          <w:szCs w:val="20"/>
        </w:rPr>
        <w:t>Mugikura</w:t>
      </w:r>
      <w:proofErr w:type="spellEnd"/>
      <w:r w:rsidRPr="001C5C7A">
        <w:rPr>
          <w:rFonts w:cs="Times New Roman"/>
          <w:sz w:val="20"/>
          <w:szCs w:val="20"/>
        </w:rPr>
        <w:t>, MD, PhD</w:t>
      </w:r>
      <w:r w:rsidRPr="001C5C7A">
        <w:rPr>
          <w:rFonts w:cs="Times New Roman"/>
          <w:sz w:val="20"/>
          <w:szCs w:val="20"/>
          <w:vertAlign w:val="superscript"/>
        </w:rPr>
        <w:t>2,3</w:t>
      </w:r>
      <w:r w:rsidRPr="001C5C7A">
        <w:rPr>
          <w:rFonts w:cs="Times New Roman"/>
          <w:sz w:val="20"/>
          <w:szCs w:val="20"/>
        </w:rPr>
        <w:t>, Osamu Iizuka, MD, PhD</w:t>
      </w:r>
      <w:r w:rsidRPr="001C5C7A">
        <w:rPr>
          <w:rFonts w:cs="Times New Roman"/>
          <w:sz w:val="20"/>
          <w:szCs w:val="20"/>
          <w:vertAlign w:val="superscript"/>
        </w:rPr>
        <w:t>4</w:t>
      </w:r>
      <w:r w:rsidRPr="001C5C7A">
        <w:rPr>
          <w:rFonts w:cs="Times New Roman"/>
          <w:sz w:val="20"/>
          <w:szCs w:val="20"/>
        </w:rPr>
        <w:t>,</w:t>
      </w:r>
      <w:r w:rsidRPr="001C5C7A">
        <w:rPr>
          <w:rFonts w:cs="Times New Roman"/>
          <w:sz w:val="20"/>
          <w:szCs w:val="20"/>
          <w:vertAlign w:val="superscript"/>
        </w:rPr>
        <w:t xml:space="preserve"> </w:t>
      </w:r>
      <w:r w:rsidRPr="001C5C7A">
        <w:rPr>
          <w:rFonts w:cs="Times New Roman"/>
          <w:sz w:val="20"/>
          <w:szCs w:val="20"/>
        </w:rPr>
        <w:t>Naoko Mori, MD, PhD</w:t>
      </w:r>
      <w:r w:rsidRPr="001C5C7A">
        <w:rPr>
          <w:rFonts w:cs="Times New Roman"/>
          <w:sz w:val="20"/>
          <w:szCs w:val="20"/>
          <w:vertAlign w:val="superscript"/>
        </w:rPr>
        <w:t>5</w:t>
      </w:r>
      <w:r w:rsidRPr="001C5C7A">
        <w:rPr>
          <w:rFonts w:cs="Times New Roman"/>
          <w:sz w:val="20"/>
          <w:szCs w:val="20"/>
        </w:rPr>
        <w:t xml:space="preserve">, Yoshiteru Shimoda, </w:t>
      </w:r>
      <w:bookmarkStart w:id="0" w:name="_Hlk127122020"/>
      <w:r w:rsidRPr="001C5C7A">
        <w:rPr>
          <w:rFonts w:cs="Times New Roman"/>
          <w:sz w:val="20"/>
          <w:szCs w:val="20"/>
        </w:rPr>
        <w:t>MD, PhD</w:t>
      </w:r>
      <w:bookmarkEnd w:id="0"/>
      <w:r w:rsidRPr="001C5C7A">
        <w:rPr>
          <w:rFonts w:cs="Times New Roman"/>
          <w:sz w:val="20"/>
          <w:szCs w:val="20"/>
          <w:vertAlign w:val="superscript"/>
        </w:rPr>
        <w:t>1</w:t>
      </w:r>
      <w:r w:rsidRPr="001C5C7A">
        <w:rPr>
          <w:rFonts w:cs="Times New Roman"/>
          <w:sz w:val="20"/>
          <w:szCs w:val="20"/>
        </w:rPr>
        <w:t>, Ichiyo Shibahara, MD, PhD</w:t>
      </w:r>
      <w:r w:rsidRPr="001C5C7A">
        <w:rPr>
          <w:rFonts w:cs="Times New Roman"/>
          <w:sz w:val="20"/>
          <w:szCs w:val="20"/>
          <w:vertAlign w:val="superscript"/>
        </w:rPr>
        <w:t>6</w:t>
      </w:r>
      <w:r w:rsidRPr="001C5C7A">
        <w:rPr>
          <w:rFonts w:cs="Times New Roman"/>
          <w:sz w:val="20"/>
          <w:szCs w:val="20"/>
        </w:rPr>
        <w:t>, Rei Umezawa, MD, PhD</w:t>
      </w:r>
      <w:r w:rsidRPr="001C5C7A">
        <w:rPr>
          <w:rFonts w:cs="Times New Roman"/>
          <w:sz w:val="20"/>
          <w:szCs w:val="20"/>
          <w:vertAlign w:val="superscript"/>
        </w:rPr>
        <w:t>7</w:t>
      </w:r>
      <w:r w:rsidRPr="001C5C7A">
        <w:rPr>
          <w:rFonts w:cs="Times New Roman"/>
          <w:sz w:val="20"/>
          <w:szCs w:val="20"/>
        </w:rPr>
        <w:t>, Keiichi Jingu, MD, PhD</w:t>
      </w:r>
      <w:r w:rsidRPr="001C5C7A">
        <w:rPr>
          <w:rFonts w:cs="Times New Roman"/>
          <w:sz w:val="20"/>
          <w:szCs w:val="20"/>
          <w:vertAlign w:val="superscript"/>
        </w:rPr>
        <w:t>7</w:t>
      </w:r>
      <w:r w:rsidRPr="001C5C7A">
        <w:rPr>
          <w:rFonts w:cs="Times New Roman"/>
          <w:sz w:val="20"/>
          <w:szCs w:val="20"/>
        </w:rPr>
        <w:t>, Ryuta Saito, MD, PhD</w:t>
      </w:r>
      <w:r w:rsidRPr="001C5C7A">
        <w:rPr>
          <w:rFonts w:cs="Times New Roman"/>
          <w:sz w:val="20"/>
          <w:szCs w:val="20"/>
          <w:vertAlign w:val="superscript"/>
        </w:rPr>
        <w:t>8</w:t>
      </w:r>
      <w:r w:rsidRPr="001C5C7A">
        <w:rPr>
          <w:rFonts w:cs="Times New Roman"/>
          <w:sz w:val="20"/>
          <w:szCs w:val="20"/>
        </w:rPr>
        <w:t>, Yukihiko Sonoda, MD, PhD</w:t>
      </w:r>
      <w:r w:rsidRPr="001C5C7A">
        <w:rPr>
          <w:rFonts w:cs="Times New Roman"/>
          <w:sz w:val="20"/>
          <w:szCs w:val="20"/>
          <w:vertAlign w:val="superscript"/>
        </w:rPr>
        <w:t>9</w:t>
      </w:r>
      <w:r w:rsidRPr="001C5C7A">
        <w:rPr>
          <w:rFonts w:cs="Times New Roman"/>
          <w:sz w:val="20"/>
          <w:szCs w:val="20"/>
        </w:rPr>
        <w:t xml:space="preserve">, Toshihiro </w:t>
      </w:r>
      <w:proofErr w:type="spellStart"/>
      <w:r w:rsidRPr="001C5C7A">
        <w:rPr>
          <w:rFonts w:cs="Times New Roman"/>
          <w:sz w:val="20"/>
          <w:szCs w:val="20"/>
        </w:rPr>
        <w:t>Kumabe</w:t>
      </w:r>
      <w:proofErr w:type="spellEnd"/>
      <w:r w:rsidRPr="001C5C7A">
        <w:rPr>
          <w:rFonts w:cs="Times New Roman"/>
          <w:sz w:val="20"/>
          <w:szCs w:val="20"/>
        </w:rPr>
        <w:t>, MD, PhD</w:t>
      </w:r>
      <w:r w:rsidRPr="001C5C7A">
        <w:rPr>
          <w:rFonts w:cs="Times New Roman"/>
          <w:sz w:val="20"/>
          <w:szCs w:val="20"/>
          <w:vertAlign w:val="superscript"/>
        </w:rPr>
        <w:t>6</w:t>
      </w:r>
      <w:r w:rsidRPr="001C5C7A">
        <w:rPr>
          <w:rFonts w:cs="Times New Roman"/>
          <w:sz w:val="20"/>
          <w:szCs w:val="20"/>
        </w:rPr>
        <w:t>, Kyoko Suzuki, MD, PhD</w:t>
      </w:r>
      <w:r w:rsidRPr="001C5C7A">
        <w:rPr>
          <w:rFonts w:cs="Times New Roman"/>
          <w:sz w:val="20"/>
          <w:szCs w:val="20"/>
          <w:vertAlign w:val="superscript"/>
        </w:rPr>
        <w:t>4</w:t>
      </w:r>
      <w:r w:rsidRPr="001C5C7A">
        <w:rPr>
          <w:rFonts w:cs="Times New Roman"/>
          <w:sz w:val="20"/>
          <w:szCs w:val="20"/>
        </w:rPr>
        <w:t>,</w:t>
      </w:r>
      <w:r w:rsidRPr="001C5C7A">
        <w:rPr>
          <w:rFonts w:cs="Times New Roman"/>
          <w:sz w:val="20"/>
          <w:szCs w:val="20"/>
          <w:vertAlign w:val="superscript"/>
        </w:rPr>
        <w:t xml:space="preserve"> </w:t>
      </w:r>
      <w:r w:rsidRPr="001C5C7A">
        <w:rPr>
          <w:rFonts w:cs="Times New Roman"/>
          <w:sz w:val="20"/>
          <w:szCs w:val="20"/>
        </w:rPr>
        <w:t>Hidenori Endo, MD, PhD</w:t>
      </w:r>
      <w:r w:rsidRPr="001C5C7A">
        <w:rPr>
          <w:rFonts w:cs="Times New Roman"/>
          <w:sz w:val="20"/>
          <w:szCs w:val="20"/>
          <w:vertAlign w:val="superscript"/>
        </w:rPr>
        <w:t>1</w:t>
      </w:r>
    </w:p>
    <w:p w14:paraId="714ACF41" w14:textId="77777777" w:rsidR="001C5C7A" w:rsidRPr="001C5C7A" w:rsidRDefault="001C5C7A" w:rsidP="001C5C7A">
      <w:pPr>
        <w:jc w:val="left"/>
        <w:rPr>
          <w:rFonts w:cs="Times New Roman"/>
          <w:sz w:val="20"/>
          <w:szCs w:val="20"/>
        </w:rPr>
      </w:pPr>
    </w:p>
    <w:p w14:paraId="5DFDF516" w14:textId="77777777" w:rsidR="001C5C7A" w:rsidRPr="001C5C7A" w:rsidRDefault="001C5C7A" w:rsidP="001C5C7A">
      <w:pPr>
        <w:jc w:val="left"/>
        <w:rPr>
          <w:rFonts w:cs="Times New Roman"/>
          <w:sz w:val="20"/>
          <w:szCs w:val="20"/>
        </w:rPr>
      </w:pPr>
      <w:r w:rsidRPr="001C5C7A">
        <w:rPr>
          <w:rFonts w:cs="Times New Roman"/>
          <w:sz w:val="20"/>
          <w:szCs w:val="20"/>
        </w:rPr>
        <w:t>Affiliations:</w:t>
      </w:r>
    </w:p>
    <w:p w14:paraId="72B02C39" w14:textId="36E75EF7" w:rsidR="001C5C7A" w:rsidRPr="001C5C7A" w:rsidRDefault="001C5C7A" w:rsidP="008D2DC6">
      <w:pPr>
        <w:pStyle w:val="1"/>
        <w:ind w:leftChars="350" w:firstLineChars="100" w:firstLine="200"/>
        <w:rPr>
          <w:sz w:val="20"/>
          <w:szCs w:val="20"/>
        </w:rPr>
      </w:pPr>
      <w:r w:rsidRPr="001C5C7A">
        <w:rPr>
          <w:sz w:val="20"/>
          <w:szCs w:val="20"/>
          <w:vertAlign w:val="superscript"/>
        </w:rPr>
        <w:t>1</w:t>
      </w:r>
      <w:r w:rsidRPr="001C5C7A">
        <w:rPr>
          <w:sz w:val="20"/>
          <w:szCs w:val="20"/>
        </w:rPr>
        <w:t>Department of Neurosurgery, Tohoku University Graduate School of Medicine, Sendai, Japan</w:t>
      </w:r>
    </w:p>
    <w:p w14:paraId="6B9D81BD" w14:textId="3143C90C" w:rsidR="001C5C7A" w:rsidRPr="001C5C7A" w:rsidRDefault="001C5C7A" w:rsidP="008D2DC6">
      <w:pPr>
        <w:pStyle w:val="1"/>
        <w:ind w:leftChars="350" w:firstLineChars="100" w:firstLine="200"/>
        <w:rPr>
          <w:color w:val="212121"/>
          <w:sz w:val="20"/>
          <w:szCs w:val="20"/>
        </w:rPr>
      </w:pPr>
      <w:r w:rsidRPr="001C5C7A">
        <w:rPr>
          <w:color w:val="212121"/>
          <w:sz w:val="20"/>
          <w:szCs w:val="20"/>
          <w:vertAlign w:val="superscript"/>
        </w:rPr>
        <w:t>2</w:t>
      </w:r>
      <w:r w:rsidRPr="001C5C7A">
        <w:rPr>
          <w:color w:val="212121"/>
          <w:sz w:val="20"/>
          <w:szCs w:val="20"/>
        </w:rPr>
        <w:t>Department of Diagnostic Radiology, Tohoku University Graduate School of Medicine, Sendai, Japan</w:t>
      </w:r>
    </w:p>
    <w:p w14:paraId="14871365" w14:textId="3673AD2F" w:rsidR="001C5C7A" w:rsidRPr="001C5C7A" w:rsidRDefault="001C5C7A" w:rsidP="008D2DC6">
      <w:pPr>
        <w:pStyle w:val="1"/>
        <w:ind w:left="960" w:firstLine="174"/>
        <w:rPr>
          <w:color w:val="212121"/>
          <w:sz w:val="20"/>
          <w:szCs w:val="20"/>
        </w:rPr>
      </w:pPr>
      <w:r w:rsidRPr="001C5C7A">
        <w:rPr>
          <w:color w:val="212121"/>
          <w:sz w:val="20"/>
          <w:szCs w:val="20"/>
          <w:vertAlign w:val="superscript"/>
        </w:rPr>
        <w:t>3</w:t>
      </w:r>
      <w:r w:rsidRPr="001C5C7A">
        <w:rPr>
          <w:color w:val="212121"/>
          <w:sz w:val="20"/>
          <w:szCs w:val="20"/>
        </w:rPr>
        <w:t>Department of Image Statistics, Tohoku Medical Megabank Organization, Tohoku University, Sendai, Japan</w:t>
      </w:r>
    </w:p>
    <w:p w14:paraId="1CFFB42E" w14:textId="4EA421DF" w:rsidR="001C5C7A" w:rsidRPr="001C5C7A" w:rsidRDefault="001C5C7A" w:rsidP="001C5C7A">
      <w:pPr>
        <w:pStyle w:val="1"/>
        <w:ind w:left="960" w:firstLine="200"/>
        <w:rPr>
          <w:color w:val="212121"/>
          <w:sz w:val="20"/>
          <w:szCs w:val="20"/>
        </w:rPr>
      </w:pPr>
      <w:r w:rsidRPr="001C5C7A">
        <w:rPr>
          <w:sz w:val="20"/>
          <w:szCs w:val="20"/>
          <w:vertAlign w:val="superscript"/>
        </w:rPr>
        <w:t>4</w:t>
      </w:r>
      <w:r w:rsidRPr="001C5C7A">
        <w:rPr>
          <w:sz w:val="20"/>
          <w:szCs w:val="20"/>
        </w:rPr>
        <w:t>Department of Behavioral and Neurology and Cognitive Neuroscience, Tohoku University Graduate School of Medicine, Sendai, Japan</w:t>
      </w:r>
    </w:p>
    <w:p w14:paraId="18AFFBD1" w14:textId="72D8D023" w:rsidR="001C5C7A" w:rsidRPr="001C5C7A" w:rsidRDefault="001C5C7A" w:rsidP="001C5C7A">
      <w:pPr>
        <w:pStyle w:val="1"/>
        <w:ind w:left="960" w:firstLine="200"/>
        <w:rPr>
          <w:color w:val="212121"/>
          <w:sz w:val="20"/>
          <w:szCs w:val="20"/>
        </w:rPr>
      </w:pPr>
      <w:r w:rsidRPr="001C5C7A">
        <w:rPr>
          <w:color w:val="212121"/>
          <w:sz w:val="20"/>
          <w:szCs w:val="20"/>
          <w:vertAlign w:val="superscript"/>
        </w:rPr>
        <w:t>5</w:t>
      </w:r>
      <w:r w:rsidRPr="001C5C7A">
        <w:rPr>
          <w:color w:val="212121"/>
          <w:sz w:val="20"/>
          <w:szCs w:val="20"/>
        </w:rPr>
        <w:t>Department of Radiology, Akita University Graduate School of Medicine, Akita, Japan</w:t>
      </w:r>
    </w:p>
    <w:p w14:paraId="325C2FC2" w14:textId="1D8C82BA" w:rsidR="001C5C7A" w:rsidRPr="001C5C7A" w:rsidRDefault="001C5C7A" w:rsidP="001C5C7A">
      <w:pPr>
        <w:pStyle w:val="1"/>
        <w:ind w:left="960" w:firstLine="200"/>
        <w:rPr>
          <w:color w:val="212121"/>
          <w:sz w:val="20"/>
          <w:szCs w:val="20"/>
        </w:rPr>
      </w:pPr>
      <w:r w:rsidRPr="001C5C7A">
        <w:rPr>
          <w:color w:val="212121"/>
          <w:sz w:val="20"/>
          <w:szCs w:val="20"/>
          <w:shd w:val="clear" w:color="auto" w:fill="FFFFFF"/>
          <w:vertAlign w:val="superscript"/>
        </w:rPr>
        <w:t>6</w:t>
      </w:r>
      <w:r w:rsidRPr="001C5C7A">
        <w:rPr>
          <w:color w:val="212121"/>
          <w:sz w:val="20"/>
          <w:szCs w:val="20"/>
          <w:shd w:val="clear" w:color="auto" w:fill="FFFFFF"/>
        </w:rPr>
        <w:t>Department of Neurosurgery, Kitasato University</w:t>
      </w:r>
      <w:r w:rsidR="00050490">
        <w:rPr>
          <w:rFonts w:hint="eastAsia"/>
          <w:color w:val="212121"/>
          <w:sz w:val="20"/>
          <w:szCs w:val="20"/>
          <w:shd w:val="clear" w:color="auto" w:fill="FFFFFF"/>
        </w:rPr>
        <w:t xml:space="preserve"> </w:t>
      </w:r>
      <w:r w:rsidRPr="001C5C7A">
        <w:rPr>
          <w:color w:val="212121"/>
          <w:sz w:val="20"/>
          <w:szCs w:val="20"/>
          <w:shd w:val="clear" w:color="auto" w:fill="FFFFFF"/>
        </w:rPr>
        <w:t>School of Medicine, Kanagawa, Japan</w:t>
      </w:r>
    </w:p>
    <w:p w14:paraId="15A0ED1C" w14:textId="41E5E412" w:rsidR="001C5C7A" w:rsidRPr="001C5C7A" w:rsidRDefault="001C5C7A" w:rsidP="001C5C7A">
      <w:pPr>
        <w:pStyle w:val="1"/>
        <w:shd w:val="clear" w:color="auto" w:fill="FFFFFF"/>
        <w:ind w:left="960" w:firstLine="200"/>
        <w:rPr>
          <w:color w:val="212121"/>
          <w:sz w:val="20"/>
          <w:szCs w:val="20"/>
        </w:rPr>
      </w:pPr>
      <w:r w:rsidRPr="001C5C7A">
        <w:rPr>
          <w:color w:val="212121"/>
          <w:sz w:val="20"/>
          <w:szCs w:val="20"/>
          <w:vertAlign w:val="superscript"/>
        </w:rPr>
        <w:t>7</w:t>
      </w:r>
      <w:r w:rsidRPr="001C5C7A">
        <w:rPr>
          <w:color w:val="212121"/>
          <w:sz w:val="20"/>
          <w:szCs w:val="20"/>
        </w:rPr>
        <w:t>Department of Radiation Oncology, Tohoku University Graduate School of Medicine, Sendai, Japan</w:t>
      </w:r>
    </w:p>
    <w:p w14:paraId="59B51786" w14:textId="54803737" w:rsidR="001C5C7A" w:rsidRPr="001C5C7A" w:rsidRDefault="001C5C7A" w:rsidP="001C5C7A">
      <w:pPr>
        <w:pStyle w:val="1"/>
        <w:ind w:left="960" w:firstLine="200"/>
        <w:rPr>
          <w:color w:val="212121"/>
          <w:sz w:val="20"/>
          <w:szCs w:val="20"/>
        </w:rPr>
      </w:pPr>
      <w:r w:rsidRPr="001C5C7A">
        <w:rPr>
          <w:sz w:val="20"/>
          <w:szCs w:val="20"/>
          <w:vertAlign w:val="superscript"/>
        </w:rPr>
        <w:t>8</w:t>
      </w:r>
      <w:r w:rsidRPr="001C5C7A">
        <w:rPr>
          <w:sz w:val="20"/>
          <w:szCs w:val="20"/>
        </w:rPr>
        <w:t>Department of Neurosurgery, Nagoya University Graduate School of Medicine, Nagoya, Japan</w:t>
      </w:r>
    </w:p>
    <w:p w14:paraId="13544D0B" w14:textId="2D9BBBA7" w:rsidR="001C5C7A" w:rsidRPr="001C5C7A" w:rsidRDefault="001C5C7A" w:rsidP="001C5C7A">
      <w:pPr>
        <w:pStyle w:val="1"/>
        <w:ind w:left="960" w:firstLine="200"/>
        <w:rPr>
          <w:sz w:val="20"/>
          <w:szCs w:val="20"/>
        </w:rPr>
      </w:pPr>
      <w:r w:rsidRPr="001C5C7A">
        <w:rPr>
          <w:color w:val="212121"/>
          <w:sz w:val="20"/>
          <w:szCs w:val="20"/>
          <w:shd w:val="clear" w:color="auto" w:fill="FFFFFF"/>
          <w:vertAlign w:val="superscript"/>
        </w:rPr>
        <w:t>9</w:t>
      </w:r>
      <w:r w:rsidRPr="001C5C7A">
        <w:rPr>
          <w:color w:val="212121"/>
          <w:sz w:val="20"/>
          <w:szCs w:val="20"/>
          <w:shd w:val="clear" w:color="auto" w:fill="FFFFFF"/>
        </w:rPr>
        <w:t xml:space="preserve">Department of Neurosurgery, Yamagata University </w:t>
      </w:r>
      <w:r w:rsidR="00D42B30">
        <w:rPr>
          <w:rFonts w:hint="eastAsia"/>
          <w:color w:val="212121"/>
          <w:sz w:val="20"/>
          <w:szCs w:val="20"/>
          <w:shd w:val="clear" w:color="auto" w:fill="FFFFFF"/>
        </w:rPr>
        <w:t>Faculty</w:t>
      </w:r>
      <w:r w:rsidR="00D42B30" w:rsidRPr="001C5C7A">
        <w:rPr>
          <w:color w:val="212121"/>
          <w:sz w:val="20"/>
          <w:szCs w:val="20"/>
          <w:shd w:val="clear" w:color="auto" w:fill="FFFFFF"/>
        </w:rPr>
        <w:t xml:space="preserve"> </w:t>
      </w:r>
      <w:r w:rsidRPr="001C5C7A">
        <w:rPr>
          <w:color w:val="212121"/>
          <w:sz w:val="20"/>
          <w:szCs w:val="20"/>
          <w:shd w:val="clear" w:color="auto" w:fill="FFFFFF"/>
        </w:rPr>
        <w:t>of Medicine, Yamagata, Japan</w:t>
      </w:r>
    </w:p>
    <w:p w14:paraId="6F71E829" w14:textId="77777777" w:rsidR="001C5C7A" w:rsidRPr="001C5C7A" w:rsidRDefault="001C5C7A" w:rsidP="001C5C7A">
      <w:pPr>
        <w:jc w:val="left"/>
        <w:rPr>
          <w:rFonts w:cs="Times New Roman"/>
          <w:b/>
          <w:sz w:val="20"/>
          <w:szCs w:val="20"/>
        </w:rPr>
      </w:pPr>
    </w:p>
    <w:p w14:paraId="7FE44CB9" w14:textId="77777777" w:rsidR="001C5C7A" w:rsidRPr="001C5C7A" w:rsidRDefault="001C5C7A" w:rsidP="001C5C7A">
      <w:pPr>
        <w:jc w:val="left"/>
        <w:rPr>
          <w:sz w:val="20"/>
          <w:szCs w:val="20"/>
        </w:rPr>
      </w:pPr>
      <w:r w:rsidRPr="001C5C7A">
        <w:rPr>
          <w:rFonts w:cs="Times New Roman"/>
          <w:sz w:val="20"/>
          <w:szCs w:val="20"/>
        </w:rPr>
        <w:t xml:space="preserve">Corresponding author: </w:t>
      </w:r>
      <w:hyperlink r:id="rId8" w:history="1">
        <w:r w:rsidRPr="001C5C7A">
          <w:rPr>
            <w:rStyle w:val="aa"/>
            <w:rFonts w:cs="Times New Roman"/>
            <w:sz w:val="20"/>
            <w:szCs w:val="20"/>
          </w:rPr>
          <w:t>mkanamori@med.tohoku.ac.jp</w:t>
        </w:r>
      </w:hyperlink>
    </w:p>
    <w:p w14:paraId="746061B2" w14:textId="358B0CE2" w:rsidR="0022764F" w:rsidRDefault="001C5C7A">
      <w:pPr>
        <w:widowControl/>
        <w:spacing w:after="200" w:line="276" w:lineRule="auto"/>
        <w:jc w:val="left"/>
        <w:rPr>
          <w:rFonts w:cs="Times New Roman"/>
          <w:sz w:val="20"/>
          <w:szCs w:val="20"/>
        </w:rPr>
      </w:pPr>
      <w:r w:rsidRPr="001C5C7A">
        <w:rPr>
          <w:rFonts w:cs="Times New Roman"/>
          <w:sz w:val="20"/>
          <w:szCs w:val="20"/>
        </w:rPr>
        <w:br w:type="page"/>
      </w:r>
      <w:r w:rsidR="00D42B30">
        <w:rPr>
          <w:rFonts w:cs="Times New Roman"/>
          <w:noProof/>
          <w:sz w:val="20"/>
          <w:szCs w:val="20"/>
        </w:rPr>
        <w:lastRenderedPageBreak/>
        <w:drawing>
          <wp:inline distT="0" distB="0" distL="0" distR="0" wp14:anchorId="05DA05F9" wp14:editId="1729B17F">
            <wp:extent cx="5936615" cy="3340735"/>
            <wp:effectExtent l="0" t="0" r="6985" b="0"/>
            <wp:docPr id="74103666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6615" cy="3340735"/>
                    </a:xfrm>
                    <a:prstGeom prst="rect">
                      <a:avLst/>
                    </a:prstGeom>
                    <a:noFill/>
                    <a:ln>
                      <a:noFill/>
                    </a:ln>
                  </pic:spPr>
                </pic:pic>
              </a:graphicData>
            </a:graphic>
          </wp:inline>
        </w:drawing>
      </w:r>
    </w:p>
    <w:p w14:paraId="6736A6F8" w14:textId="77777777" w:rsidR="00050490" w:rsidRPr="001B6A1B" w:rsidRDefault="00050490" w:rsidP="00050490">
      <w:pPr>
        <w:widowControl/>
        <w:spacing w:after="200" w:line="276" w:lineRule="auto"/>
        <w:jc w:val="left"/>
        <w:rPr>
          <w:rFonts w:cs="Times New Roman"/>
          <w:color w:val="FF0000"/>
          <w:sz w:val="20"/>
          <w:szCs w:val="20"/>
        </w:rPr>
      </w:pPr>
      <w:r w:rsidRPr="001B6A1B">
        <w:rPr>
          <w:rFonts w:cs="Times New Roman"/>
          <w:color w:val="FF0000"/>
          <w:sz w:val="20"/>
          <w:szCs w:val="20"/>
        </w:rPr>
        <w:t xml:space="preserve">Supplemental Fig. 1. Representative cases for the assessment of brain atrophy. T2-weighted magnetic resonance images (T2WI) (left panels) and T1-weighted images with automatically segmented cerebrum (pale orange) and intracranial space (blue) (right panels). The brain atrophy index was </w:t>
      </w:r>
      <w:r w:rsidRPr="001B6A1B">
        <w:rPr>
          <w:rFonts w:cs="Times New Roman"/>
          <w:color w:val="FF0000"/>
          <w:kern w:val="0"/>
          <w:sz w:val="20"/>
          <w:szCs w:val="20"/>
        </w:rPr>
        <w:t>calculated as the cerebrum-to-intracranial volume ratio</w:t>
      </w:r>
      <w:r w:rsidRPr="001B6A1B">
        <w:rPr>
          <w:rFonts w:cs="Times New Roman"/>
          <w:color w:val="FF0000"/>
          <w:sz w:val="20"/>
          <w:szCs w:val="20"/>
        </w:rPr>
        <w:t xml:space="preserve">. A. 32-year-old woman with neurohypophysis germinoma 21 years after treatment. The brain atrophy index was 0.678. B. A 48-year-old man with pineal germinoma 36 years after treatment. The brain atrophy index was 0.585. </w:t>
      </w:r>
    </w:p>
    <w:p w14:paraId="3090D9AF" w14:textId="3F273C23" w:rsidR="00D42B30" w:rsidRDefault="00D42B30">
      <w:pPr>
        <w:widowControl/>
        <w:spacing w:after="200" w:line="276" w:lineRule="auto"/>
        <w:jc w:val="left"/>
        <w:rPr>
          <w:rFonts w:cs="Times New Roman"/>
          <w:sz w:val="20"/>
          <w:szCs w:val="20"/>
        </w:rPr>
      </w:pPr>
      <w:r>
        <w:rPr>
          <w:rFonts w:cs="Times New Roman"/>
          <w:sz w:val="20"/>
          <w:szCs w:val="20"/>
        </w:rPr>
        <w:br w:type="page"/>
      </w:r>
    </w:p>
    <w:p w14:paraId="5F3AE873" w14:textId="77777777" w:rsidR="001C5C7A" w:rsidRPr="001C5C7A" w:rsidRDefault="001C5C7A" w:rsidP="001C5C7A">
      <w:pPr>
        <w:jc w:val="left"/>
        <w:rPr>
          <w:rFonts w:cs="Times New Roman"/>
          <w:sz w:val="20"/>
          <w:szCs w:val="20"/>
        </w:rPr>
      </w:pPr>
    </w:p>
    <w:p w14:paraId="3FFBD754" w14:textId="35FF493B" w:rsidR="001C5C7A" w:rsidRPr="001C5C7A" w:rsidRDefault="006D2941" w:rsidP="001C5C7A">
      <w:pPr>
        <w:jc w:val="left"/>
        <w:rPr>
          <w:rFonts w:cs="Times New Roman"/>
          <w:sz w:val="20"/>
          <w:szCs w:val="20"/>
        </w:rPr>
      </w:pPr>
      <w:r>
        <w:rPr>
          <w:rFonts w:cs="Times New Roman"/>
          <w:noProof/>
          <w:sz w:val="20"/>
          <w:szCs w:val="20"/>
        </w:rPr>
        <w:drawing>
          <wp:inline distT="0" distB="0" distL="0" distR="0" wp14:anchorId="6D27A54F" wp14:editId="0651D585">
            <wp:extent cx="5936615" cy="3336925"/>
            <wp:effectExtent l="0" t="0" r="6985" b="0"/>
            <wp:docPr id="167632555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6615" cy="3336925"/>
                    </a:xfrm>
                    <a:prstGeom prst="rect">
                      <a:avLst/>
                    </a:prstGeom>
                    <a:noFill/>
                    <a:ln>
                      <a:noFill/>
                    </a:ln>
                  </pic:spPr>
                </pic:pic>
              </a:graphicData>
            </a:graphic>
          </wp:inline>
        </w:drawing>
      </w:r>
      <w:r w:rsidR="001C5C7A" w:rsidRPr="001C5C7A">
        <w:rPr>
          <w:rFonts w:cs="Times New Roman"/>
          <w:sz w:val="20"/>
          <w:szCs w:val="20"/>
        </w:rPr>
        <w:t xml:space="preserve">Supplemental Figure </w:t>
      </w:r>
      <w:r w:rsidR="00D42B30" w:rsidRPr="00050490">
        <w:rPr>
          <w:rFonts w:cs="Times New Roman" w:hint="eastAsia"/>
          <w:color w:val="FF0000"/>
          <w:sz w:val="20"/>
          <w:szCs w:val="20"/>
        </w:rPr>
        <w:t>2</w:t>
      </w:r>
      <w:r w:rsidR="001C5C7A" w:rsidRPr="001C5C7A">
        <w:rPr>
          <w:rFonts w:cs="Times New Roman"/>
          <w:sz w:val="20"/>
          <w:szCs w:val="20"/>
        </w:rPr>
        <w:t xml:space="preserve">. Scatter plot with linear regression and 95% confidence interval showing the association between the number of all (A), lobar (B), deep (C), and infratentorial (D) cerebral microbleeds on </w:t>
      </w:r>
      <w:r w:rsidR="00D762A2" w:rsidRPr="005E31E7">
        <w:rPr>
          <w:rFonts w:eastAsia="ＭＳ 明朝" w:cs="Times New Roman"/>
          <w:sz w:val="20"/>
          <w:szCs w:val="20"/>
        </w:rPr>
        <w:t>susceptibility-weighted magnetic resonance imaging</w:t>
      </w:r>
      <w:r w:rsidR="001C5C7A" w:rsidRPr="001C5C7A">
        <w:rPr>
          <w:rFonts w:cs="Times New Roman"/>
          <w:sz w:val="20"/>
          <w:szCs w:val="20"/>
        </w:rPr>
        <w:t xml:space="preserve"> and the interval from the initial treatment to imaging in patients treated with reduced-dose radiation to the whole ventricle or primary site (blue), reduced-dose radiation to the whole craniospinal axis or the whole brain (orange), high-dose radiation to the primary site (green), high-dose radiation to the primary site and radiation to the whole brain or the craniospinal axis. </w:t>
      </w:r>
      <w:r w:rsidR="00050490">
        <w:rPr>
          <w:rFonts w:cs="Times New Roman" w:hint="eastAsia"/>
          <w:sz w:val="20"/>
          <w:szCs w:val="20"/>
        </w:rPr>
        <w:t>p</w:t>
      </w:r>
      <w:r w:rsidR="001C5C7A" w:rsidRPr="001C5C7A">
        <w:rPr>
          <w:rFonts w:cs="Times New Roman"/>
          <w:sz w:val="20"/>
          <w:szCs w:val="20"/>
        </w:rPr>
        <w:t xml:space="preserve">-value was calculated </w:t>
      </w:r>
      <w:r w:rsidR="00050490">
        <w:rPr>
          <w:rFonts w:cs="Times New Roman" w:hint="eastAsia"/>
          <w:sz w:val="20"/>
          <w:szCs w:val="20"/>
        </w:rPr>
        <w:t>via</w:t>
      </w:r>
      <w:r w:rsidR="00050490" w:rsidRPr="001C5C7A">
        <w:rPr>
          <w:rFonts w:cs="Times New Roman"/>
          <w:sz w:val="20"/>
          <w:szCs w:val="20"/>
        </w:rPr>
        <w:t xml:space="preserve"> </w:t>
      </w:r>
      <w:r w:rsidR="00D762A2">
        <w:rPr>
          <w:rFonts w:cs="Times New Roman" w:hint="eastAsia"/>
          <w:kern w:val="0"/>
          <w:sz w:val="20"/>
          <w:szCs w:val="20"/>
        </w:rPr>
        <w:t>a</w:t>
      </w:r>
      <w:r w:rsidR="00D762A2" w:rsidRPr="00A61903">
        <w:rPr>
          <w:rFonts w:cs="Times New Roman"/>
          <w:kern w:val="0"/>
          <w:sz w:val="20"/>
          <w:szCs w:val="20"/>
        </w:rPr>
        <w:t>nalysis of covariance</w:t>
      </w:r>
      <w:r w:rsidR="001C5C7A" w:rsidRPr="001C5C7A">
        <w:rPr>
          <w:rFonts w:cs="Times New Roman"/>
          <w:sz w:val="20"/>
          <w:szCs w:val="20"/>
        </w:rPr>
        <w:t>.</w:t>
      </w:r>
    </w:p>
    <w:p w14:paraId="3B8099AB" w14:textId="77777777" w:rsidR="001C5C7A" w:rsidRPr="001C5C7A" w:rsidRDefault="001C5C7A" w:rsidP="001C5C7A">
      <w:pPr>
        <w:widowControl/>
        <w:jc w:val="left"/>
        <w:rPr>
          <w:rFonts w:cs="Times New Roman"/>
          <w:sz w:val="20"/>
          <w:szCs w:val="20"/>
        </w:rPr>
      </w:pPr>
      <w:r w:rsidRPr="001C5C7A">
        <w:rPr>
          <w:rFonts w:cs="Times New Roman"/>
          <w:sz w:val="20"/>
          <w:szCs w:val="20"/>
        </w:rPr>
        <w:br w:type="page"/>
      </w:r>
    </w:p>
    <w:p w14:paraId="4F93FB07" w14:textId="3440DF44" w:rsidR="001C5C7A" w:rsidRPr="001C5C7A" w:rsidRDefault="009646F8" w:rsidP="001C5C7A">
      <w:pPr>
        <w:jc w:val="left"/>
        <w:rPr>
          <w:rFonts w:cs="Times New Roman"/>
          <w:sz w:val="20"/>
          <w:szCs w:val="20"/>
        </w:rPr>
      </w:pPr>
      <w:r>
        <w:rPr>
          <w:rFonts w:cs="Times New Roman"/>
          <w:noProof/>
          <w:sz w:val="20"/>
          <w:szCs w:val="20"/>
        </w:rPr>
        <w:lastRenderedPageBreak/>
        <w:drawing>
          <wp:inline distT="0" distB="0" distL="0" distR="0" wp14:anchorId="01723513" wp14:editId="5D8F2B62">
            <wp:extent cx="5939155" cy="3340100"/>
            <wp:effectExtent l="0" t="0" r="4445" b="0"/>
            <wp:docPr id="698841156"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9155" cy="3340100"/>
                    </a:xfrm>
                    <a:prstGeom prst="rect">
                      <a:avLst/>
                    </a:prstGeom>
                    <a:noFill/>
                    <a:ln>
                      <a:noFill/>
                    </a:ln>
                  </pic:spPr>
                </pic:pic>
              </a:graphicData>
            </a:graphic>
          </wp:inline>
        </w:drawing>
      </w:r>
    </w:p>
    <w:p w14:paraId="7B122770" w14:textId="41950373" w:rsidR="001C5C7A" w:rsidRPr="001C5C7A" w:rsidRDefault="001C5C7A" w:rsidP="001C5C7A">
      <w:pPr>
        <w:jc w:val="left"/>
        <w:rPr>
          <w:rFonts w:cs="Times New Roman"/>
          <w:sz w:val="20"/>
          <w:szCs w:val="20"/>
        </w:rPr>
      </w:pPr>
      <w:r w:rsidRPr="001C5C7A">
        <w:rPr>
          <w:rFonts w:cs="Times New Roman"/>
          <w:sz w:val="20"/>
          <w:szCs w:val="20"/>
        </w:rPr>
        <w:t xml:space="preserve">Supplemental Figure </w:t>
      </w:r>
      <w:r w:rsidR="00D42B30" w:rsidRPr="00050490">
        <w:rPr>
          <w:rFonts w:cs="Times New Roman" w:hint="eastAsia"/>
          <w:color w:val="FF0000"/>
          <w:sz w:val="20"/>
          <w:szCs w:val="20"/>
        </w:rPr>
        <w:t>3</w:t>
      </w:r>
      <w:r w:rsidRPr="001C5C7A">
        <w:rPr>
          <w:rFonts w:cs="Times New Roman"/>
          <w:sz w:val="20"/>
          <w:szCs w:val="20"/>
        </w:rPr>
        <w:t xml:space="preserve">. Scatter plot with linear regression and 95% confidence interval showing the association between the number of all (A), lobar (B), deep (C), and infratentorial (D) cerebral microbleeds on </w:t>
      </w:r>
      <w:r w:rsidR="00D762A2" w:rsidRPr="005E31E7">
        <w:rPr>
          <w:rFonts w:eastAsia="ＭＳ 明朝" w:cs="Times New Roman"/>
          <w:sz w:val="20"/>
          <w:szCs w:val="20"/>
        </w:rPr>
        <w:t>susceptibility-weighted magnetic resonance imaging</w:t>
      </w:r>
      <w:r w:rsidRPr="001C5C7A">
        <w:rPr>
          <w:rFonts w:cs="Times New Roman"/>
          <w:sz w:val="20"/>
          <w:szCs w:val="20"/>
        </w:rPr>
        <w:t xml:space="preserve"> and the interval from the initial treatment to imaging in patients treated with (red) and without (blue) chemotherapy. </w:t>
      </w:r>
      <w:r w:rsidR="00D762A2">
        <w:rPr>
          <w:rFonts w:cs="Times New Roman" w:hint="eastAsia"/>
          <w:sz w:val="20"/>
          <w:szCs w:val="20"/>
        </w:rPr>
        <w:t>p</w:t>
      </w:r>
      <w:r w:rsidRPr="001C5C7A">
        <w:rPr>
          <w:rFonts w:cs="Times New Roman"/>
          <w:sz w:val="20"/>
          <w:szCs w:val="20"/>
        </w:rPr>
        <w:t xml:space="preserve">-value was calculated via </w:t>
      </w:r>
      <w:r w:rsidR="00D762A2">
        <w:rPr>
          <w:rFonts w:cs="Times New Roman" w:hint="eastAsia"/>
          <w:kern w:val="0"/>
          <w:sz w:val="20"/>
          <w:szCs w:val="20"/>
        </w:rPr>
        <w:t>a</w:t>
      </w:r>
      <w:r w:rsidR="00D762A2" w:rsidRPr="00A61903">
        <w:rPr>
          <w:rFonts w:cs="Times New Roman"/>
          <w:kern w:val="0"/>
          <w:sz w:val="20"/>
          <w:szCs w:val="20"/>
        </w:rPr>
        <w:t>nalysis of covariance</w:t>
      </w:r>
      <w:r w:rsidRPr="001C5C7A">
        <w:rPr>
          <w:rFonts w:cs="Times New Roman"/>
          <w:sz w:val="20"/>
          <w:szCs w:val="20"/>
        </w:rPr>
        <w:t>.</w:t>
      </w:r>
    </w:p>
    <w:p w14:paraId="027FE31C" w14:textId="77777777" w:rsidR="001C5C7A" w:rsidRPr="001C5C7A" w:rsidRDefault="001C5C7A" w:rsidP="001C5C7A">
      <w:pPr>
        <w:jc w:val="left"/>
        <w:rPr>
          <w:rFonts w:cs="Times New Roman"/>
          <w:sz w:val="20"/>
          <w:szCs w:val="20"/>
        </w:rPr>
      </w:pPr>
    </w:p>
    <w:p w14:paraId="7F38608A" w14:textId="77777777" w:rsidR="001C5C7A" w:rsidRPr="001C5C7A" w:rsidRDefault="001C5C7A" w:rsidP="001C5C7A">
      <w:pPr>
        <w:widowControl/>
        <w:jc w:val="left"/>
        <w:rPr>
          <w:rFonts w:cs="Times New Roman"/>
          <w:sz w:val="20"/>
          <w:szCs w:val="20"/>
        </w:rPr>
      </w:pPr>
      <w:r w:rsidRPr="001C5C7A">
        <w:rPr>
          <w:rFonts w:cs="Times New Roman"/>
          <w:sz w:val="20"/>
          <w:szCs w:val="20"/>
        </w:rPr>
        <w:br w:type="page"/>
      </w:r>
    </w:p>
    <w:p w14:paraId="30DC9741" w14:textId="56BD67B3" w:rsidR="001C5C7A" w:rsidRPr="001C5C7A" w:rsidRDefault="005B1A67" w:rsidP="001C5C7A">
      <w:pPr>
        <w:jc w:val="left"/>
        <w:rPr>
          <w:rFonts w:cs="Times New Roman"/>
          <w:sz w:val="20"/>
          <w:szCs w:val="20"/>
        </w:rPr>
      </w:pPr>
      <w:r>
        <w:rPr>
          <w:rFonts w:cs="Times New Roman"/>
          <w:noProof/>
          <w:sz w:val="20"/>
          <w:szCs w:val="20"/>
        </w:rPr>
        <w:lastRenderedPageBreak/>
        <w:drawing>
          <wp:inline distT="0" distB="0" distL="0" distR="0" wp14:anchorId="7CA2D1D9" wp14:editId="052680FD">
            <wp:extent cx="5936615" cy="3336925"/>
            <wp:effectExtent l="0" t="0" r="6985" b="0"/>
            <wp:docPr id="40975255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6615" cy="3336925"/>
                    </a:xfrm>
                    <a:prstGeom prst="rect">
                      <a:avLst/>
                    </a:prstGeom>
                    <a:noFill/>
                    <a:ln>
                      <a:noFill/>
                    </a:ln>
                  </pic:spPr>
                </pic:pic>
              </a:graphicData>
            </a:graphic>
          </wp:inline>
        </w:drawing>
      </w:r>
      <w:r w:rsidR="001C5C7A" w:rsidRPr="001C5C7A">
        <w:rPr>
          <w:rFonts w:cs="Times New Roman"/>
          <w:sz w:val="20"/>
          <w:szCs w:val="20"/>
        </w:rPr>
        <w:t xml:space="preserve">Supplemental Figure </w:t>
      </w:r>
      <w:r w:rsidR="00D42B30" w:rsidRPr="00050490">
        <w:rPr>
          <w:rFonts w:cs="Times New Roman" w:hint="eastAsia"/>
          <w:color w:val="FF0000"/>
          <w:sz w:val="20"/>
          <w:szCs w:val="20"/>
        </w:rPr>
        <w:t>4</w:t>
      </w:r>
      <w:r w:rsidR="001C5C7A" w:rsidRPr="001C5C7A">
        <w:rPr>
          <w:rFonts w:cs="Times New Roman"/>
          <w:sz w:val="20"/>
          <w:szCs w:val="20"/>
        </w:rPr>
        <w:t xml:space="preserve">. Scatter plot with linear regression and 95% confidence interval showing the association between the score for verbal comprehension (A), perceptual reasoning (B), working memory (C), and process speed (D) and the interval from the initial treatment to imaging in patients with germinoma. </w:t>
      </w:r>
      <w:r w:rsidR="00050490">
        <w:rPr>
          <w:rFonts w:cs="Times New Roman" w:hint="eastAsia"/>
          <w:sz w:val="20"/>
          <w:szCs w:val="20"/>
        </w:rPr>
        <w:t xml:space="preserve">p </w:t>
      </w:r>
      <w:r w:rsidR="001C5C7A" w:rsidRPr="001C5C7A">
        <w:rPr>
          <w:rFonts w:cs="Times New Roman"/>
          <w:sz w:val="20"/>
          <w:szCs w:val="20"/>
        </w:rPr>
        <w:t>-value was calculated via linear regression analysis.</w:t>
      </w:r>
    </w:p>
    <w:p w14:paraId="19A3729B" w14:textId="77777777" w:rsidR="001C5C7A" w:rsidRPr="001C5C7A" w:rsidRDefault="001C5C7A" w:rsidP="001C5C7A">
      <w:pPr>
        <w:jc w:val="left"/>
        <w:rPr>
          <w:rFonts w:cs="Times New Roman"/>
          <w:sz w:val="20"/>
          <w:szCs w:val="20"/>
        </w:rPr>
      </w:pPr>
    </w:p>
    <w:p w14:paraId="2E705D8E" w14:textId="77777777" w:rsidR="001C5C7A" w:rsidRPr="001C5C7A" w:rsidRDefault="001C5C7A" w:rsidP="001C5C7A">
      <w:pPr>
        <w:widowControl/>
        <w:jc w:val="left"/>
        <w:rPr>
          <w:rFonts w:cs="Times New Roman"/>
          <w:sz w:val="20"/>
          <w:szCs w:val="20"/>
        </w:rPr>
      </w:pPr>
      <w:r w:rsidRPr="001C5C7A">
        <w:rPr>
          <w:rFonts w:cs="Times New Roman"/>
          <w:sz w:val="20"/>
          <w:szCs w:val="20"/>
        </w:rPr>
        <w:br w:type="page"/>
      </w:r>
    </w:p>
    <w:p w14:paraId="27C1E1BC" w14:textId="0BFB3E8F" w:rsidR="001C5C7A" w:rsidRPr="001C5C7A" w:rsidRDefault="00162D68" w:rsidP="001C5C7A">
      <w:pPr>
        <w:jc w:val="left"/>
        <w:rPr>
          <w:rFonts w:cs="Times New Roman"/>
          <w:sz w:val="20"/>
          <w:szCs w:val="20"/>
        </w:rPr>
      </w:pPr>
      <w:r>
        <w:rPr>
          <w:rFonts w:cs="Times New Roman"/>
          <w:noProof/>
          <w:sz w:val="20"/>
          <w:szCs w:val="20"/>
        </w:rPr>
        <w:lastRenderedPageBreak/>
        <w:drawing>
          <wp:inline distT="0" distB="0" distL="0" distR="0" wp14:anchorId="54165A82" wp14:editId="30788295">
            <wp:extent cx="5939790" cy="3339465"/>
            <wp:effectExtent l="0" t="0" r="3810" b="0"/>
            <wp:docPr id="1047551919"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9790" cy="3339465"/>
                    </a:xfrm>
                    <a:prstGeom prst="rect">
                      <a:avLst/>
                    </a:prstGeom>
                    <a:noFill/>
                    <a:ln>
                      <a:noFill/>
                    </a:ln>
                  </pic:spPr>
                </pic:pic>
              </a:graphicData>
            </a:graphic>
          </wp:inline>
        </w:drawing>
      </w:r>
      <w:r w:rsidR="001C5C7A" w:rsidRPr="001C5C7A">
        <w:rPr>
          <w:rFonts w:cs="Times New Roman"/>
          <w:sz w:val="20"/>
          <w:szCs w:val="20"/>
        </w:rPr>
        <w:t xml:space="preserve">Supplemental Figure </w:t>
      </w:r>
      <w:r w:rsidR="00D42B30" w:rsidRPr="009646F8">
        <w:rPr>
          <w:rFonts w:cs="Times New Roman" w:hint="eastAsia"/>
          <w:color w:val="FF0000"/>
          <w:sz w:val="20"/>
          <w:szCs w:val="20"/>
        </w:rPr>
        <w:t>5</w:t>
      </w:r>
      <w:r w:rsidR="001C5C7A" w:rsidRPr="001C5C7A">
        <w:rPr>
          <w:rFonts w:cs="Times New Roman"/>
          <w:sz w:val="20"/>
          <w:szCs w:val="20"/>
        </w:rPr>
        <w:t>. Scatter plot with linear regression and 95% confidence interval showing the association between the score for verbal memory (A), visual memory (B), general memory (C), attention (D), and delayed recall (E) and the interval from the initial treatment to imaging in patients with germinoma. P-value was calculated via linear regression analysis.</w:t>
      </w:r>
    </w:p>
    <w:p w14:paraId="53FDB845" w14:textId="39DB8FC6" w:rsidR="005E222F" w:rsidRDefault="005E222F">
      <w:pPr>
        <w:widowControl/>
        <w:spacing w:after="200" w:line="276" w:lineRule="auto"/>
        <w:jc w:val="left"/>
        <w:rPr>
          <w:rFonts w:cs="Times New Roman"/>
          <w:sz w:val="20"/>
          <w:szCs w:val="20"/>
        </w:rPr>
      </w:pPr>
      <w:r>
        <w:rPr>
          <w:rFonts w:cs="Times New Roman"/>
          <w:sz w:val="20"/>
          <w:szCs w:val="20"/>
        </w:rPr>
        <w:br w:type="page"/>
      </w:r>
    </w:p>
    <w:p w14:paraId="1B58D8C9" w14:textId="51ACBD7B" w:rsidR="005E222F" w:rsidRDefault="001B6A1B" w:rsidP="005E222F">
      <w:pPr>
        <w:rPr>
          <w:rFonts w:cs="Times New Roman"/>
          <w:sz w:val="20"/>
          <w:szCs w:val="20"/>
        </w:rPr>
      </w:pPr>
      <w:r>
        <w:rPr>
          <w:rFonts w:cs="Times New Roman"/>
          <w:noProof/>
          <w:sz w:val="20"/>
          <w:szCs w:val="20"/>
        </w:rPr>
        <w:lastRenderedPageBreak/>
        <w:drawing>
          <wp:inline distT="0" distB="0" distL="0" distR="0" wp14:anchorId="7F391417" wp14:editId="4CDCE793">
            <wp:extent cx="5939155" cy="3340100"/>
            <wp:effectExtent l="0" t="0" r="4445" b="0"/>
            <wp:docPr id="259475234"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9155" cy="3340100"/>
                    </a:xfrm>
                    <a:prstGeom prst="rect">
                      <a:avLst/>
                    </a:prstGeom>
                    <a:noFill/>
                    <a:ln>
                      <a:noFill/>
                    </a:ln>
                  </pic:spPr>
                </pic:pic>
              </a:graphicData>
            </a:graphic>
          </wp:inline>
        </w:drawing>
      </w:r>
    </w:p>
    <w:p w14:paraId="3A814B65" w14:textId="77777777" w:rsidR="005E222F" w:rsidRDefault="005E222F" w:rsidP="005E222F">
      <w:pPr>
        <w:rPr>
          <w:rFonts w:cs="Times New Roman"/>
          <w:sz w:val="20"/>
          <w:szCs w:val="20"/>
        </w:rPr>
      </w:pPr>
    </w:p>
    <w:p w14:paraId="0D363A43" w14:textId="330CEDD7" w:rsidR="005E222F" w:rsidRPr="009646F8" w:rsidRDefault="005E222F" w:rsidP="005E222F">
      <w:pPr>
        <w:jc w:val="left"/>
        <w:rPr>
          <w:rFonts w:cs="Times New Roman"/>
          <w:color w:val="FF0000"/>
          <w:sz w:val="20"/>
          <w:szCs w:val="20"/>
        </w:rPr>
      </w:pPr>
      <w:r w:rsidRPr="009646F8">
        <w:rPr>
          <w:rFonts w:cs="Times New Roman"/>
          <w:color w:val="FF0000"/>
          <w:sz w:val="20"/>
          <w:szCs w:val="20"/>
        </w:rPr>
        <w:t xml:space="preserve">Supplemental Figure </w:t>
      </w:r>
      <w:r w:rsidR="00A37852" w:rsidRPr="009646F8">
        <w:rPr>
          <w:rFonts w:cs="Times New Roman" w:hint="eastAsia"/>
          <w:color w:val="FF0000"/>
          <w:sz w:val="20"/>
          <w:szCs w:val="20"/>
        </w:rPr>
        <w:t>6</w:t>
      </w:r>
      <w:r w:rsidRPr="009646F8">
        <w:rPr>
          <w:rFonts w:cs="Times New Roman" w:hint="eastAsia"/>
          <w:color w:val="FF0000"/>
          <w:sz w:val="20"/>
          <w:szCs w:val="20"/>
        </w:rPr>
        <w:t>.</w:t>
      </w:r>
      <w:r w:rsidRPr="009646F8">
        <w:rPr>
          <w:rFonts w:cs="Times New Roman"/>
          <w:color w:val="FF0000"/>
          <w:sz w:val="20"/>
          <w:szCs w:val="20"/>
        </w:rPr>
        <w:t xml:space="preserve"> Scatter plot with linear regression and 95% confidence interval showing the association between the processing speed and the interval from the initial treatment to assessment in patients with greater than (red) or less than or equal </w:t>
      </w:r>
      <w:r w:rsidRPr="009646F8">
        <w:rPr>
          <w:rFonts w:cs="Times New Roman" w:hint="eastAsia"/>
          <w:color w:val="FF0000"/>
          <w:sz w:val="20"/>
          <w:szCs w:val="20"/>
        </w:rPr>
        <w:t xml:space="preserve">(blue) </w:t>
      </w:r>
      <w:r w:rsidRPr="009646F8">
        <w:rPr>
          <w:rFonts w:cs="Times New Roman"/>
          <w:color w:val="FF0000"/>
          <w:sz w:val="20"/>
          <w:szCs w:val="20"/>
        </w:rPr>
        <w:t xml:space="preserve">to the median number of all (a), lobar (b), deep (c), and </w:t>
      </w:r>
      <w:r w:rsidRPr="009646F8">
        <w:rPr>
          <w:rFonts w:cs="Times New Roman" w:hint="eastAsia"/>
          <w:color w:val="FF0000"/>
          <w:sz w:val="20"/>
          <w:szCs w:val="20"/>
        </w:rPr>
        <w:t>temporal</w:t>
      </w:r>
      <w:r w:rsidRPr="009646F8">
        <w:rPr>
          <w:rFonts w:cs="Times New Roman"/>
          <w:color w:val="FF0000"/>
          <w:sz w:val="20"/>
          <w:szCs w:val="20"/>
        </w:rPr>
        <w:t xml:space="preserve"> (d) cerebral microbleeds. </w:t>
      </w:r>
      <w:r w:rsidR="006826E5" w:rsidRPr="009646F8">
        <w:rPr>
          <w:rFonts w:cs="Times New Roman" w:hint="eastAsia"/>
          <w:color w:val="FF0000"/>
          <w:sz w:val="20"/>
          <w:szCs w:val="20"/>
        </w:rPr>
        <w:t>p</w:t>
      </w:r>
      <w:r w:rsidRPr="009646F8">
        <w:rPr>
          <w:rFonts w:cs="Times New Roman"/>
          <w:color w:val="FF0000"/>
          <w:sz w:val="20"/>
          <w:szCs w:val="20"/>
        </w:rPr>
        <w:t xml:space="preserve">-value was calculated via </w:t>
      </w:r>
      <w:bookmarkStart w:id="1" w:name="_Hlk168326921"/>
      <w:r w:rsidRPr="009646F8">
        <w:rPr>
          <w:rFonts w:cs="Times New Roman"/>
          <w:color w:val="FF0000"/>
          <w:sz w:val="20"/>
          <w:szCs w:val="20"/>
        </w:rPr>
        <w:t>analysis of covariance</w:t>
      </w:r>
      <w:bookmarkEnd w:id="1"/>
      <w:r w:rsidRPr="009646F8">
        <w:rPr>
          <w:rFonts w:cs="Times New Roman"/>
          <w:color w:val="FF0000"/>
          <w:sz w:val="20"/>
          <w:szCs w:val="20"/>
        </w:rPr>
        <w:t>.</w:t>
      </w:r>
    </w:p>
    <w:p w14:paraId="7465C446" w14:textId="77777777" w:rsidR="005E222F" w:rsidRDefault="005E222F" w:rsidP="005E222F">
      <w:pPr>
        <w:rPr>
          <w:rFonts w:cs="Times New Roman"/>
          <w:sz w:val="20"/>
          <w:szCs w:val="20"/>
        </w:rPr>
      </w:pPr>
    </w:p>
    <w:p w14:paraId="7F27AA83" w14:textId="77777777" w:rsidR="005E222F" w:rsidRDefault="005E222F" w:rsidP="005E222F">
      <w:pPr>
        <w:widowControl/>
        <w:spacing w:after="200" w:line="276" w:lineRule="auto"/>
        <w:jc w:val="left"/>
        <w:rPr>
          <w:rFonts w:cs="Times New Roman"/>
          <w:sz w:val="20"/>
          <w:szCs w:val="20"/>
        </w:rPr>
      </w:pPr>
      <w:r>
        <w:rPr>
          <w:rFonts w:cs="Times New Roman"/>
          <w:sz w:val="20"/>
          <w:szCs w:val="20"/>
        </w:rPr>
        <w:br w:type="page"/>
      </w:r>
    </w:p>
    <w:p w14:paraId="47931A24" w14:textId="62E08200" w:rsidR="001C5C7A" w:rsidRPr="001C5C7A" w:rsidRDefault="001C5C7A" w:rsidP="001C5C7A">
      <w:pPr>
        <w:widowControl/>
        <w:jc w:val="left"/>
        <w:rPr>
          <w:rFonts w:cs="Times New Roman"/>
          <w:sz w:val="20"/>
          <w:szCs w:val="20"/>
        </w:rPr>
      </w:pPr>
    </w:p>
    <w:p w14:paraId="5AE24F8A" w14:textId="21A9C343" w:rsidR="003A45FD" w:rsidRPr="001C5C7A" w:rsidRDefault="006D2941" w:rsidP="00F77297">
      <w:pPr>
        <w:jc w:val="left"/>
        <w:rPr>
          <w:sz w:val="20"/>
          <w:szCs w:val="20"/>
        </w:rPr>
      </w:pPr>
      <w:r>
        <w:rPr>
          <w:rFonts w:cs="Times New Roman"/>
          <w:noProof/>
          <w:sz w:val="20"/>
          <w:szCs w:val="20"/>
        </w:rPr>
        <w:drawing>
          <wp:inline distT="0" distB="0" distL="0" distR="0" wp14:anchorId="2CF13A16" wp14:editId="22AB7B53">
            <wp:extent cx="5936615" cy="3336925"/>
            <wp:effectExtent l="0" t="0" r="6985" b="0"/>
            <wp:docPr id="1873026860"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6615" cy="3336925"/>
                    </a:xfrm>
                    <a:prstGeom prst="rect">
                      <a:avLst/>
                    </a:prstGeom>
                    <a:noFill/>
                    <a:ln>
                      <a:noFill/>
                    </a:ln>
                  </pic:spPr>
                </pic:pic>
              </a:graphicData>
            </a:graphic>
          </wp:inline>
        </w:drawing>
      </w:r>
      <w:r w:rsidR="001C5C7A" w:rsidRPr="009646F8">
        <w:rPr>
          <w:rFonts w:cs="Times New Roman"/>
          <w:sz w:val="21"/>
          <w:szCs w:val="21"/>
        </w:rPr>
        <w:t xml:space="preserve">Supplemental Figure </w:t>
      </w:r>
      <w:r w:rsidR="00A37852" w:rsidRPr="009646F8">
        <w:rPr>
          <w:rFonts w:cs="Times New Roman" w:hint="eastAsia"/>
          <w:color w:val="FF0000"/>
          <w:sz w:val="21"/>
          <w:szCs w:val="21"/>
        </w:rPr>
        <w:t>7</w:t>
      </w:r>
      <w:r w:rsidR="001C5C7A" w:rsidRPr="009646F8">
        <w:rPr>
          <w:rFonts w:cs="Times New Roman"/>
          <w:sz w:val="21"/>
          <w:szCs w:val="21"/>
        </w:rPr>
        <w:t xml:space="preserve">. Scatter plot with linear regression and 95% confidence interval showing the association between the score for </w:t>
      </w:r>
      <w:r w:rsidR="00CA13F7" w:rsidRPr="009646F8">
        <w:rPr>
          <w:rFonts w:cs="Times New Roman" w:hint="eastAsia"/>
          <w:color w:val="FF0000"/>
          <w:sz w:val="21"/>
          <w:szCs w:val="21"/>
        </w:rPr>
        <w:t>visual</w:t>
      </w:r>
      <w:r w:rsidR="00CA13F7" w:rsidRPr="009646F8">
        <w:rPr>
          <w:rFonts w:cs="Times New Roman"/>
          <w:sz w:val="21"/>
          <w:szCs w:val="21"/>
        </w:rPr>
        <w:t xml:space="preserve"> </w:t>
      </w:r>
      <w:r w:rsidR="001C5C7A" w:rsidRPr="009646F8">
        <w:rPr>
          <w:rFonts w:cs="Times New Roman"/>
          <w:sz w:val="21"/>
          <w:szCs w:val="21"/>
        </w:rPr>
        <w:t xml:space="preserve">memory and the interval from the initial treatment to assessment in patients with greater than (red) or less than or equal </w:t>
      </w:r>
      <w:r w:rsidR="004435E7" w:rsidRPr="009646F8">
        <w:rPr>
          <w:rFonts w:cs="Times New Roman" w:hint="eastAsia"/>
          <w:sz w:val="21"/>
          <w:szCs w:val="21"/>
        </w:rPr>
        <w:t xml:space="preserve">(blue) </w:t>
      </w:r>
      <w:r w:rsidR="001C5C7A" w:rsidRPr="009646F8">
        <w:rPr>
          <w:rFonts w:cs="Times New Roman"/>
          <w:sz w:val="21"/>
          <w:szCs w:val="21"/>
        </w:rPr>
        <w:t xml:space="preserve">to the median number of all (A), lobar (B), </w:t>
      </w:r>
      <w:r w:rsidR="006826E5" w:rsidRPr="009646F8">
        <w:rPr>
          <w:rFonts w:cs="Times New Roman" w:hint="eastAsia"/>
          <w:color w:val="FF0000"/>
          <w:sz w:val="21"/>
          <w:szCs w:val="21"/>
        </w:rPr>
        <w:t>frontal</w:t>
      </w:r>
      <w:r w:rsidR="006826E5" w:rsidRPr="009646F8">
        <w:rPr>
          <w:rFonts w:cs="Times New Roman"/>
          <w:sz w:val="21"/>
          <w:szCs w:val="21"/>
        </w:rPr>
        <w:t xml:space="preserve"> </w:t>
      </w:r>
      <w:r w:rsidR="001C5C7A" w:rsidRPr="009646F8">
        <w:rPr>
          <w:rFonts w:cs="Times New Roman"/>
          <w:sz w:val="21"/>
          <w:szCs w:val="21"/>
        </w:rPr>
        <w:t xml:space="preserve">(C), and </w:t>
      </w:r>
      <w:r w:rsidR="006826E5" w:rsidRPr="009646F8">
        <w:rPr>
          <w:rFonts w:cs="Times New Roman" w:hint="eastAsia"/>
          <w:color w:val="FF0000"/>
          <w:sz w:val="21"/>
          <w:szCs w:val="21"/>
        </w:rPr>
        <w:t>temporal</w:t>
      </w:r>
      <w:r w:rsidR="006826E5" w:rsidRPr="009646F8">
        <w:rPr>
          <w:rFonts w:cs="Times New Roman"/>
          <w:color w:val="FF0000"/>
          <w:sz w:val="21"/>
          <w:szCs w:val="21"/>
        </w:rPr>
        <w:t xml:space="preserve"> </w:t>
      </w:r>
      <w:r w:rsidR="001C5C7A" w:rsidRPr="009646F8">
        <w:rPr>
          <w:rFonts w:cs="Times New Roman"/>
          <w:sz w:val="21"/>
          <w:szCs w:val="21"/>
        </w:rPr>
        <w:t xml:space="preserve">(D) cerebral microbleeds. P-value was calculated via </w:t>
      </w:r>
      <w:r w:rsidR="00D762A2" w:rsidRPr="009646F8">
        <w:rPr>
          <w:rFonts w:cs="Times New Roman" w:hint="eastAsia"/>
          <w:kern w:val="0"/>
          <w:sz w:val="21"/>
          <w:szCs w:val="21"/>
        </w:rPr>
        <w:t>a</w:t>
      </w:r>
      <w:r w:rsidR="00D762A2" w:rsidRPr="009646F8">
        <w:rPr>
          <w:rFonts w:cs="Times New Roman"/>
          <w:kern w:val="0"/>
          <w:sz w:val="21"/>
          <w:szCs w:val="21"/>
        </w:rPr>
        <w:t>nalysis of covariance</w:t>
      </w:r>
      <w:r w:rsidR="001C5C7A" w:rsidRPr="009646F8">
        <w:rPr>
          <w:rFonts w:cs="Times New Roman"/>
          <w:sz w:val="21"/>
          <w:szCs w:val="21"/>
        </w:rPr>
        <w:t>.</w:t>
      </w:r>
    </w:p>
    <w:sectPr w:rsidR="003A45FD" w:rsidRPr="001C5C7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30A547" w14:textId="77777777" w:rsidR="00D2665D" w:rsidRDefault="00D2665D" w:rsidP="00E947D5">
      <w:r>
        <w:separator/>
      </w:r>
    </w:p>
  </w:endnote>
  <w:endnote w:type="continuationSeparator" w:id="0">
    <w:p w14:paraId="6C59C83E" w14:textId="77777777" w:rsidR="00D2665D" w:rsidRDefault="00D2665D" w:rsidP="00E947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3E9F6E" w14:textId="77777777" w:rsidR="00D2665D" w:rsidRDefault="00D2665D" w:rsidP="00E947D5">
      <w:r>
        <w:separator/>
      </w:r>
    </w:p>
  </w:footnote>
  <w:footnote w:type="continuationSeparator" w:id="0">
    <w:p w14:paraId="1B4FBE87" w14:textId="77777777" w:rsidR="00D2665D" w:rsidRDefault="00D2665D" w:rsidP="00E947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B6447E4"/>
    <w:multiLevelType w:val="multilevel"/>
    <w:tmpl w:val="4DF40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AD86904"/>
    <w:multiLevelType w:val="multilevel"/>
    <w:tmpl w:val="5AD86904"/>
    <w:lvl w:ilvl="0">
      <w:start w:val="1"/>
      <w:numFmt w:val="decimal"/>
      <w:lvlText w:val="%1."/>
      <w:lvlJc w:val="left"/>
      <w:pPr>
        <w:ind w:left="360" w:hanging="36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2" w15:restartNumberingAfterBreak="0">
    <w:nsid w:val="5DBF33D8"/>
    <w:multiLevelType w:val="hybridMultilevel"/>
    <w:tmpl w:val="68786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52525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65502881">
    <w:abstractNumId w:val="0"/>
  </w:num>
  <w:num w:numId="3" w16cid:durableId="11235746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bordersDoNotSurroundHeader/>
  <w:bordersDoNotSurroundFooter/>
  <w:proofState w:spelling="clean" w:grammar="clean"/>
  <w:trackRevisions/>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5C7A"/>
    <w:rsid w:val="0000015A"/>
    <w:rsid w:val="00050490"/>
    <w:rsid w:val="00063DA1"/>
    <w:rsid w:val="00162D68"/>
    <w:rsid w:val="001B6A1B"/>
    <w:rsid w:val="001C5C7A"/>
    <w:rsid w:val="001D13B9"/>
    <w:rsid w:val="001E6320"/>
    <w:rsid w:val="0022764F"/>
    <w:rsid w:val="002820C8"/>
    <w:rsid w:val="00290D5F"/>
    <w:rsid w:val="0029399B"/>
    <w:rsid w:val="002D3BB5"/>
    <w:rsid w:val="003A45FD"/>
    <w:rsid w:val="003E3A29"/>
    <w:rsid w:val="004224F7"/>
    <w:rsid w:val="004435E7"/>
    <w:rsid w:val="004616B2"/>
    <w:rsid w:val="00530D49"/>
    <w:rsid w:val="005B1A67"/>
    <w:rsid w:val="005C3E66"/>
    <w:rsid w:val="005D5884"/>
    <w:rsid w:val="005E222F"/>
    <w:rsid w:val="00602E64"/>
    <w:rsid w:val="00631C7A"/>
    <w:rsid w:val="006826E5"/>
    <w:rsid w:val="006D2941"/>
    <w:rsid w:val="00767421"/>
    <w:rsid w:val="0079741A"/>
    <w:rsid w:val="007B75D2"/>
    <w:rsid w:val="008717BB"/>
    <w:rsid w:val="008A5579"/>
    <w:rsid w:val="008B53D8"/>
    <w:rsid w:val="008B5AEA"/>
    <w:rsid w:val="008C6C4E"/>
    <w:rsid w:val="008D2DC6"/>
    <w:rsid w:val="00956A8C"/>
    <w:rsid w:val="009646F8"/>
    <w:rsid w:val="00A37852"/>
    <w:rsid w:val="00A67C13"/>
    <w:rsid w:val="00AC2FA8"/>
    <w:rsid w:val="00B27220"/>
    <w:rsid w:val="00BB0B73"/>
    <w:rsid w:val="00C02125"/>
    <w:rsid w:val="00C84217"/>
    <w:rsid w:val="00CA13F7"/>
    <w:rsid w:val="00CE709C"/>
    <w:rsid w:val="00D2665D"/>
    <w:rsid w:val="00D42B30"/>
    <w:rsid w:val="00D762A2"/>
    <w:rsid w:val="00DB1D9D"/>
    <w:rsid w:val="00DC0A24"/>
    <w:rsid w:val="00E15DEE"/>
    <w:rsid w:val="00E2158A"/>
    <w:rsid w:val="00E36E94"/>
    <w:rsid w:val="00E37F4E"/>
    <w:rsid w:val="00E87957"/>
    <w:rsid w:val="00E947D5"/>
    <w:rsid w:val="00EF0A38"/>
    <w:rsid w:val="00F24FF8"/>
    <w:rsid w:val="00F37980"/>
    <w:rsid w:val="00F469F0"/>
    <w:rsid w:val="00F72F3E"/>
    <w:rsid w:val="00F77297"/>
    <w:rsid w:val="00FB4CBB"/>
    <w:rsid w:val="00FD1585"/>
    <w:rsid w:val="00FF15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D1D7F48"/>
  <w15:docId w15:val="{441D845E-1626-42D5-84D1-10A33848A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47D5"/>
    <w:pPr>
      <w:widowControl w:val="0"/>
      <w:spacing w:after="0" w:line="240" w:lineRule="auto"/>
      <w:jc w:val="both"/>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1C5C7A"/>
    <w:rPr>
      <w:sz w:val="18"/>
      <w:szCs w:val="18"/>
    </w:rPr>
  </w:style>
  <w:style w:type="paragraph" w:styleId="a4">
    <w:name w:val="Balloon Text"/>
    <w:basedOn w:val="a"/>
    <w:link w:val="a5"/>
    <w:uiPriority w:val="99"/>
    <w:semiHidden/>
    <w:unhideWhenUsed/>
    <w:rsid w:val="001C5C7A"/>
    <w:rPr>
      <w:rFonts w:ascii="Tahoma" w:hAnsi="Tahoma" w:cs="Tahoma"/>
      <w:sz w:val="16"/>
      <w:szCs w:val="16"/>
    </w:rPr>
  </w:style>
  <w:style w:type="character" w:customStyle="1" w:styleId="a5">
    <w:name w:val="吹き出し (文字)"/>
    <w:basedOn w:val="a0"/>
    <w:link w:val="a4"/>
    <w:uiPriority w:val="99"/>
    <w:semiHidden/>
    <w:rsid w:val="001C5C7A"/>
    <w:rPr>
      <w:rFonts w:ascii="Tahoma" w:hAnsi="Tahoma" w:cs="Tahoma"/>
      <w:kern w:val="2"/>
      <w:sz w:val="16"/>
      <w:szCs w:val="16"/>
    </w:rPr>
  </w:style>
  <w:style w:type="paragraph" w:styleId="a6">
    <w:name w:val="annotation text"/>
    <w:basedOn w:val="a"/>
    <w:link w:val="a7"/>
    <w:uiPriority w:val="99"/>
    <w:unhideWhenUsed/>
    <w:rsid w:val="001C5C7A"/>
    <w:rPr>
      <w:sz w:val="20"/>
      <w:szCs w:val="20"/>
    </w:rPr>
  </w:style>
  <w:style w:type="character" w:customStyle="1" w:styleId="a7">
    <w:name w:val="コメント文字列 (文字)"/>
    <w:basedOn w:val="a0"/>
    <w:link w:val="a6"/>
    <w:uiPriority w:val="99"/>
    <w:rsid w:val="001C5C7A"/>
    <w:rPr>
      <w:rFonts w:ascii="Times New Roman" w:hAnsi="Times New Roman"/>
      <w:kern w:val="2"/>
      <w:sz w:val="20"/>
      <w:szCs w:val="20"/>
    </w:rPr>
  </w:style>
  <w:style w:type="paragraph" w:styleId="a8">
    <w:name w:val="annotation subject"/>
    <w:basedOn w:val="a6"/>
    <w:next w:val="a6"/>
    <w:link w:val="a9"/>
    <w:uiPriority w:val="99"/>
    <w:semiHidden/>
    <w:unhideWhenUsed/>
    <w:rsid w:val="001C5C7A"/>
    <w:rPr>
      <w:b/>
      <w:bCs/>
    </w:rPr>
  </w:style>
  <w:style w:type="character" w:customStyle="1" w:styleId="a9">
    <w:name w:val="コメント内容 (文字)"/>
    <w:basedOn w:val="a7"/>
    <w:link w:val="a8"/>
    <w:uiPriority w:val="99"/>
    <w:semiHidden/>
    <w:rsid w:val="001C5C7A"/>
    <w:rPr>
      <w:rFonts w:ascii="Times New Roman" w:hAnsi="Times New Roman"/>
      <w:b/>
      <w:bCs/>
      <w:kern w:val="2"/>
      <w:sz w:val="20"/>
      <w:szCs w:val="20"/>
    </w:rPr>
  </w:style>
  <w:style w:type="character" w:styleId="aa">
    <w:name w:val="Hyperlink"/>
    <w:uiPriority w:val="99"/>
    <w:semiHidden/>
    <w:unhideWhenUsed/>
    <w:qFormat/>
    <w:rsid w:val="001C5C7A"/>
    <w:rPr>
      <w:color w:val="0000FF"/>
      <w:u w:val="single"/>
    </w:rPr>
  </w:style>
  <w:style w:type="paragraph" w:customStyle="1" w:styleId="1">
    <w:name w:val="リスト段落1"/>
    <w:basedOn w:val="a"/>
    <w:uiPriority w:val="99"/>
    <w:qFormat/>
    <w:rsid w:val="001C5C7A"/>
    <w:pPr>
      <w:ind w:leftChars="400" w:left="840"/>
    </w:pPr>
    <w:rPr>
      <w:rFonts w:eastAsia="游明朝" w:cs="Times New Roman"/>
    </w:rPr>
  </w:style>
  <w:style w:type="paragraph" w:customStyle="1" w:styleId="desc">
    <w:name w:val="desc"/>
    <w:basedOn w:val="a"/>
    <w:uiPriority w:val="99"/>
    <w:qFormat/>
    <w:rsid w:val="001C5C7A"/>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paragraph" w:styleId="ab">
    <w:name w:val="Revision"/>
    <w:hidden/>
    <w:uiPriority w:val="99"/>
    <w:semiHidden/>
    <w:rsid w:val="008D2DC6"/>
    <w:pPr>
      <w:spacing w:after="0" w:line="240" w:lineRule="auto"/>
    </w:pPr>
    <w:rPr>
      <w:rFonts w:ascii="Times New Roman" w:hAnsi="Times New Roman"/>
      <w:kern w:val="2"/>
      <w:sz w:val="24"/>
    </w:rPr>
  </w:style>
  <w:style w:type="paragraph" w:styleId="ac">
    <w:name w:val="header"/>
    <w:basedOn w:val="a"/>
    <w:link w:val="ad"/>
    <w:uiPriority w:val="99"/>
    <w:unhideWhenUsed/>
    <w:rsid w:val="00E947D5"/>
    <w:pPr>
      <w:tabs>
        <w:tab w:val="center" w:pos="4252"/>
        <w:tab w:val="right" w:pos="8504"/>
      </w:tabs>
      <w:snapToGrid w:val="0"/>
    </w:pPr>
  </w:style>
  <w:style w:type="character" w:customStyle="1" w:styleId="ad">
    <w:name w:val="ヘッダー (文字)"/>
    <w:basedOn w:val="a0"/>
    <w:link w:val="ac"/>
    <w:uiPriority w:val="99"/>
    <w:rsid w:val="00E947D5"/>
    <w:rPr>
      <w:rFonts w:ascii="Times New Roman" w:hAnsi="Times New Roman"/>
      <w:kern w:val="2"/>
      <w:sz w:val="24"/>
    </w:rPr>
  </w:style>
  <w:style w:type="paragraph" w:styleId="ae">
    <w:name w:val="footer"/>
    <w:basedOn w:val="a"/>
    <w:link w:val="af"/>
    <w:uiPriority w:val="99"/>
    <w:unhideWhenUsed/>
    <w:rsid w:val="00E947D5"/>
    <w:pPr>
      <w:tabs>
        <w:tab w:val="center" w:pos="4252"/>
        <w:tab w:val="right" w:pos="8504"/>
      </w:tabs>
      <w:snapToGrid w:val="0"/>
    </w:pPr>
  </w:style>
  <w:style w:type="character" w:customStyle="1" w:styleId="af">
    <w:name w:val="フッター (文字)"/>
    <w:basedOn w:val="a0"/>
    <w:link w:val="ae"/>
    <w:uiPriority w:val="99"/>
    <w:rsid w:val="00E947D5"/>
    <w:rPr>
      <w:rFonts w:ascii="Times New Roman" w:hAnsi="Times New Roman"/>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kanamori@med.tohoku.ac.jp" TargetMode="External"/><Relationship Id="rId13" Type="http://schemas.openxmlformats.org/officeDocument/2006/relationships/image" Target="media/image5.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5B67C4-DB94-4272-A0AE-6B0B62957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8</Pages>
  <Words>665</Words>
  <Characters>4083</Characters>
  <Application>Microsoft Office Word</Application>
  <DocSecurity>0</DocSecurity>
  <Lines>85</Lines>
  <Paragraphs>30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政之 金森</cp:lastModifiedBy>
  <cp:revision>21</cp:revision>
  <dcterms:created xsi:type="dcterms:W3CDTF">2024-04-19T09:22:00Z</dcterms:created>
  <dcterms:modified xsi:type="dcterms:W3CDTF">2024-06-15T06:09:00Z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ae383790ce60682c137aa8e958bbabd44e3a7d73c1b461b877d981dd76140e0f</vt:lpwstr>
  </property>
</Properties>
</file>