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E35" w:rsidRDefault="00642E35" w:rsidP="00642E35">
      <w:pPr>
        <w:spacing w:line="360" w:lineRule="auto"/>
        <w:rPr>
          <w:b/>
          <w:lang w:val="en-US"/>
        </w:rPr>
      </w:pPr>
      <w:r w:rsidRPr="004E1A22">
        <w:rPr>
          <w:b/>
          <w:lang w:val="en-US"/>
        </w:rPr>
        <w:t>Sup</w:t>
      </w:r>
      <w:bookmarkStart w:id="0" w:name="_GoBack"/>
      <w:bookmarkEnd w:id="0"/>
      <w:r w:rsidRPr="004E1A22">
        <w:rPr>
          <w:b/>
          <w:lang w:val="en-US"/>
        </w:rPr>
        <w:t xml:space="preserve">plementary Table 2 – Statistics for </w:t>
      </w:r>
      <w:proofErr w:type="spellStart"/>
      <w:r>
        <w:rPr>
          <w:b/>
          <w:lang w:val="en-US"/>
        </w:rPr>
        <w:t>skullbase</w:t>
      </w:r>
      <w:proofErr w:type="spellEnd"/>
      <w:r>
        <w:rPr>
          <w:b/>
          <w:lang w:val="en-US"/>
        </w:rPr>
        <w:t xml:space="preserve"> meningioma patients</w:t>
      </w:r>
    </w:p>
    <w:tbl>
      <w:tblPr>
        <w:tblStyle w:val="Tabellenraster"/>
        <w:tblW w:w="21279" w:type="dxa"/>
        <w:tblInd w:w="-856" w:type="dxa"/>
        <w:tblLook w:val="04A0" w:firstRow="1" w:lastRow="0" w:firstColumn="1" w:lastColumn="0" w:noHBand="0" w:noVBand="1"/>
      </w:tblPr>
      <w:tblGrid>
        <w:gridCol w:w="1186"/>
        <w:gridCol w:w="1478"/>
        <w:gridCol w:w="1509"/>
        <w:gridCol w:w="2176"/>
        <w:gridCol w:w="1593"/>
        <w:gridCol w:w="1593"/>
        <w:gridCol w:w="1582"/>
        <w:gridCol w:w="1816"/>
        <w:gridCol w:w="1810"/>
        <w:gridCol w:w="1634"/>
        <w:gridCol w:w="1634"/>
        <w:gridCol w:w="1634"/>
        <w:gridCol w:w="1634"/>
      </w:tblGrid>
      <w:tr w:rsidR="00642E35" w:rsidRPr="00642E35" w:rsidTr="002C7577">
        <w:trPr>
          <w:gridAfter w:val="4"/>
          <w:wAfter w:w="6536" w:type="dxa"/>
        </w:trPr>
        <w:tc>
          <w:tcPr>
            <w:tcW w:w="14743" w:type="dxa"/>
            <w:gridSpan w:val="9"/>
          </w:tcPr>
          <w:p w:rsidR="00642E35" w:rsidRPr="001010A3" w:rsidRDefault="00642E35" w:rsidP="002C7577">
            <w:pPr>
              <w:spacing w:line="360" w:lineRule="auto"/>
              <w:jc w:val="center"/>
              <w:rPr>
                <w:lang w:val="en-US"/>
              </w:rPr>
            </w:pPr>
            <w:r w:rsidRPr="001C1E40">
              <w:rPr>
                <w:b/>
                <w:i/>
                <w:lang w:val="en-US"/>
              </w:rPr>
              <w:t>Modified 5 Factor Frailty Index (mFI-5)</w:t>
            </w:r>
          </w:p>
        </w:tc>
      </w:tr>
      <w:tr w:rsidR="00642E35" w:rsidRPr="00642E35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2F4B2D">
              <w:rPr>
                <w:b/>
                <w:lang w:val="en-US"/>
              </w:rPr>
              <w:t>Parameter</w:t>
            </w:r>
          </w:p>
        </w:tc>
        <w:tc>
          <w:tcPr>
            <w:tcW w:w="0" w:type="auto"/>
          </w:tcPr>
          <w:p w:rsidR="00642E35" w:rsidRPr="00CE0968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CE0968">
              <w:rPr>
                <w:b/>
                <w:lang w:val="en-US"/>
              </w:rPr>
              <w:t xml:space="preserve">Any </w:t>
            </w:r>
            <w:r>
              <w:rPr>
                <w:b/>
                <w:lang w:val="en-US"/>
              </w:rPr>
              <w:t>functional</w:t>
            </w:r>
            <w:r w:rsidRPr="00CE0968">
              <w:rPr>
                <w:b/>
                <w:lang w:val="en-US"/>
              </w:rPr>
              <w:t xml:space="preserve"> </w:t>
            </w:r>
          </w:p>
          <w:p w:rsidR="00642E35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CE0968">
              <w:rPr>
                <w:b/>
                <w:lang w:val="en-US"/>
              </w:rPr>
              <w:t>Improvement</w:t>
            </w:r>
          </w:p>
          <w:p w:rsidR="00642E35" w:rsidRPr="002F4B2D" w:rsidRDefault="00642E35" w:rsidP="002C7577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(KPS≥10)</w:t>
            </w:r>
          </w:p>
        </w:tc>
        <w:tc>
          <w:tcPr>
            <w:tcW w:w="0" w:type="auto"/>
          </w:tcPr>
          <w:p w:rsidR="00642E35" w:rsidRPr="00D14E86" w:rsidRDefault="00642E35" w:rsidP="002C7577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Major</w:t>
            </w:r>
          </w:p>
          <w:p w:rsidR="00642E35" w:rsidRPr="00076210" w:rsidRDefault="00642E35" w:rsidP="002C7577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improvement (KPS≥20)</w:t>
            </w:r>
          </w:p>
        </w:tc>
        <w:tc>
          <w:tcPr>
            <w:tcW w:w="0" w:type="auto"/>
          </w:tcPr>
          <w:p w:rsidR="00642E35" w:rsidRPr="00076210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DC154C">
              <w:rPr>
                <w:b/>
                <w:lang w:val="en-US"/>
              </w:rPr>
              <w:t>Gained/maintained functional independence (KPS≥70)</w:t>
            </w:r>
          </w:p>
        </w:tc>
        <w:tc>
          <w:tcPr>
            <w:tcW w:w="0" w:type="auto"/>
          </w:tcPr>
          <w:p w:rsidR="00642E35" w:rsidRPr="002F4B2D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2F4B2D">
              <w:rPr>
                <w:b/>
                <w:lang w:val="en-US"/>
              </w:rPr>
              <w:t>90-day mortality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0" w:type="auto"/>
          </w:tcPr>
          <w:p w:rsidR="00642E35" w:rsidRPr="002F4B2D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2F4B2D">
              <w:rPr>
                <w:b/>
                <w:lang w:val="en-US"/>
              </w:rPr>
              <w:t>1-year mortality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0" w:type="auto"/>
          </w:tcPr>
          <w:p w:rsidR="00642E35" w:rsidRPr="002F4B2D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2F4B2D">
              <w:rPr>
                <w:b/>
                <w:lang w:val="en-US"/>
              </w:rPr>
              <w:t>Surgery-associated complications</w:t>
            </w:r>
          </w:p>
        </w:tc>
        <w:tc>
          <w:tcPr>
            <w:tcW w:w="0" w:type="auto"/>
          </w:tcPr>
          <w:p w:rsidR="00642E35" w:rsidRPr="002F4B2D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2F4B2D">
              <w:rPr>
                <w:b/>
                <w:lang w:val="en-US"/>
              </w:rPr>
              <w:t>New neurological deficits</w:t>
            </w:r>
          </w:p>
        </w:tc>
        <w:tc>
          <w:tcPr>
            <w:tcW w:w="1810" w:type="dxa"/>
          </w:tcPr>
          <w:p w:rsidR="00642E35" w:rsidRPr="002F4B2D" w:rsidRDefault="00642E35" w:rsidP="002C7577">
            <w:pPr>
              <w:spacing w:line="360" w:lineRule="auto"/>
              <w:rPr>
                <w:b/>
                <w:lang w:val="en-US"/>
              </w:rPr>
            </w:pPr>
            <w:r w:rsidRPr="002F4B2D">
              <w:rPr>
                <w:b/>
                <w:lang w:val="en-US"/>
              </w:rPr>
              <w:t>Capability to live at home</w:t>
            </w:r>
            <w:r>
              <w:rPr>
                <w:b/>
                <w:lang w:val="en-US"/>
              </w:rPr>
              <w:t>*</w:t>
            </w:r>
          </w:p>
        </w:tc>
      </w:tr>
      <w:tr w:rsidR="00642E35" w:rsidRPr="001010A3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highlight w:val="yellow"/>
                <w:lang w:val="en-US"/>
              </w:rPr>
            </w:pPr>
            <w:r w:rsidRPr="002F4B2D">
              <w:rPr>
                <w:lang w:val="en-US"/>
              </w:rPr>
              <w:t>Robust “</w:t>
            </w:r>
            <w:proofErr w:type="spellStart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mFI</w:t>
            </w:r>
            <w:proofErr w:type="spellEnd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=0</w:t>
            </w:r>
            <w:r w:rsidRPr="002F4B2D">
              <w:rPr>
                <w:lang w:val="en-US"/>
              </w:rPr>
              <w:t>”: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1810" w:type="dxa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</w:tr>
      <w:tr w:rsidR="00642E35" w:rsidRPr="001010A3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highlight w:val="yellow"/>
                <w:lang w:val="en-US"/>
              </w:rPr>
            </w:pPr>
            <w:r w:rsidRPr="002F4B2D">
              <w:rPr>
                <w:lang w:val="en-US"/>
              </w:rPr>
              <w:t>Pre-frail “</w:t>
            </w:r>
            <w:proofErr w:type="spellStart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mFI</w:t>
            </w:r>
            <w:proofErr w:type="spellEnd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=1</w:t>
            </w:r>
            <w:r w:rsidRPr="002F4B2D">
              <w:rPr>
                <w:lang w:val="en-US"/>
              </w:rPr>
              <w:t>”:</w:t>
            </w:r>
          </w:p>
        </w:tc>
        <w:tc>
          <w:tcPr>
            <w:tcW w:w="0" w:type="auto"/>
          </w:tcPr>
          <w:p w:rsidR="00642E35" w:rsidRPr="00EA1574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6.8 (0.6-78.5)</w:t>
            </w:r>
          </w:p>
        </w:tc>
        <w:tc>
          <w:tcPr>
            <w:tcW w:w="0" w:type="auto"/>
          </w:tcPr>
          <w:p w:rsidR="00642E35" w:rsidRPr="00C12955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2.6 (0.2-34.3)</w:t>
            </w:r>
          </w:p>
        </w:tc>
        <w:tc>
          <w:tcPr>
            <w:tcW w:w="0" w:type="auto"/>
          </w:tcPr>
          <w:p w:rsidR="00642E35" w:rsidRPr="00C80BD1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70797938.8  (0.0-not reached)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80539210.9 (0.0-not reached)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11.8 (1.1-129.4)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958339349.7 (0.0-not reached)</w:t>
            </w:r>
          </w:p>
        </w:tc>
        <w:tc>
          <w:tcPr>
            <w:tcW w:w="1810" w:type="dxa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</w:tr>
      <w:tr w:rsidR="00642E35" w:rsidRPr="001010A3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lang w:val="en-US"/>
              </w:rPr>
            </w:pPr>
            <w:r w:rsidRPr="002F0BF2">
              <w:rPr>
                <w:lang w:val="en-US"/>
              </w:rPr>
              <w:t xml:space="preserve">Frail </w:t>
            </w:r>
            <w:r w:rsidRPr="002F4B2D">
              <w:rPr>
                <w:lang w:val="en-US"/>
              </w:rPr>
              <w:t>“</w:t>
            </w:r>
            <w:proofErr w:type="spellStart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mFI</w:t>
            </w:r>
            <w:proofErr w:type="spellEnd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=2</w:t>
            </w:r>
            <w:r w:rsidRPr="002F4B2D">
              <w:rPr>
                <w:lang w:val="en-US"/>
              </w:rPr>
              <w:t>”:</w:t>
            </w:r>
          </w:p>
        </w:tc>
        <w:tc>
          <w:tcPr>
            <w:tcW w:w="0" w:type="auto"/>
          </w:tcPr>
          <w:p w:rsidR="00642E35" w:rsidRPr="00EA1574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4.0 (0.3-48.0)</w:t>
            </w:r>
          </w:p>
        </w:tc>
        <w:tc>
          <w:tcPr>
            <w:tcW w:w="0" w:type="auto"/>
          </w:tcPr>
          <w:p w:rsidR="00642E35" w:rsidRPr="00C12955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2.5 (0.2-33.5)</w:t>
            </w:r>
          </w:p>
        </w:tc>
        <w:tc>
          <w:tcPr>
            <w:tcW w:w="0" w:type="auto"/>
          </w:tcPr>
          <w:p w:rsidR="00642E35" w:rsidRPr="00C80BD1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20036759.4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48064349.8 (0.0-not reached)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8.6 (0.7-103.4)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333954363.6 (0.0-not reached)</w:t>
            </w:r>
          </w:p>
        </w:tc>
        <w:tc>
          <w:tcPr>
            <w:tcW w:w="1810" w:type="dxa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</w:tr>
      <w:tr w:rsidR="00642E35" w:rsidRPr="001010A3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highlight w:val="yellow"/>
                <w:lang w:val="en-US"/>
              </w:rPr>
            </w:pPr>
            <w:r w:rsidRPr="002F4B2D">
              <w:rPr>
                <w:lang w:val="en-US"/>
              </w:rPr>
              <w:t>Severely frail “</w:t>
            </w:r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mFI≥3”</w:t>
            </w:r>
            <w:r w:rsidRPr="00135B9E">
              <w:rPr>
                <w:lang w:val="en-US"/>
              </w:rPr>
              <w:t>:</w:t>
            </w:r>
          </w:p>
        </w:tc>
        <w:tc>
          <w:tcPr>
            <w:tcW w:w="0" w:type="auto"/>
          </w:tcPr>
          <w:p w:rsidR="00642E35" w:rsidRPr="00EA1574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4.0 (0.1-116.1)</w:t>
            </w:r>
          </w:p>
        </w:tc>
        <w:tc>
          <w:tcPr>
            <w:tcW w:w="0" w:type="auto"/>
          </w:tcPr>
          <w:p w:rsidR="00642E35" w:rsidRPr="00C12955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 w:rsidRPr="00C12955">
              <w:rPr>
                <w:rFonts w:cstheme="minorHAnsi"/>
                <w:color w:val="010205"/>
                <w:lang w:val="en-US"/>
              </w:rPr>
              <w:t>4</w:t>
            </w:r>
            <w:r>
              <w:rPr>
                <w:rFonts w:cstheme="minorHAnsi"/>
                <w:color w:val="010205"/>
                <w:lang w:val="en-US"/>
              </w:rPr>
              <w:t>.5 (0.1-160.9)</w:t>
            </w:r>
          </w:p>
        </w:tc>
        <w:tc>
          <w:tcPr>
            <w:tcW w:w="0" w:type="auto"/>
          </w:tcPr>
          <w:p w:rsidR="00642E35" w:rsidRPr="00C80BD1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821284808.9 (0.0-not reached)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852804187.8 (0.0-not reached)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23.0 (0.8-675.0)</w:t>
            </w:r>
          </w:p>
        </w:tc>
        <w:tc>
          <w:tcPr>
            <w:tcW w:w="0" w:type="auto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11682386092.8 (0.0-not reached)</w:t>
            </w:r>
          </w:p>
        </w:tc>
        <w:tc>
          <w:tcPr>
            <w:tcW w:w="1810" w:type="dxa"/>
          </w:tcPr>
          <w:p w:rsidR="00642E35" w:rsidRPr="001E32C8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</w:tr>
      <w:tr w:rsidR="00642E35" w:rsidRPr="001010A3" w:rsidTr="002C7577">
        <w:tc>
          <w:tcPr>
            <w:tcW w:w="14743" w:type="dxa"/>
            <w:gridSpan w:val="9"/>
          </w:tcPr>
          <w:p w:rsidR="00642E35" w:rsidRPr="001010A3" w:rsidRDefault="00642E35" w:rsidP="002C7577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i/>
                <w:lang w:val="en-US"/>
              </w:rPr>
              <w:t>Modified 11</w:t>
            </w:r>
            <w:r w:rsidRPr="001C1E40">
              <w:rPr>
                <w:b/>
                <w:i/>
                <w:lang w:val="en-US"/>
              </w:rPr>
              <w:t xml:space="preserve"> Factor Frailty Index </w:t>
            </w:r>
            <w:r>
              <w:rPr>
                <w:b/>
                <w:i/>
                <w:lang w:val="en-US"/>
              </w:rPr>
              <w:t>(mFI-11</w:t>
            </w:r>
            <w:r w:rsidRPr="001C1E40">
              <w:rPr>
                <w:b/>
                <w:i/>
                <w:lang w:val="en-US"/>
              </w:rPr>
              <w:t>)</w:t>
            </w:r>
          </w:p>
        </w:tc>
        <w:tc>
          <w:tcPr>
            <w:tcW w:w="1634" w:type="dxa"/>
          </w:tcPr>
          <w:p w:rsidR="00642E35" w:rsidRPr="001010A3" w:rsidRDefault="00642E35" w:rsidP="002C7577">
            <w:pPr>
              <w:spacing w:line="360" w:lineRule="auto"/>
              <w:rPr>
                <w:lang w:val="en-US"/>
              </w:rPr>
            </w:pPr>
          </w:p>
        </w:tc>
        <w:tc>
          <w:tcPr>
            <w:tcW w:w="1634" w:type="dxa"/>
          </w:tcPr>
          <w:p w:rsidR="00642E35" w:rsidRPr="00C12955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US"/>
              </w:rPr>
            </w:pPr>
            <w:r w:rsidRPr="00C12955">
              <w:rPr>
                <w:rFonts w:ascii="Arial" w:hAnsi="Arial" w:cs="Arial"/>
                <w:color w:val="010205"/>
                <w:sz w:val="24"/>
                <w:szCs w:val="24"/>
                <w:lang w:val="en-US"/>
              </w:rPr>
              <w:t>1,147</w:t>
            </w:r>
          </w:p>
        </w:tc>
        <w:tc>
          <w:tcPr>
            <w:tcW w:w="1634" w:type="dxa"/>
          </w:tcPr>
          <w:p w:rsidR="00642E35" w:rsidRPr="00C12955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US"/>
              </w:rPr>
            </w:pPr>
            <w:r w:rsidRPr="00C12955">
              <w:rPr>
                <w:rFonts w:ascii="Arial" w:hAnsi="Arial" w:cs="Arial"/>
                <w:color w:val="010205"/>
                <w:sz w:val="24"/>
                <w:szCs w:val="24"/>
                <w:lang w:val="en-US"/>
              </w:rPr>
              <w:t>,788</w:t>
            </w:r>
          </w:p>
        </w:tc>
        <w:tc>
          <w:tcPr>
            <w:tcW w:w="1634" w:type="dxa"/>
          </w:tcPr>
          <w:p w:rsidR="00642E35" w:rsidRPr="00C12955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  <w:lang w:val="en-US"/>
              </w:rPr>
            </w:pPr>
            <w:r w:rsidRPr="00C12955">
              <w:rPr>
                <w:rFonts w:ascii="Arial" w:hAnsi="Arial" w:cs="Arial"/>
                <w:color w:val="010205"/>
                <w:sz w:val="24"/>
                <w:szCs w:val="24"/>
                <w:lang w:val="en-US"/>
              </w:rPr>
              <w:t>1,670</w:t>
            </w:r>
          </w:p>
        </w:tc>
      </w:tr>
      <w:tr w:rsidR="00642E35" w:rsidRPr="001010A3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highlight w:val="yellow"/>
                <w:lang w:val="en-US"/>
              </w:rPr>
            </w:pPr>
            <w:r w:rsidRPr="002F4B2D">
              <w:rPr>
                <w:lang w:val="en-US"/>
              </w:rPr>
              <w:t>Robust “</w:t>
            </w:r>
            <w:proofErr w:type="spellStart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mFI</w:t>
            </w:r>
            <w:proofErr w:type="spellEnd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=0</w:t>
            </w:r>
            <w:r w:rsidRPr="002F4B2D">
              <w:rPr>
                <w:lang w:val="en-US"/>
              </w:rPr>
              <w:t>”: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0" w:type="auto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  <w:tc>
          <w:tcPr>
            <w:tcW w:w="1810" w:type="dxa"/>
          </w:tcPr>
          <w:p w:rsidR="00642E35" w:rsidRDefault="00642E35" w:rsidP="002C7577">
            <w:pPr>
              <w:spacing w:line="360" w:lineRule="auto"/>
              <w:rPr>
                <w:lang w:val="en-US"/>
              </w:rPr>
            </w:pPr>
            <w:r w:rsidRPr="00CF4726">
              <w:rPr>
                <w:lang w:val="en-US"/>
              </w:rPr>
              <w:t>[Reference]</w:t>
            </w:r>
          </w:p>
          <w:p w:rsidR="00642E35" w:rsidRPr="00CF4726" w:rsidRDefault="00642E35" w:rsidP="002C7577">
            <w:pPr>
              <w:spacing w:line="360" w:lineRule="auto"/>
            </w:pPr>
            <w:r>
              <w:rPr>
                <w:lang w:val="en-US"/>
              </w:rPr>
              <w:t>OR (CI95%)</w:t>
            </w:r>
          </w:p>
        </w:tc>
      </w:tr>
      <w:tr w:rsidR="00642E35" w:rsidRPr="001010A3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highlight w:val="yellow"/>
                <w:lang w:val="en-US"/>
              </w:rPr>
            </w:pPr>
            <w:r w:rsidRPr="002F4B2D">
              <w:rPr>
                <w:lang w:val="en-US"/>
              </w:rPr>
              <w:lastRenderedPageBreak/>
              <w:t>Pre-frail “</w:t>
            </w:r>
            <w:proofErr w:type="spellStart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mFI</w:t>
            </w:r>
            <w:proofErr w:type="spellEnd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=1</w:t>
            </w:r>
            <w:r w:rsidRPr="002F4B2D">
              <w:rPr>
                <w:lang w:val="en-US"/>
              </w:rPr>
              <w:t>”:</w:t>
            </w:r>
          </w:p>
        </w:tc>
        <w:tc>
          <w:tcPr>
            <w:tcW w:w="0" w:type="auto"/>
          </w:tcPr>
          <w:p w:rsidR="00642E35" w:rsidRPr="00C67742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3.5 (0.3-43.4)</w:t>
            </w:r>
          </w:p>
        </w:tc>
        <w:tc>
          <w:tcPr>
            <w:tcW w:w="0" w:type="auto"/>
          </w:tcPr>
          <w:p w:rsidR="00642E35" w:rsidRPr="00C67742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1.7 (0.1-26.2)</w:t>
            </w:r>
          </w:p>
        </w:tc>
        <w:tc>
          <w:tcPr>
            <w:tcW w:w="0" w:type="auto"/>
          </w:tcPr>
          <w:p w:rsidR="00642E35" w:rsidRPr="00C80BD1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  <w:tc>
          <w:tcPr>
            <w:tcW w:w="0" w:type="auto"/>
          </w:tcPr>
          <w:p w:rsidR="00642E35" w:rsidRPr="0084417B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147517471.5 (0.0-not reached)</w:t>
            </w:r>
          </w:p>
        </w:tc>
        <w:tc>
          <w:tcPr>
            <w:tcW w:w="0" w:type="auto"/>
          </w:tcPr>
          <w:p w:rsidR="00642E35" w:rsidRPr="00BE0F0A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155857091.1 (0.0-not reached)</w:t>
            </w:r>
          </w:p>
        </w:tc>
        <w:tc>
          <w:tcPr>
            <w:tcW w:w="0" w:type="auto"/>
          </w:tcPr>
          <w:p w:rsidR="00642E35" w:rsidRPr="005571A4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7.4 (7.4-91.2)</w:t>
            </w:r>
          </w:p>
        </w:tc>
        <w:tc>
          <w:tcPr>
            <w:tcW w:w="0" w:type="auto"/>
          </w:tcPr>
          <w:p w:rsidR="00642E35" w:rsidRPr="002D4A2F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 xml:space="preserve">888107491.4 </w:t>
            </w:r>
            <w:r w:rsidRPr="0093767B">
              <w:rPr>
                <w:rFonts w:cstheme="minorHAnsi"/>
                <w:color w:val="010205"/>
                <w:lang w:val="en-US"/>
              </w:rPr>
              <w:t>(0.0-not reached)</w:t>
            </w:r>
          </w:p>
        </w:tc>
        <w:tc>
          <w:tcPr>
            <w:tcW w:w="1810" w:type="dxa"/>
          </w:tcPr>
          <w:p w:rsidR="00642E35" w:rsidRPr="0093767B" w:rsidRDefault="00642E35" w:rsidP="002C7577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cstheme="minorHAnsi"/>
                <w:color w:val="010205"/>
                <w:lang w:val="en-US"/>
              </w:rPr>
            </w:pPr>
            <w:r w:rsidRPr="0093767B">
              <w:rPr>
                <w:rFonts w:cstheme="minorHAnsi"/>
                <w:color w:val="010205"/>
                <w:lang w:val="en-US"/>
              </w:rPr>
              <w:t xml:space="preserve">19512.8 (0.0-not reached) </w:t>
            </w:r>
          </w:p>
        </w:tc>
      </w:tr>
      <w:tr w:rsidR="00642E35" w:rsidRPr="001010A3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lang w:val="en-US"/>
              </w:rPr>
            </w:pPr>
            <w:proofErr w:type="spellStart"/>
            <w:r w:rsidRPr="002F4B2D">
              <w:t>Frail</w:t>
            </w:r>
            <w:proofErr w:type="spellEnd"/>
            <w:r w:rsidRPr="002F4B2D">
              <w:t xml:space="preserve"> </w:t>
            </w:r>
            <w:r w:rsidRPr="002F4B2D">
              <w:rPr>
                <w:lang w:val="en-US"/>
              </w:rPr>
              <w:t>“</w:t>
            </w:r>
            <w:proofErr w:type="spellStart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mFI</w:t>
            </w:r>
            <w:proofErr w:type="spellEnd"/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=2</w:t>
            </w:r>
            <w:r w:rsidRPr="002F4B2D">
              <w:rPr>
                <w:lang w:val="en-US"/>
              </w:rPr>
              <w:t>”:</w:t>
            </w:r>
          </w:p>
        </w:tc>
        <w:tc>
          <w:tcPr>
            <w:tcW w:w="0" w:type="auto"/>
          </w:tcPr>
          <w:p w:rsidR="00642E35" w:rsidRPr="00C67742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1.2 (0.1-17.4)</w:t>
            </w:r>
          </w:p>
        </w:tc>
        <w:tc>
          <w:tcPr>
            <w:tcW w:w="0" w:type="auto"/>
          </w:tcPr>
          <w:p w:rsidR="00642E35" w:rsidRPr="00C67742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0.5 (0.0-9.6)</w:t>
            </w:r>
          </w:p>
        </w:tc>
        <w:tc>
          <w:tcPr>
            <w:tcW w:w="0" w:type="auto"/>
          </w:tcPr>
          <w:p w:rsidR="00642E35" w:rsidRPr="00C80BD1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  <w:tc>
          <w:tcPr>
            <w:tcW w:w="0" w:type="auto"/>
          </w:tcPr>
          <w:p w:rsidR="00642E35" w:rsidRPr="0084417B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31456995.0 (0.0-not reached)</w:t>
            </w:r>
          </w:p>
        </w:tc>
        <w:tc>
          <w:tcPr>
            <w:tcW w:w="0" w:type="auto"/>
          </w:tcPr>
          <w:p w:rsidR="00642E35" w:rsidRPr="00BE0F0A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20757895.3 (0.0-not reached)</w:t>
            </w:r>
          </w:p>
        </w:tc>
        <w:tc>
          <w:tcPr>
            <w:tcW w:w="0" w:type="auto"/>
          </w:tcPr>
          <w:p w:rsidR="00642E35" w:rsidRPr="005571A4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9.7 (9.7-142.8)</w:t>
            </w:r>
          </w:p>
        </w:tc>
        <w:tc>
          <w:tcPr>
            <w:tcW w:w="0" w:type="auto"/>
          </w:tcPr>
          <w:p w:rsidR="00642E35" w:rsidRPr="002D4A2F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 xml:space="preserve">321150850.7 </w:t>
            </w:r>
            <w:r w:rsidRPr="0093767B">
              <w:rPr>
                <w:rFonts w:cstheme="minorHAnsi"/>
                <w:color w:val="010205"/>
                <w:lang w:val="en-US"/>
              </w:rPr>
              <w:t>(0.0-not reached)</w:t>
            </w:r>
          </w:p>
        </w:tc>
        <w:tc>
          <w:tcPr>
            <w:tcW w:w="1810" w:type="dxa"/>
          </w:tcPr>
          <w:p w:rsidR="00642E35" w:rsidRPr="001010A3" w:rsidRDefault="00642E35" w:rsidP="002C7577">
            <w:pPr>
              <w:spacing w:line="360" w:lineRule="auto"/>
              <w:rPr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</w:tr>
      <w:tr w:rsidR="00642E35" w:rsidRPr="001010A3" w:rsidTr="002C7577">
        <w:trPr>
          <w:gridAfter w:val="4"/>
          <w:wAfter w:w="6536" w:type="dxa"/>
        </w:trPr>
        <w:tc>
          <w:tcPr>
            <w:tcW w:w="1186" w:type="dxa"/>
          </w:tcPr>
          <w:p w:rsidR="00642E35" w:rsidRPr="002F4B2D" w:rsidRDefault="00642E35" w:rsidP="002C7577">
            <w:pPr>
              <w:spacing w:line="360" w:lineRule="auto"/>
              <w:rPr>
                <w:highlight w:val="yellow"/>
                <w:lang w:val="en-US"/>
              </w:rPr>
            </w:pPr>
            <w:r w:rsidRPr="002F4B2D">
              <w:rPr>
                <w:lang w:val="en-US"/>
              </w:rPr>
              <w:t>Severely frail “</w:t>
            </w:r>
            <w:r w:rsidRPr="002F4B2D">
              <w:rPr>
                <w:rFonts w:ascii="Calibri" w:eastAsia="Times New Roman" w:hAnsi="Calibri" w:cs="Calibri"/>
                <w:color w:val="000000"/>
                <w:lang w:val="en-US"/>
              </w:rPr>
              <w:t>mFI≥3”</w:t>
            </w:r>
            <w:r w:rsidRPr="00C67742">
              <w:rPr>
                <w:lang w:val="en-US"/>
              </w:rPr>
              <w:t>:</w:t>
            </w:r>
          </w:p>
        </w:tc>
        <w:tc>
          <w:tcPr>
            <w:tcW w:w="0" w:type="auto"/>
          </w:tcPr>
          <w:p w:rsidR="00642E35" w:rsidRPr="00C67742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4.6 (0.3-66.9)</w:t>
            </w:r>
          </w:p>
        </w:tc>
        <w:tc>
          <w:tcPr>
            <w:tcW w:w="0" w:type="auto"/>
          </w:tcPr>
          <w:p w:rsidR="00642E35" w:rsidRPr="00C67742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4.1 (0.2-76.7)</w:t>
            </w:r>
          </w:p>
        </w:tc>
        <w:tc>
          <w:tcPr>
            <w:tcW w:w="0" w:type="auto"/>
          </w:tcPr>
          <w:p w:rsidR="00642E35" w:rsidRPr="00C80BD1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  <w:tc>
          <w:tcPr>
            <w:tcW w:w="0" w:type="auto"/>
          </w:tcPr>
          <w:p w:rsidR="00642E35" w:rsidRPr="0084417B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133931086.7 (0.0-not reached)</w:t>
            </w:r>
          </w:p>
        </w:tc>
        <w:tc>
          <w:tcPr>
            <w:tcW w:w="0" w:type="auto"/>
          </w:tcPr>
          <w:p w:rsidR="00642E35" w:rsidRPr="00BE0F0A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380460017.8 (0.0-not reached)</w:t>
            </w:r>
          </w:p>
        </w:tc>
        <w:tc>
          <w:tcPr>
            <w:tcW w:w="0" w:type="auto"/>
          </w:tcPr>
          <w:p w:rsidR="00642E35" w:rsidRPr="005571A4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6.5 (6.5-91.8)</w:t>
            </w:r>
          </w:p>
        </w:tc>
        <w:tc>
          <w:tcPr>
            <w:tcW w:w="0" w:type="auto"/>
          </w:tcPr>
          <w:p w:rsidR="00642E35" w:rsidRPr="002D4A2F" w:rsidRDefault="00642E35" w:rsidP="002C757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 xml:space="preserve">951476944.5 </w:t>
            </w:r>
            <w:r w:rsidRPr="0093767B">
              <w:rPr>
                <w:rFonts w:cstheme="minorHAnsi"/>
                <w:color w:val="010205"/>
                <w:lang w:val="en-US"/>
              </w:rPr>
              <w:t>(0.0-not reached)</w:t>
            </w:r>
          </w:p>
        </w:tc>
        <w:tc>
          <w:tcPr>
            <w:tcW w:w="1810" w:type="dxa"/>
          </w:tcPr>
          <w:p w:rsidR="00642E35" w:rsidRPr="001010A3" w:rsidRDefault="00642E35" w:rsidP="002C7577">
            <w:pPr>
              <w:spacing w:line="360" w:lineRule="auto"/>
              <w:rPr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0.0 (0.0-not reached)</w:t>
            </w:r>
          </w:p>
        </w:tc>
      </w:tr>
    </w:tbl>
    <w:p w:rsidR="00642E35" w:rsidRDefault="00642E35" w:rsidP="00642E35">
      <w:pPr>
        <w:rPr>
          <w:lang w:val="en-US"/>
        </w:rPr>
      </w:pPr>
      <w:r w:rsidRPr="00CF4726">
        <w:rPr>
          <w:lang w:val="en-US"/>
        </w:rPr>
        <w:t xml:space="preserve">Odds ratios (ORs) and </w:t>
      </w:r>
      <w:r>
        <w:rPr>
          <w:lang w:val="en-US"/>
        </w:rPr>
        <w:t>confidence interval (</w:t>
      </w:r>
      <w:proofErr w:type="gramStart"/>
      <w:r w:rsidRPr="00CF4726">
        <w:rPr>
          <w:lang w:val="en-US"/>
        </w:rPr>
        <w:t>CI</w:t>
      </w:r>
      <w:r>
        <w:rPr>
          <w:lang w:val="en-US"/>
        </w:rPr>
        <w:t>95%</w:t>
      </w:r>
      <w:proofErr w:type="gramEnd"/>
      <w:r>
        <w:rPr>
          <w:lang w:val="en-US"/>
        </w:rPr>
        <w:t>)</w:t>
      </w:r>
      <w:r w:rsidRPr="00CF4726">
        <w:rPr>
          <w:lang w:val="en-US"/>
        </w:rPr>
        <w:t xml:space="preserve"> for </w:t>
      </w:r>
      <w:r>
        <w:rPr>
          <w:lang w:val="en-US"/>
        </w:rPr>
        <w:t>selected outcome measurements</w:t>
      </w:r>
      <w:r w:rsidRPr="00CF4726">
        <w:rPr>
          <w:lang w:val="en-US"/>
        </w:rPr>
        <w:t xml:space="preserve">. The risk estimates </w:t>
      </w:r>
      <w:proofErr w:type="gramStart"/>
      <w:r w:rsidRPr="00CF4726">
        <w:rPr>
          <w:lang w:val="en-US"/>
        </w:rPr>
        <w:t>are adjusted</w:t>
      </w:r>
      <w:proofErr w:type="gramEnd"/>
      <w:r w:rsidRPr="00CF4726">
        <w:rPr>
          <w:lang w:val="en-US"/>
        </w:rPr>
        <w:t xml:space="preserve"> for</w:t>
      </w:r>
      <w:r>
        <w:rPr>
          <w:lang w:val="en-US"/>
        </w:rPr>
        <w:t xml:space="preserve"> age, </w:t>
      </w:r>
      <w:r w:rsidRPr="00CF4726">
        <w:rPr>
          <w:lang w:val="en-US"/>
        </w:rPr>
        <w:t>sex</w:t>
      </w:r>
      <w:r>
        <w:rPr>
          <w:lang w:val="en-US"/>
        </w:rPr>
        <w:t>, tumor and PTBE volume categories</w:t>
      </w:r>
      <w:r w:rsidRPr="00CF4726">
        <w:rPr>
          <w:lang w:val="en-US"/>
        </w:rPr>
        <w:t>.</w:t>
      </w:r>
      <w:r>
        <w:rPr>
          <w:lang w:val="en-US"/>
        </w:rPr>
        <w:t xml:space="preserve"> </w:t>
      </w:r>
      <w:r w:rsidRPr="00CF4726">
        <w:rPr>
          <w:lang w:val="en-US"/>
        </w:rPr>
        <w:t>Italics indicate statistically significant results</w:t>
      </w:r>
      <w:r>
        <w:rPr>
          <w:lang w:val="en-US"/>
        </w:rPr>
        <w:t xml:space="preserve">. *Data not available for all patients. </w:t>
      </w:r>
    </w:p>
    <w:p w:rsidR="00642E35" w:rsidRPr="002D4A2F" w:rsidRDefault="00642E35" w:rsidP="00642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42E35" w:rsidRPr="002D4A2F" w:rsidRDefault="00642E35" w:rsidP="00642E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A5593B" w:rsidRPr="00642E35" w:rsidRDefault="00A5593B">
      <w:pPr>
        <w:rPr>
          <w:lang w:val="en-US"/>
        </w:rPr>
      </w:pPr>
    </w:p>
    <w:sectPr w:rsidR="00A5593B" w:rsidRPr="00642E35" w:rsidSect="00642E35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35"/>
    <w:rsid w:val="00642E35"/>
    <w:rsid w:val="00A5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52E17-8E90-44BC-8D4F-44DD683B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2E35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42E35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2024-06-24T17:35:00Z</dcterms:created>
  <dcterms:modified xsi:type="dcterms:W3CDTF">2024-06-24T17:36:00Z</dcterms:modified>
</cp:coreProperties>
</file>