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94F9D" w14:textId="517B90D4" w:rsidR="00DB4920" w:rsidRPr="00CC7B6C" w:rsidRDefault="00000000" w:rsidP="00203034">
      <w:pPr>
        <w:rPr>
          <w:rFonts w:ascii="Times New Roman" w:hAnsi="Times New Roman" w:cs="Times New Roman"/>
          <w:b/>
          <w:bCs/>
          <w:szCs w:val="22"/>
        </w:rPr>
      </w:pPr>
      <w:bookmarkStart w:id="0" w:name="_Hlk165454703"/>
      <w:r w:rsidRPr="00CC7B6C">
        <w:rPr>
          <w:rFonts w:ascii="Times New Roman" w:hAnsi="Times New Roman" w:cs="Times New Roman"/>
          <w:b/>
          <w:bCs/>
          <w:szCs w:val="22"/>
        </w:rPr>
        <w:t xml:space="preserve">Online Resource </w:t>
      </w:r>
      <w:bookmarkEnd w:id="0"/>
      <w:r w:rsidR="0001094B">
        <w:rPr>
          <w:rFonts w:ascii="Times New Roman" w:hAnsi="Times New Roman" w:cs="Times New Roman"/>
          <w:b/>
          <w:bCs/>
          <w:szCs w:val="22"/>
        </w:rPr>
        <w:t>2</w:t>
      </w:r>
    </w:p>
    <w:p w14:paraId="2FDC2A07" w14:textId="77777777" w:rsidR="00A45F39" w:rsidRDefault="00A45F39" w:rsidP="00C90F8F">
      <w:pPr>
        <w:rPr>
          <w:rFonts w:ascii="Times New Roman" w:hAnsi="Times New Roman" w:cs="Times New Roman"/>
          <w:sz w:val="20"/>
          <w:szCs w:val="20"/>
        </w:rPr>
      </w:pPr>
    </w:p>
    <w:p w14:paraId="0B1A2A46" w14:textId="14B97955" w:rsidR="00C90F8F" w:rsidRPr="008A13BA"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 xml:space="preserve">Article title: Age-independent Benefits of Postoperative Rehabilitation </w:t>
      </w:r>
      <w:r>
        <w:rPr>
          <w:rFonts w:ascii="Times New Roman" w:hAnsi="Times New Roman" w:cs="Times New Roman"/>
          <w:sz w:val="20"/>
          <w:szCs w:val="20"/>
        </w:rPr>
        <w:t>d</w:t>
      </w:r>
      <w:r w:rsidRPr="008A13BA">
        <w:rPr>
          <w:rFonts w:ascii="Times New Roman" w:hAnsi="Times New Roman" w:cs="Times New Roman"/>
          <w:sz w:val="20"/>
          <w:szCs w:val="20"/>
        </w:rPr>
        <w:t>uring Chemoradiotherapy on Functional Outcomes and Survival in Patients with Glioblastoma</w:t>
      </w:r>
    </w:p>
    <w:p w14:paraId="05D474A2" w14:textId="77777777" w:rsidR="00C90F8F" w:rsidRPr="008A13BA" w:rsidRDefault="00C90F8F" w:rsidP="00C90F8F">
      <w:pPr>
        <w:rPr>
          <w:rFonts w:ascii="Times New Roman" w:hAnsi="Times New Roman" w:cs="Times New Roman"/>
          <w:sz w:val="20"/>
          <w:szCs w:val="20"/>
        </w:rPr>
      </w:pPr>
    </w:p>
    <w:p w14:paraId="428B1CFB" w14:textId="77777777" w:rsidR="00C90F8F" w:rsidRPr="008A13BA"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Journal name: Journal of Neuro-Oncology</w:t>
      </w:r>
    </w:p>
    <w:p w14:paraId="6DE39083" w14:textId="77777777" w:rsidR="00C90F8F" w:rsidRPr="008A13BA" w:rsidRDefault="00C90F8F" w:rsidP="00C90F8F">
      <w:pPr>
        <w:rPr>
          <w:rFonts w:ascii="Times New Roman" w:hAnsi="Times New Roman" w:cs="Times New Roman"/>
          <w:sz w:val="20"/>
          <w:szCs w:val="20"/>
        </w:rPr>
      </w:pPr>
    </w:p>
    <w:p w14:paraId="4E2BEECB" w14:textId="77777777" w:rsidR="00C90F8F" w:rsidRPr="008A13BA"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Author names: Keisuke Natsume</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Akira Yoshida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Harutoshi Sakakima</w:t>
      </w:r>
      <w:r w:rsidRPr="00A40AAF">
        <w:rPr>
          <w:rFonts w:ascii="Times New Roman" w:hAnsi="Times New Roman" w:cs="Times New Roman"/>
          <w:sz w:val="20"/>
          <w:szCs w:val="20"/>
          <w:vertAlign w:val="superscript"/>
        </w:rPr>
        <w:t>2</w:t>
      </w:r>
      <w:r w:rsidRPr="008A13BA">
        <w:rPr>
          <w:rFonts w:ascii="Times New Roman" w:hAnsi="Times New Roman" w:cs="Times New Roman"/>
          <w:sz w:val="20"/>
          <w:szCs w:val="20"/>
        </w:rPr>
        <w:t>, Hajime Yonezawa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Kentaro Kawamura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Shintaro Akihiro</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Ryosuke Hanaya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Megumi Shimodozono</w:t>
      </w:r>
      <w:r w:rsidRPr="00A40AAF">
        <w:rPr>
          <w:rFonts w:ascii="Times New Roman" w:hAnsi="Times New Roman" w:cs="Times New Roman"/>
          <w:sz w:val="20"/>
          <w:szCs w:val="20"/>
          <w:vertAlign w:val="superscript"/>
        </w:rPr>
        <w:t>1</w:t>
      </w:r>
    </w:p>
    <w:p w14:paraId="0674CFAB" w14:textId="77777777" w:rsidR="00C90F8F" w:rsidRPr="008A13BA" w:rsidRDefault="00C90F8F" w:rsidP="00C90F8F">
      <w:pPr>
        <w:rPr>
          <w:rFonts w:ascii="Times New Roman" w:hAnsi="Times New Roman" w:cs="Times New Roman"/>
          <w:sz w:val="20"/>
          <w:szCs w:val="20"/>
        </w:rPr>
      </w:pPr>
    </w:p>
    <w:p w14:paraId="5BF4DDBB" w14:textId="77777777" w:rsidR="00A45F39"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Affiliations:</w:t>
      </w:r>
    </w:p>
    <w:p w14:paraId="0D958C18" w14:textId="5F1B1AC4" w:rsidR="00A45F39" w:rsidRDefault="00000000"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1</w:t>
      </w:r>
      <w:r w:rsidRPr="008A13BA">
        <w:rPr>
          <w:rFonts w:ascii="Times New Roman" w:hAnsi="Times New Roman" w:cs="Times New Roman"/>
          <w:sz w:val="20"/>
          <w:szCs w:val="20"/>
        </w:rPr>
        <w:t>Department of Rehabilitation and Physical Medicine, Graduate School of Medical and Dental Sciences, Kagoshima University, Kagoshima, Japan</w:t>
      </w:r>
    </w:p>
    <w:p w14:paraId="132DCA79" w14:textId="2DDEB010" w:rsidR="00A45F39" w:rsidRDefault="00000000"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2</w:t>
      </w:r>
      <w:r w:rsidRPr="008A13BA">
        <w:rPr>
          <w:rFonts w:ascii="Times New Roman" w:hAnsi="Times New Roman" w:cs="Times New Roman"/>
          <w:sz w:val="20"/>
          <w:szCs w:val="20"/>
        </w:rPr>
        <w:t>Department of Physical Therapy, School of Health Sciences, Faculty of Medicine, Kagoshima University, Kagoshima, Japan</w:t>
      </w:r>
    </w:p>
    <w:p w14:paraId="4A4F9881" w14:textId="53152E01" w:rsidR="00C90F8F" w:rsidRPr="008A13BA" w:rsidRDefault="00000000"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3</w:t>
      </w:r>
      <w:r w:rsidRPr="008A13BA">
        <w:rPr>
          <w:rFonts w:ascii="Times New Roman" w:hAnsi="Times New Roman" w:cs="Times New Roman"/>
          <w:sz w:val="20"/>
          <w:szCs w:val="20"/>
        </w:rPr>
        <w:t>Department of Neurosurgery, Graduate School of Medical and Dental Sciences, Kagoshima University, Kagoshima, Japan</w:t>
      </w:r>
    </w:p>
    <w:p w14:paraId="6A9A6E58" w14:textId="77777777" w:rsidR="00C90F8F" w:rsidRPr="008A13BA" w:rsidRDefault="00C90F8F" w:rsidP="00C90F8F">
      <w:pPr>
        <w:rPr>
          <w:rFonts w:ascii="Times New Roman" w:hAnsi="Times New Roman" w:cs="Times New Roman"/>
          <w:sz w:val="20"/>
          <w:szCs w:val="20"/>
        </w:rPr>
      </w:pPr>
    </w:p>
    <w:p w14:paraId="300ECC19" w14:textId="2A727823" w:rsidR="00A45F39"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 xml:space="preserve">Corresponding author: Akira Yoshida, MD, PhD, Department of Rehabilitation and Physical Medicine, Kagoshima University Graduate School of Medical and Dental Sciences, 8-35-1 Sakuragaoka, Kagoshima 890-8520, Japan </w:t>
      </w:r>
    </w:p>
    <w:p w14:paraId="3D53F609" w14:textId="5912D7BA" w:rsidR="00A45F39"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Phone:</w:t>
      </w:r>
      <w:r>
        <w:rPr>
          <w:rFonts w:ascii="Times New Roman" w:hAnsi="Times New Roman" w:cs="Times New Roman"/>
          <w:sz w:val="20"/>
          <w:szCs w:val="20"/>
        </w:rPr>
        <w:tab/>
      </w:r>
      <w:r w:rsidRPr="008A13BA">
        <w:rPr>
          <w:rFonts w:ascii="Times New Roman" w:hAnsi="Times New Roman" w:cs="Times New Roman"/>
          <w:sz w:val="20"/>
          <w:szCs w:val="20"/>
        </w:rPr>
        <w:t>+81-99-275-5339</w:t>
      </w:r>
    </w:p>
    <w:p w14:paraId="253334AF" w14:textId="34E35B17" w:rsidR="00A45F39"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Fax:</w:t>
      </w:r>
      <w:r>
        <w:rPr>
          <w:rFonts w:ascii="Times New Roman" w:hAnsi="Times New Roman" w:cs="Times New Roman"/>
          <w:sz w:val="20"/>
          <w:szCs w:val="20"/>
        </w:rPr>
        <w:tab/>
      </w:r>
      <w:r>
        <w:rPr>
          <w:rFonts w:ascii="Times New Roman" w:hAnsi="Times New Roman" w:cs="Times New Roman"/>
          <w:sz w:val="20"/>
          <w:szCs w:val="20"/>
        </w:rPr>
        <w:tab/>
      </w:r>
      <w:r w:rsidRPr="008A13BA">
        <w:rPr>
          <w:rFonts w:ascii="Times New Roman" w:hAnsi="Times New Roman" w:cs="Times New Roman"/>
          <w:sz w:val="20"/>
          <w:szCs w:val="20"/>
        </w:rPr>
        <w:t>+81-99-275-1273</w:t>
      </w:r>
    </w:p>
    <w:p w14:paraId="41880BDF" w14:textId="1F78302B" w:rsidR="00C90F8F" w:rsidRPr="008A13BA" w:rsidRDefault="00000000" w:rsidP="00C90F8F">
      <w:pPr>
        <w:rPr>
          <w:rFonts w:ascii="Times New Roman" w:hAnsi="Times New Roman" w:cs="Times New Roman"/>
          <w:sz w:val="20"/>
          <w:szCs w:val="20"/>
        </w:rPr>
      </w:pPr>
      <w:r w:rsidRPr="008A13BA">
        <w:rPr>
          <w:rFonts w:ascii="Times New Roman" w:hAnsi="Times New Roman" w:cs="Times New Roman"/>
          <w:sz w:val="20"/>
          <w:szCs w:val="20"/>
        </w:rPr>
        <w:t>E-mail: akiray@m.kufm.kagoshima-u.ac.jp</w:t>
      </w:r>
    </w:p>
    <w:p w14:paraId="1B3C450D" w14:textId="60DCA3C8" w:rsidR="00A45F39" w:rsidRDefault="00000000">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37A04562" w14:textId="69E83B11" w:rsidR="00CC7B6C" w:rsidRPr="0061032D" w:rsidRDefault="00000000" w:rsidP="00CD15DF">
      <w:pPr>
        <w:rPr>
          <w:rFonts w:ascii="Times New Roman" w:hAnsi="Times New Roman" w:cs="Times New Roman"/>
          <w:b/>
          <w:bCs/>
          <w:color w:val="000000" w:themeColor="text1"/>
          <w:szCs w:val="22"/>
        </w:rPr>
      </w:pPr>
      <w:r w:rsidRPr="0061032D">
        <w:rPr>
          <w:rFonts w:ascii="Times New Roman" w:hAnsi="Times New Roman" w:cs="Times New Roman"/>
          <w:b/>
          <w:bCs/>
          <w:color w:val="000000" w:themeColor="text1"/>
          <w:szCs w:val="22"/>
        </w:rPr>
        <w:lastRenderedPageBreak/>
        <w:t>Supplementary Explanation of Multivariate Analysis</w:t>
      </w:r>
    </w:p>
    <w:p w14:paraId="79E49B64" w14:textId="77777777" w:rsidR="006F1E69" w:rsidRDefault="006F1E69" w:rsidP="00CD15DF">
      <w:pPr>
        <w:rPr>
          <w:rFonts w:ascii="Times New Roman" w:hAnsi="Times New Roman" w:cs="Times New Roman"/>
          <w:color w:val="FF0000"/>
          <w:sz w:val="18"/>
          <w:szCs w:val="18"/>
        </w:rPr>
      </w:pPr>
    </w:p>
    <w:p w14:paraId="54CD74B6" w14:textId="2B227AF3" w:rsidR="0061032D" w:rsidRPr="00101952" w:rsidRDefault="00000000" w:rsidP="00CD15DF">
      <w:pPr>
        <w:rPr>
          <w:rFonts w:ascii="Times New Roman" w:hAnsi="Times New Roman" w:cs="Times New Roman"/>
          <w:color w:val="000000" w:themeColor="text1"/>
          <w:sz w:val="20"/>
          <w:szCs w:val="20"/>
        </w:rPr>
      </w:pPr>
      <w:r w:rsidRPr="00101952">
        <w:rPr>
          <w:rFonts w:ascii="Times New Roman" w:hAnsi="Times New Roman" w:cs="Times New Roman"/>
          <w:color w:val="000000" w:themeColor="text1"/>
          <w:sz w:val="20"/>
          <w:szCs w:val="20"/>
        </w:rPr>
        <w:t>In this study, multivariate analyses were conducted using both multiple regression and Cox proportional hazards models employing the forced entry method. This approach ensures a comprehensive evaluation of all variables selected based on their clinical relevance. These methodologies comprehensively evaluate the factors influencing discharge Barthel Index (BI) scores and overall survival (OS) in patients with glioblastoma.</w:t>
      </w:r>
    </w:p>
    <w:p w14:paraId="42D45617" w14:textId="77777777" w:rsidR="007D258C" w:rsidRPr="00101952" w:rsidRDefault="007D258C" w:rsidP="00CD15DF">
      <w:pPr>
        <w:rPr>
          <w:rFonts w:ascii="Times New Roman" w:hAnsi="Times New Roman" w:cs="Times New Roman"/>
          <w:color w:val="000000" w:themeColor="text1"/>
          <w:sz w:val="20"/>
          <w:szCs w:val="20"/>
        </w:rPr>
      </w:pPr>
    </w:p>
    <w:p w14:paraId="66F78519" w14:textId="00D97A40" w:rsidR="00E74E8E" w:rsidRPr="006A3D85" w:rsidRDefault="00000000" w:rsidP="00E74E8E">
      <w:pPr>
        <w:rPr>
          <w:rFonts w:ascii="Times New Roman" w:hAnsi="Times New Roman" w:cs="Times New Roman"/>
          <w:b/>
          <w:bCs/>
          <w:sz w:val="20"/>
          <w:szCs w:val="20"/>
        </w:rPr>
      </w:pPr>
      <w:r w:rsidRPr="006A3D85">
        <w:rPr>
          <w:rFonts w:ascii="Times New Roman" w:hAnsi="Times New Roman" w:cs="Times New Roman"/>
          <w:b/>
          <w:bCs/>
          <w:sz w:val="20"/>
          <w:szCs w:val="20"/>
        </w:rPr>
        <w:t xml:space="preserve">Independent </w:t>
      </w:r>
      <w:r w:rsidR="006A3D85" w:rsidRPr="006A3D85">
        <w:rPr>
          <w:rFonts w:ascii="Times New Roman" w:hAnsi="Times New Roman" w:cs="Times New Roman" w:hint="eastAsia"/>
          <w:b/>
          <w:bCs/>
          <w:sz w:val="20"/>
          <w:szCs w:val="20"/>
        </w:rPr>
        <w:t>v</w:t>
      </w:r>
      <w:r w:rsidRPr="006A3D85">
        <w:rPr>
          <w:rFonts w:ascii="Times New Roman" w:hAnsi="Times New Roman" w:cs="Times New Roman"/>
          <w:b/>
          <w:bCs/>
          <w:sz w:val="20"/>
          <w:szCs w:val="20"/>
        </w:rPr>
        <w:t xml:space="preserve">ariables for </w:t>
      </w:r>
      <w:r w:rsidR="006A3D85" w:rsidRPr="006A3D85">
        <w:rPr>
          <w:rFonts w:ascii="Times New Roman" w:hAnsi="Times New Roman" w:cs="Times New Roman" w:hint="eastAsia"/>
          <w:b/>
          <w:bCs/>
          <w:sz w:val="20"/>
          <w:szCs w:val="20"/>
        </w:rPr>
        <w:t>mu</w:t>
      </w:r>
      <w:r w:rsidRPr="006A3D85">
        <w:rPr>
          <w:rFonts w:ascii="Times New Roman" w:hAnsi="Times New Roman" w:cs="Times New Roman"/>
          <w:b/>
          <w:bCs/>
          <w:sz w:val="20"/>
          <w:szCs w:val="20"/>
        </w:rPr>
        <w:t xml:space="preserve">ltiple </w:t>
      </w:r>
      <w:r w:rsidR="006A3D85" w:rsidRPr="006A3D85">
        <w:rPr>
          <w:rFonts w:ascii="Times New Roman" w:hAnsi="Times New Roman" w:cs="Times New Roman" w:hint="eastAsia"/>
          <w:b/>
          <w:bCs/>
          <w:sz w:val="20"/>
          <w:szCs w:val="20"/>
        </w:rPr>
        <w:t>r</w:t>
      </w:r>
      <w:r w:rsidRPr="006A3D85">
        <w:rPr>
          <w:rFonts w:ascii="Times New Roman" w:hAnsi="Times New Roman" w:cs="Times New Roman"/>
          <w:b/>
          <w:bCs/>
          <w:sz w:val="20"/>
          <w:szCs w:val="20"/>
        </w:rPr>
        <w:t xml:space="preserve">egression </w:t>
      </w:r>
      <w:r w:rsidR="006A3D85" w:rsidRPr="006A3D85">
        <w:rPr>
          <w:rFonts w:ascii="Times New Roman" w:hAnsi="Times New Roman" w:cs="Times New Roman" w:hint="eastAsia"/>
          <w:b/>
          <w:bCs/>
          <w:sz w:val="20"/>
          <w:szCs w:val="20"/>
        </w:rPr>
        <w:t>a</w:t>
      </w:r>
      <w:r w:rsidRPr="006A3D85">
        <w:rPr>
          <w:rFonts w:ascii="Times New Roman" w:hAnsi="Times New Roman" w:cs="Times New Roman"/>
          <w:b/>
          <w:bCs/>
          <w:sz w:val="20"/>
          <w:szCs w:val="20"/>
        </w:rPr>
        <w:t>nalysis</w:t>
      </w:r>
    </w:p>
    <w:p w14:paraId="39D0D791" w14:textId="32338EF1"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The independent variables used in the multiple regression analysis and their corresponding scales are as follows:</w:t>
      </w:r>
    </w:p>
    <w:p w14:paraId="1BEAB0CB" w14:textId="3525CC06"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1</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Extent of Resection: Total/subtotal vs. partial resection/biopsy (Categorical scale)</w:t>
      </w:r>
    </w:p>
    <w:p w14:paraId="158D0A6E" w14:textId="2A706C66"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2</w:t>
      </w:r>
      <w:r w:rsidR="00641741" w:rsidRPr="00101952">
        <w:rPr>
          <w:rFonts w:ascii="Times New Roman" w:hAnsi="Times New Roman" w:cs="Times New Roman"/>
          <w:sz w:val="20"/>
          <w:szCs w:val="20"/>
        </w:rPr>
        <w:tab/>
      </w:r>
      <w:proofErr w:type="spellStart"/>
      <w:r w:rsidRPr="00101952">
        <w:rPr>
          <w:rFonts w:ascii="Times New Roman" w:hAnsi="Times New Roman" w:cs="Times New Roman"/>
          <w:sz w:val="20"/>
          <w:szCs w:val="20"/>
        </w:rPr>
        <w:t>Karnofsky</w:t>
      </w:r>
      <w:proofErr w:type="spellEnd"/>
      <w:r w:rsidRPr="00101952">
        <w:rPr>
          <w:rFonts w:ascii="Times New Roman" w:hAnsi="Times New Roman" w:cs="Times New Roman"/>
          <w:sz w:val="20"/>
          <w:szCs w:val="20"/>
        </w:rPr>
        <w:t xml:space="preserve"> Performance Status at Admission: Rated from 0 to 100 (Ordinal scale)</w:t>
      </w:r>
    </w:p>
    <w:p w14:paraId="5ED5D7A7" w14:textId="1C590721"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3</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Age: Treated as a continuous variable (Continuous scale)</w:t>
      </w:r>
    </w:p>
    <w:p w14:paraId="4CBF1CA0" w14:textId="457E66BD"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4</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Fatigue during Chemoradiotherapy: Assessed according to CTCAE (Ordinal scale)</w:t>
      </w:r>
    </w:p>
    <w:p w14:paraId="5ABA02BC" w14:textId="0EA24F46"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5</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Postoperative Cognitive Dysfunction: Assessed according to CTCAE (Ordinal scale)</w:t>
      </w:r>
    </w:p>
    <w:p w14:paraId="2D07D39E" w14:textId="2767E27B"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6</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 xml:space="preserve">Duration Until Starting Walking Training After </w:t>
      </w:r>
      <w:r w:rsidR="008A13BA" w:rsidRPr="00101952">
        <w:rPr>
          <w:rFonts w:ascii="Times New Roman" w:hAnsi="Times New Roman" w:cs="Times New Roman"/>
          <w:sz w:val="20"/>
          <w:szCs w:val="20"/>
        </w:rPr>
        <w:t>Operation</w:t>
      </w:r>
      <w:r w:rsidRPr="00101952">
        <w:rPr>
          <w:rFonts w:ascii="Times New Roman" w:hAnsi="Times New Roman" w:cs="Times New Roman"/>
          <w:sz w:val="20"/>
          <w:szCs w:val="20"/>
        </w:rPr>
        <w:t>: Within 8 days vs. after 9 days (Categorical scale)</w:t>
      </w:r>
    </w:p>
    <w:p w14:paraId="204E2EC4" w14:textId="77777777" w:rsidR="00E74E8E" w:rsidRPr="00101952" w:rsidRDefault="00E74E8E" w:rsidP="00E74E8E">
      <w:pPr>
        <w:rPr>
          <w:rFonts w:ascii="Times New Roman" w:hAnsi="Times New Roman" w:cs="Times New Roman"/>
          <w:sz w:val="20"/>
          <w:szCs w:val="20"/>
        </w:rPr>
      </w:pPr>
    </w:p>
    <w:p w14:paraId="7264CAED" w14:textId="4176ACB4" w:rsidR="00E74E8E" w:rsidRPr="00101952" w:rsidRDefault="00000000" w:rsidP="00E74E8E">
      <w:pPr>
        <w:rPr>
          <w:rFonts w:ascii="Times New Roman" w:hAnsi="Times New Roman" w:cs="Times New Roman"/>
          <w:sz w:val="20"/>
          <w:szCs w:val="20"/>
        </w:rPr>
      </w:pPr>
      <w:r w:rsidRPr="006A3D85">
        <w:rPr>
          <w:rFonts w:ascii="Times New Roman" w:hAnsi="Times New Roman" w:cs="Times New Roman"/>
          <w:b/>
          <w:bCs/>
          <w:sz w:val="20"/>
          <w:szCs w:val="20"/>
        </w:rPr>
        <w:t xml:space="preserve">Independent </w:t>
      </w:r>
      <w:r w:rsidR="00CB161C">
        <w:rPr>
          <w:rFonts w:ascii="Times New Roman" w:hAnsi="Times New Roman" w:cs="Times New Roman" w:hint="eastAsia"/>
          <w:b/>
          <w:bCs/>
          <w:sz w:val="20"/>
          <w:szCs w:val="20"/>
        </w:rPr>
        <w:t>v</w:t>
      </w:r>
      <w:r w:rsidRPr="006A3D85">
        <w:rPr>
          <w:rFonts w:ascii="Times New Roman" w:hAnsi="Times New Roman" w:cs="Times New Roman"/>
          <w:b/>
          <w:bCs/>
          <w:sz w:val="20"/>
          <w:szCs w:val="20"/>
        </w:rPr>
        <w:t xml:space="preserve">ariables for Cox </w:t>
      </w:r>
      <w:r w:rsidR="00CB161C">
        <w:rPr>
          <w:rFonts w:ascii="Times New Roman" w:hAnsi="Times New Roman" w:cs="Times New Roman" w:hint="eastAsia"/>
          <w:b/>
          <w:bCs/>
          <w:sz w:val="20"/>
          <w:szCs w:val="20"/>
        </w:rPr>
        <w:t>p</w:t>
      </w:r>
      <w:r w:rsidRPr="006A3D85">
        <w:rPr>
          <w:rFonts w:ascii="Times New Roman" w:hAnsi="Times New Roman" w:cs="Times New Roman"/>
          <w:b/>
          <w:bCs/>
          <w:sz w:val="20"/>
          <w:szCs w:val="20"/>
        </w:rPr>
        <w:t xml:space="preserve">roportional </w:t>
      </w:r>
      <w:r w:rsidR="00CB161C">
        <w:rPr>
          <w:rFonts w:ascii="Times New Roman" w:hAnsi="Times New Roman" w:cs="Times New Roman" w:hint="eastAsia"/>
          <w:b/>
          <w:bCs/>
          <w:sz w:val="20"/>
          <w:szCs w:val="20"/>
        </w:rPr>
        <w:t>h</w:t>
      </w:r>
      <w:r w:rsidRPr="006A3D85">
        <w:rPr>
          <w:rFonts w:ascii="Times New Roman" w:hAnsi="Times New Roman" w:cs="Times New Roman"/>
          <w:b/>
          <w:bCs/>
          <w:sz w:val="20"/>
          <w:szCs w:val="20"/>
        </w:rPr>
        <w:t xml:space="preserve">azards </w:t>
      </w:r>
      <w:r w:rsidR="00CB161C">
        <w:rPr>
          <w:rFonts w:ascii="Times New Roman" w:hAnsi="Times New Roman" w:cs="Times New Roman" w:hint="eastAsia"/>
          <w:b/>
          <w:bCs/>
          <w:sz w:val="20"/>
          <w:szCs w:val="20"/>
        </w:rPr>
        <w:t>a</w:t>
      </w:r>
      <w:r w:rsidRPr="006A3D85">
        <w:rPr>
          <w:rFonts w:ascii="Times New Roman" w:hAnsi="Times New Roman" w:cs="Times New Roman"/>
          <w:b/>
          <w:bCs/>
          <w:sz w:val="20"/>
          <w:szCs w:val="20"/>
        </w:rPr>
        <w:t>nalysi</w:t>
      </w:r>
      <w:r w:rsidRPr="00101952">
        <w:rPr>
          <w:rFonts w:ascii="Times New Roman" w:hAnsi="Times New Roman" w:cs="Times New Roman"/>
          <w:sz w:val="20"/>
          <w:szCs w:val="20"/>
        </w:rPr>
        <w:t>s</w:t>
      </w:r>
    </w:p>
    <w:p w14:paraId="1FC9C901" w14:textId="5D0C8DF0"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The independent variables used in the Cox proportional hazards analysis and their corresponding scales are as follows:</w:t>
      </w:r>
    </w:p>
    <w:p w14:paraId="41487D15" w14:textId="6D1BDBFE"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1</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Extent of Resection: Total/subtotal vs. partial resection/biopsy (Categorical scale)</w:t>
      </w:r>
    </w:p>
    <w:p w14:paraId="14F363D3" w14:textId="35FB5993"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2</w:t>
      </w:r>
      <w:r w:rsidR="00641741" w:rsidRPr="00101952">
        <w:rPr>
          <w:rFonts w:ascii="Times New Roman" w:hAnsi="Times New Roman" w:cs="Times New Roman"/>
          <w:sz w:val="20"/>
          <w:szCs w:val="20"/>
        </w:rPr>
        <w:tab/>
      </w:r>
      <w:proofErr w:type="spellStart"/>
      <w:r w:rsidRPr="00101952">
        <w:rPr>
          <w:rFonts w:ascii="Times New Roman" w:hAnsi="Times New Roman" w:cs="Times New Roman"/>
          <w:sz w:val="20"/>
          <w:szCs w:val="20"/>
        </w:rPr>
        <w:t>Karnofsky</w:t>
      </w:r>
      <w:proofErr w:type="spellEnd"/>
      <w:r w:rsidRPr="00101952">
        <w:rPr>
          <w:rFonts w:ascii="Times New Roman" w:hAnsi="Times New Roman" w:cs="Times New Roman"/>
          <w:sz w:val="20"/>
          <w:szCs w:val="20"/>
        </w:rPr>
        <w:t xml:space="preserve"> Performance Status at Admission: Rated from 0 to 100 (Ordinal scale)</w:t>
      </w:r>
    </w:p>
    <w:p w14:paraId="58495D48" w14:textId="6E5FF8D8"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3</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Age: Treated as a continuous variable (Continuous scale)</w:t>
      </w:r>
    </w:p>
    <w:p w14:paraId="118C85E0" w14:textId="3E94FDDC"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4</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Fatigue during Chemoradiotherapy: Assessed according to CTCAE (Ordinal scale)</w:t>
      </w:r>
    </w:p>
    <w:p w14:paraId="56F8995F" w14:textId="2C6A9E95"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5</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Postoperative Cognitive Dysfunction: Assessed according to CTCAE (Ordinal scale)</w:t>
      </w:r>
    </w:p>
    <w:p w14:paraId="1A20B7CB" w14:textId="7D94C16F" w:rsidR="00E74E8E" w:rsidRPr="00101952" w:rsidRDefault="00000000" w:rsidP="00E74E8E">
      <w:pPr>
        <w:rPr>
          <w:rFonts w:ascii="Times New Roman" w:hAnsi="Times New Roman" w:cs="Times New Roman"/>
          <w:sz w:val="20"/>
          <w:szCs w:val="20"/>
        </w:rPr>
      </w:pPr>
      <w:r w:rsidRPr="00101952">
        <w:rPr>
          <w:rFonts w:ascii="Times New Roman" w:hAnsi="Times New Roman" w:cs="Times New Roman"/>
          <w:sz w:val="20"/>
          <w:szCs w:val="20"/>
        </w:rPr>
        <w:t>6</w:t>
      </w:r>
      <w:r w:rsidR="00641741" w:rsidRPr="00101952">
        <w:rPr>
          <w:rFonts w:ascii="Times New Roman" w:hAnsi="Times New Roman" w:cs="Times New Roman"/>
          <w:sz w:val="20"/>
          <w:szCs w:val="20"/>
        </w:rPr>
        <w:tab/>
      </w:r>
      <w:r w:rsidRPr="00101952">
        <w:rPr>
          <w:rFonts w:ascii="Times New Roman" w:hAnsi="Times New Roman" w:cs="Times New Roman"/>
          <w:sz w:val="20"/>
          <w:szCs w:val="20"/>
        </w:rPr>
        <w:t>BI at Discharge: Assessed at discharge (Ordinal scale)</w:t>
      </w:r>
    </w:p>
    <w:p w14:paraId="62611BD0" w14:textId="77777777" w:rsidR="0061032D" w:rsidRPr="00101952" w:rsidRDefault="0061032D" w:rsidP="00CD15DF">
      <w:pPr>
        <w:rPr>
          <w:rFonts w:ascii="Times New Roman" w:hAnsi="Times New Roman" w:cs="Times New Roman"/>
          <w:sz w:val="20"/>
          <w:szCs w:val="20"/>
        </w:rPr>
      </w:pPr>
    </w:p>
    <w:p w14:paraId="7558E617" w14:textId="617DF0E0" w:rsidR="00970149" w:rsidRDefault="00000000" w:rsidP="00CD15DF">
      <w:pPr>
        <w:rPr>
          <w:rFonts w:ascii="Times New Roman" w:hAnsi="Times New Roman" w:cs="Times New Roman"/>
          <w:b/>
          <w:bCs/>
          <w:sz w:val="20"/>
          <w:szCs w:val="20"/>
        </w:rPr>
      </w:pPr>
      <w:r w:rsidRPr="00CB161C">
        <w:rPr>
          <w:rFonts w:ascii="Times New Roman" w:hAnsi="Times New Roman" w:cs="Times New Roman"/>
          <w:b/>
          <w:bCs/>
          <w:sz w:val="20"/>
          <w:szCs w:val="20"/>
        </w:rPr>
        <w:t xml:space="preserve">Selection of </w:t>
      </w:r>
      <w:r w:rsidR="00CB161C">
        <w:rPr>
          <w:rFonts w:ascii="Times New Roman" w:hAnsi="Times New Roman" w:cs="Times New Roman" w:hint="eastAsia"/>
          <w:b/>
          <w:bCs/>
          <w:sz w:val="20"/>
          <w:szCs w:val="20"/>
        </w:rPr>
        <w:t>i</w:t>
      </w:r>
      <w:r w:rsidRPr="00CB161C">
        <w:rPr>
          <w:rFonts w:ascii="Times New Roman" w:hAnsi="Times New Roman" w:cs="Times New Roman"/>
          <w:b/>
          <w:bCs/>
          <w:sz w:val="20"/>
          <w:szCs w:val="20"/>
        </w:rPr>
        <w:t xml:space="preserve">ndependent </w:t>
      </w:r>
      <w:r w:rsidR="00CB161C">
        <w:rPr>
          <w:rFonts w:ascii="Times New Roman" w:hAnsi="Times New Roman" w:cs="Times New Roman" w:hint="eastAsia"/>
          <w:b/>
          <w:bCs/>
          <w:sz w:val="20"/>
          <w:szCs w:val="20"/>
        </w:rPr>
        <w:t>v</w:t>
      </w:r>
      <w:r w:rsidRPr="00CB161C">
        <w:rPr>
          <w:rFonts w:ascii="Times New Roman" w:hAnsi="Times New Roman" w:cs="Times New Roman"/>
          <w:b/>
          <w:bCs/>
          <w:sz w:val="20"/>
          <w:szCs w:val="20"/>
        </w:rPr>
        <w:t>ariables</w:t>
      </w:r>
    </w:p>
    <w:p w14:paraId="54C58DB1" w14:textId="463F2F88" w:rsidR="00E74E8E" w:rsidRPr="00101952" w:rsidRDefault="00000000" w:rsidP="00CD15DF">
      <w:pPr>
        <w:rPr>
          <w:rFonts w:ascii="Times New Roman" w:hAnsi="Times New Roman" w:cs="Times New Roman"/>
          <w:sz w:val="20"/>
          <w:szCs w:val="20"/>
        </w:rPr>
      </w:pPr>
      <w:r w:rsidRPr="00101952">
        <w:rPr>
          <w:rFonts w:ascii="Times New Roman" w:hAnsi="Times New Roman" w:cs="Times New Roman"/>
          <w:sz w:val="20"/>
          <w:szCs w:val="20"/>
        </w:rPr>
        <w:t>Variables were chosen based on clinical relevance and prior research findings [7, 8, 24, 28, 31, 32, 36, 37]. Both older and younger groups underwent rehabilitation concurrent with treatment, showing significant improvements in activities of daily living (ADL) at discharge, with no significant differences between the groups. Follow-up assessments revealed no differences in OS. We hypothesized that ADL abilities at discharge might be associated with survival. Including the BI at discharge as an independent variable in our Cox proportional hazards model allows for a detailed analysis of how ADL improvements influence survival duration. This study addresses a gap in the existing literature regarding the impact of functional status at discharge on survival, aiming to enrich knowledge in this area.</w:t>
      </w:r>
    </w:p>
    <w:p w14:paraId="36E54903" w14:textId="42F77B88" w:rsidR="00FB312A" w:rsidRPr="00101952" w:rsidRDefault="00000000" w:rsidP="00CD15DF">
      <w:pPr>
        <w:rPr>
          <w:rFonts w:ascii="Times New Roman" w:hAnsi="Times New Roman" w:cs="Times New Roman"/>
          <w:sz w:val="20"/>
          <w:szCs w:val="20"/>
        </w:rPr>
      </w:pPr>
      <w:r w:rsidRPr="00101952">
        <w:rPr>
          <w:rFonts w:ascii="Times New Roman" w:hAnsi="Times New Roman" w:cs="Times New Roman"/>
          <w:sz w:val="20"/>
          <w:szCs w:val="20"/>
        </w:rPr>
        <w:t xml:space="preserve">Logistic regression and Cox regression models adhered to the commonly recommended rule of 10 events per predictor variable. This ensures reliability and statistical rigor, minimizing bias and variability in the results. Vittinghoff &amp; McCulloch (2007) suggest that reliability can be maintained even with fewer than 10 </w:t>
      </w:r>
      <w:r w:rsidR="00770227" w:rsidRPr="00770227">
        <w:rPr>
          <w:rFonts w:ascii="Times New Roman" w:hAnsi="Times New Roman" w:cs="Times New Roman"/>
          <w:sz w:val="20"/>
          <w:szCs w:val="20"/>
        </w:rPr>
        <w:t xml:space="preserve">events per predictor variable </w:t>
      </w:r>
      <w:r w:rsidRPr="00101952">
        <w:rPr>
          <w:rFonts w:ascii="Times New Roman" w:hAnsi="Times New Roman" w:cs="Times New Roman"/>
          <w:sz w:val="20"/>
          <w:szCs w:val="20"/>
        </w:rPr>
        <w:t>under suitable conditions. Our study exceeded this standard, providing a robust foundation for evaluating causal relationships [S1].</w:t>
      </w:r>
    </w:p>
    <w:p w14:paraId="3DD424AE" w14:textId="77777777" w:rsidR="00FB312A" w:rsidRPr="00101952" w:rsidRDefault="00FB312A" w:rsidP="00CD15DF">
      <w:pPr>
        <w:rPr>
          <w:rFonts w:ascii="Times New Roman" w:hAnsi="Times New Roman" w:cs="Times New Roman"/>
          <w:sz w:val="20"/>
          <w:szCs w:val="20"/>
        </w:rPr>
      </w:pPr>
    </w:p>
    <w:p w14:paraId="0C56C5A3" w14:textId="378E9F43" w:rsidR="00CD15DF" w:rsidRPr="00CB161C" w:rsidRDefault="00000000" w:rsidP="00CD15DF">
      <w:pPr>
        <w:rPr>
          <w:rFonts w:ascii="Times New Roman" w:hAnsi="Times New Roman" w:cs="Times New Roman"/>
          <w:b/>
          <w:bCs/>
          <w:sz w:val="20"/>
          <w:szCs w:val="20"/>
        </w:rPr>
      </w:pPr>
      <w:r w:rsidRPr="00CB161C">
        <w:rPr>
          <w:rFonts w:ascii="Times New Roman" w:hAnsi="Times New Roman" w:cs="Times New Roman"/>
          <w:b/>
          <w:bCs/>
          <w:sz w:val="20"/>
          <w:szCs w:val="20"/>
        </w:rPr>
        <w:lastRenderedPageBreak/>
        <w:t>Reference</w:t>
      </w:r>
    </w:p>
    <w:p w14:paraId="77E8C1DF" w14:textId="59F3726B" w:rsidR="00CD15DF" w:rsidRPr="00101952" w:rsidRDefault="00000000">
      <w:pPr>
        <w:rPr>
          <w:rFonts w:ascii="Times New Roman" w:hAnsi="Times New Roman" w:cs="Times New Roman"/>
          <w:sz w:val="20"/>
          <w:szCs w:val="20"/>
        </w:rPr>
      </w:pPr>
      <w:r w:rsidRPr="00101952">
        <w:rPr>
          <w:rFonts w:ascii="Times New Roman" w:hAnsi="Times New Roman" w:cs="Times New Roman"/>
          <w:sz w:val="20"/>
          <w:szCs w:val="20"/>
        </w:rPr>
        <w:t xml:space="preserve">[S1] Vittinghoff E, McCulloch CE (2007) Relaxing the </w:t>
      </w:r>
      <w:r w:rsidR="00A87F3C" w:rsidRPr="00101952">
        <w:rPr>
          <w:rFonts w:ascii="Times New Roman" w:hAnsi="Times New Roman" w:cs="Times New Roman"/>
          <w:sz w:val="20"/>
          <w:szCs w:val="20"/>
        </w:rPr>
        <w:t xml:space="preserve">rule of ten events per variable in logistic </w:t>
      </w:r>
      <w:r w:rsidRPr="00101952">
        <w:rPr>
          <w:rFonts w:ascii="Times New Roman" w:hAnsi="Times New Roman" w:cs="Times New Roman"/>
          <w:sz w:val="20"/>
          <w:szCs w:val="20"/>
        </w:rPr>
        <w:t xml:space="preserve">and Cox </w:t>
      </w:r>
      <w:r w:rsidR="00A87F3C" w:rsidRPr="00101952">
        <w:rPr>
          <w:rFonts w:ascii="Times New Roman" w:hAnsi="Times New Roman" w:cs="Times New Roman"/>
          <w:sz w:val="20"/>
          <w:szCs w:val="20"/>
        </w:rPr>
        <w:t>r</w:t>
      </w:r>
      <w:r w:rsidRPr="00101952">
        <w:rPr>
          <w:rFonts w:ascii="Times New Roman" w:hAnsi="Times New Roman" w:cs="Times New Roman"/>
          <w:sz w:val="20"/>
          <w:szCs w:val="20"/>
        </w:rPr>
        <w:t>egression. Am J Epidemiol 165</w:t>
      </w:r>
      <w:r w:rsidR="00A87F3C" w:rsidRPr="00101952">
        <w:rPr>
          <w:rFonts w:ascii="Times New Roman" w:hAnsi="Times New Roman" w:cs="Times New Roman"/>
          <w:sz w:val="20"/>
          <w:szCs w:val="20"/>
        </w:rPr>
        <w:t>:</w:t>
      </w:r>
      <w:r w:rsidRPr="00101952">
        <w:rPr>
          <w:rFonts w:ascii="Times New Roman" w:hAnsi="Times New Roman" w:cs="Times New Roman"/>
          <w:sz w:val="20"/>
          <w:szCs w:val="20"/>
        </w:rPr>
        <w:t xml:space="preserve">710-718. </w:t>
      </w:r>
      <w:r w:rsidR="00A87F3C" w:rsidRPr="00101952">
        <w:rPr>
          <w:rFonts w:ascii="Times New Roman" w:hAnsi="Times New Roman" w:cs="Times New Roman"/>
          <w:sz w:val="20"/>
          <w:szCs w:val="20"/>
        </w:rPr>
        <w:t>https://doi.org/</w:t>
      </w:r>
      <w:r w:rsidRPr="00101952">
        <w:rPr>
          <w:rFonts w:ascii="Times New Roman" w:hAnsi="Times New Roman" w:cs="Times New Roman"/>
          <w:sz w:val="20"/>
          <w:szCs w:val="20"/>
        </w:rPr>
        <w:t>10.1093/aje/kwk052.</w:t>
      </w:r>
    </w:p>
    <w:sectPr w:rsidR="00CD15DF" w:rsidRPr="00101952" w:rsidSect="00A45F39">
      <w:pgSz w:w="11906" w:h="16838" w:code="9"/>
      <w:pgMar w:top="1701" w:right="1701" w:bottom="1701" w:left="1701" w:header="851" w:footer="992" w:gutter="0"/>
      <w:cols w:space="425"/>
      <w:docGrid w:type="linesAndChars" w:linePitch="328" w:charSpace="-15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D53C2E"/>
    <w:multiLevelType w:val="hybridMultilevel"/>
    <w:tmpl w:val="E51298B6"/>
    <w:lvl w:ilvl="0" w:tplc="29E4805A">
      <w:start w:val="1"/>
      <w:numFmt w:val="decimal"/>
      <w:lvlText w:val="%1)"/>
      <w:lvlJc w:val="left"/>
      <w:pPr>
        <w:ind w:left="1080" w:hanging="360"/>
      </w:pPr>
    </w:lvl>
    <w:lvl w:ilvl="1" w:tplc="7BC242A6">
      <w:start w:val="1"/>
      <w:numFmt w:val="decimal"/>
      <w:lvlText w:val="%2)"/>
      <w:lvlJc w:val="left"/>
      <w:pPr>
        <w:ind w:left="1080" w:hanging="360"/>
      </w:pPr>
    </w:lvl>
    <w:lvl w:ilvl="2" w:tplc="3524FE80">
      <w:start w:val="1"/>
      <w:numFmt w:val="decimal"/>
      <w:lvlText w:val="%3)"/>
      <w:lvlJc w:val="left"/>
      <w:pPr>
        <w:ind w:left="1080" w:hanging="360"/>
      </w:pPr>
    </w:lvl>
    <w:lvl w:ilvl="3" w:tplc="2440341E">
      <w:start w:val="1"/>
      <w:numFmt w:val="decimal"/>
      <w:lvlText w:val="%4)"/>
      <w:lvlJc w:val="left"/>
      <w:pPr>
        <w:ind w:left="1080" w:hanging="360"/>
      </w:pPr>
    </w:lvl>
    <w:lvl w:ilvl="4" w:tplc="B7F47924">
      <w:start w:val="1"/>
      <w:numFmt w:val="decimal"/>
      <w:lvlText w:val="%5)"/>
      <w:lvlJc w:val="left"/>
      <w:pPr>
        <w:ind w:left="1080" w:hanging="360"/>
      </w:pPr>
    </w:lvl>
    <w:lvl w:ilvl="5" w:tplc="BE10057A">
      <w:start w:val="1"/>
      <w:numFmt w:val="decimal"/>
      <w:lvlText w:val="%6)"/>
      <w:lvlJc w:val="left"/>
      <w:pPr>
        <w:ind w:left="1080" w:hanging="360"/>
      </w:pPr>
    </w:lvl>
    <w:lvl w:ilvl="6" w:tplc="9A6A7186">
      <w:start w:val="1"/>
      <w:numFmt w:val="decimal"/>
      <w:lvlText w:val="%7)"/>
      <w:lvlJc w:val="left"/>
      <w:pPr>
        <w:ind w:left="1080" w:hanging="360"/>
      </w:pPr>
    </w:lvl>
    <w:lvl w:ilvl="7" w:tplc="85523BAC">
      <w:start w:val="1"/>
      <w:numFmt w:val="decimal"/>
      <w:lvlText w:val="%8)"/>
      <w:lvlJc w:val="left"/>
      <w:pPr>
        <w:ind w:left="1080" w:hanging="360"/>
      </w:pPr>
    </w:lvl>
    <w:lvl w:ilvl="8" w:tplc="AF667686">
      <w:start w:val="1"/>
      <w:numFmt w:val="decimal"/>
      <w:lvlText w:val="%9)"/>
      <w:lvlJc w:val="left"/>
      <w:pPr>
        <w:ind w:left="1080" w:hanging="360"/>
      </w:pPr>
    </w:lvl>
  </w:abstractNum>
  <w:abstractNum w:abstractNumId="1" w15:restartNumberingAfterBreak="0">
    <w:nsid w:val="419C3F5C"/>
    <w:multiLevelType w:val="hybridMultilevel"/>
    <w:tmpl w:val="D8F82EBA"/>
    <w:lvl w:ilvl="0" w:tplc="0E02B104">
      <w:start w:val="1"/>
      <w:numFmt w:val="decimal"/>
      <w:lvlText w:val="%1)"/>
      <w:lvlJc w:val="left"/>
      <w:pPr>
        <w:ind w:left="1080" w:hanging="360"/>
      </w:pPr>
    </w:lvl>
    <w:lvl w:ilvl="1" w:tplc="7C4E2E12">
      <w:start w:val="1"/>
      <w:numFmt w:val="decimal"/>
      <w:lvlText w:val="%2)"/>
      <w:lvlJc w:val="left"/>
      <w:pPr>
        <w:ind w:left="1080" w:hanging="360"/>
      </w:pPr>
    </w:lvl>
    <w:lvl w:ilvl="2" w:tplc="F2D813E2">
      <w:start w:val="1"/>
      <w:numFmt w:val="decimal"/>
      <w:lvlText w:val="%3)"/>
      <w:lvlJc w:val="left"/>
      <w:pPr>
        <w:ind w:left="1080" w:hanging="360"/>
      </w:pPr>
    </w:lvl>
    <w:lvl w:ilvl="3" w:tplc="3C863718">
      <w:start w:val="1"/>
      <w:numFmt w:val="decimal"/>
      <w:lvlText w:val="%4)"/>
      <w:lvlJc w:val="left"/>
      <w:pPr>
        <w:ind w:left="1080" w:hanging="360"/>
      </w:pPr>
    </w:lvl>
    <w:lvl w:ilvl="4" w:tplc="0A325BDE">
      <w:start w:val="1"/>
      <w:numFmt w:val="decimal"/>
      <w:lvlText w:val="%5)"/>
      <w:lvlJc w:val="left"/>
      <w:pPr>
        <w:ind w:left="1080" w:hanging="360"/>
      </w:pPr>
    </w:lvl>
    <w:lvl w:ilvl="5" w:tplc="D92C22A0">
      <w:start w:val="1"/>
      <w:numFmt w:val="decimal"/>
      <w:lvlText w:val="%6)"/>
      <w:lvlJc w:val="left"/>
      <w:pPr>
        <w:ind w:left="1080" w:hanging="360"/>
      </w:pPr>
    </w:lvl>
    <w:lvl w:ilvl="6" w:tplc="C5B435A0">
      <w:start w:val="1"/>
      <w:numFmt w:val="decimal"/>
      <w:lvlText w:val="%7)"/>
      <w:lvlJc w:val="left"/>
      <w:pPr>
        <w:ind w:left="1080" w:hanging="360"/>
      </w:pPr>
    </w:lvl>
    <w:lvl w:ilvl="7" w:tplc="BC0E1E1E">
      <w:start w:val="1"/>
      <w:numFmt w:val="decimal"/>
      <w:lvlText w:val="%8)"/>
      <w:lvlJc w:val="left"/>
      <w:pPr>
        <w:ind w:left="1080" w:hanging="360"/>
      </w:pPr>
    </w:lvl>
    <w:lvl w:ilvl="8" w:tplc="DB003F46">
      <w:start w:val="1"/>
      <w:numFmt w:val="decimal"/>
      <w:lvlText w:val="%9)"/>
      <w:lvlJc w:val="left"/>
      <w:pPr>
        <w:ind w:left="1080" w:hanging="360"/>
      </w:pPr>
    </w:lvl>
  </w:abstractNum>
  <w:abstractNum w:abstractNumId="2" w15:restartNumberingAfterBreak="0">
    <w:nsid w:val="4ED46CF8"/>
    <w:multiLevelType w:val="hybridMultilevel"/>
    <w:tmpl w:val="685E53B8"/>
    <w:lvl w:ilvl="0" w:tplc="6F603E5C">
      <w:start w:val="1"/>
      <w:numFmt w:val="decimal"/>
      <w:lvlText w:val="%1)"/>
      <w:lvlJc w:val="left"/>
      <w:pPr>
        <w:ind w:left="1080" w:hanging="360"/>
      </w:pPr>
    </w:lvl>
    <w:lvl w:ilvl="1" w:tplc="CDC220E0">
      <w:start w:val="1"/>
      <w:numFmt w:val="decimal"/>
      <w:lvlText w:val="%2)"/>
      <w:lvlJc w:val="left"/>
      <w:pPr>
        <w:ind w:left="1080" w:hanging="360"/>
      </w:pPr>
    </w:lvl>
    <w:lvl w:ilvl="2" w:tplc="ADC6051C">
      <w:start w:val="1"/>
      <w:numFmt w:val="decimal"/>
      <w:lvlText w:val="%3)"/>
      <w:lvlJc w:val="left"/>
      <w:pPr>
        <w:ind w:left="1080" w:hanging="360"/>
      </w:pPr>
    </w:lvl>
    <w:lvl w:ilvl="3" w:tplc="47E4671C">
      <w:start w:val="1"/>
      <w:numFmt w:val="decimal"/>
      <w:lvlText w:val="%4)"/>
      <w:lvlJc w:val="left"/>
      <w:pPr>
        <w:ind w:left="1080" w:hanging="360"/>
      </w:pPr>
    </w:lvl>
    <w:lvl w:ilvl="4" w:tplc="F55A321C">
      <w:start w:val="1"/>
      <w:numFmt w:val="decimal"/>
      <w:lvlText w:val="%5)"/>
      <w:lvlJc w:val="left"/>
      <w:pPr>
        <w:ind w:left="1080" w:hanging="360"/>
      </w:pPr>
    </w:lvl>
    <w:lvl w:ilvl="5" w:tplc="D3D89B24">
      <w:start w:val="1"/>
      <w:numFmt w:val="decimal"/>
      <w:lvlText w:val="%6)"/>
      <w:lvlJc w:val="left"/>
      <w:pPr>
        <w:ind w:left="1080" w:hanging="360"/>
      </w:pPr>
    </w:lvl>
    <w:lvl w:ilvl="6" w:tplc="1EAC0598">
      <w:start w:val="1"/>
      <w:numFmt w:val="decimal"/>
      <w:lvlText w:val="%7)"/>
      <w:lvlJc w:val="left"/>
      <w:pPr>
        <w:ind w:left="1080" w:hanging="360"/>
      </w:pPr>
    </w:lvl>
    <w:lvl w:ilvl="7" w:tplc="D6F87336">
      <w:start w:val="1"/>
      <w:numFmt w:val="decimal"/>
      <w:lvlText w:val="%8)"/>
      <w:lvlJc w:val="left"/>
      <w:pPr>
        <w:ind w:left="1080" w:hanging="360"/>
      </w:pPr>
    </w:lvl>
    <w:lvl w:ilvl="8" w:tplc="633C8D24">
      <w:start w:val="1"/>
      <w:numFmt w:val="decimal"/>
      <w:lvlText w:val="%9)"/>
      <w:lvlJc w:val="left"/>
      <w:pPr>
        <w:ind w:left="1080" w:hanging="360"/>
      </w:pPr>
    </w:lvl>
  </w:abstractNum>
  <w:num w:numId="1" w16cid:durableId="1311909731">
    <w:abstractNumId w:val="2"/>
  </w:num>
  <w:num w:numId="2" w16cid:durableId="300158588">
    <w:abstractNumId w:val="0"/>
  </w:num>
  <w:num w:numId="3" w16cid:durableId="1409965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bordersDoNotSurroundHeader/>
  <w:bordersDoNotSurroundFooter/>
  <w:proofState w:spelling="clean" w:grammar="clean"/>
  <w:defaultTabStop w:val="213"/>
  <w:drawingGridHorizontalSpacing w:val="213"/>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DF"/>
    <w:rsid w:val="0001094B"/>
    <w:rsid w:val="000610EB"/>
    <w:rsid w:val="00061EFB"/>
    <w:rsid w:val="00082B29"/>
    <w:rsid w:val="000A027F"/>
    <w:rsid w:val="000B0669"/>
    <w:rsid w:val="000B18E2"/>
    <w:rsid w:val="000D74E3"/>
    <w:rsid w:val="00101952"/>
    <w:rsid w:val="00110294"/>
    <w:rsid w:val="00135E3B"/>
    <w:rsid w:val="00175A3D"/>
    <w:rsid w:val="001873F9"/>
    <w:rsid w:val="001A4C76"/>
    <w:rsid w:val="001C755D"/>
    <w:rsid w:val="00203034"/>
    <w:rsid w:val="0022593B"/>
    <w:rsid w:val="0023330F"/>
    <w:rsid w:val="00290114"/>
    <w:rsid w:val="002A3175"/>
    <w:rsid w:val="002F4C5B"/>
    <w:rsid w:val="00335762"/>
    <w:rsid w:val="003419D7"/>
    <w:rsid w:val="00381D74"/>
    <w:rsid w:val="00392A67"/>
    <w:rsid w:val="003C4B27"/>
    <w:rsid w:val="00456EFA"/>
    <w:rsid w:val="00475317"/>
    <w:rsid w:val="004B1BF3"/>
    <w:rsid w:val="004D0693"/>
    <w:rsid w:val="004E6969"/>
    <w:rsid w:val="00517976"/>
    <w:rsid w:val="005633D8"/>
    <w:rsid w:val="00576962"/>
    <w:rsid w:val="0061032D"/>
    <w:rsid w:val="006363C8"/>
    <w:rsid w:val="00641741"/>
    <w:rsid w:val="00656DBF"/>
    <w:rsid w:val="006A392D"/>
    <w:rsid w:val="006A3D85"/>
    <w:rsid w:val="006B55EF"/>
    <w:rsid w:val="006F1E69"/>
    <w:rsid w:val="006F53F3"/>
    <w:rsid w:val="00753A42"/>
    <w:rsid w:val="00770227"/>
    <w:rsid w:val="007977AE"/>
    <w:rsid w:val="007D258C"/>
    <w:rsid w:val="00803F0B"/>
    <w:rsid w:val="00815A81"/>
    <w:rsid w:val="00821031"/>
    <w:rsid w:val="00826BFA"/>
    <w:rsid w:val="008842C9"/>
    <w:rsid w:val="008A13BA"/>
    <w:rsid w:val="00930902"/>
    <w:rsid w:val="00970149"/>
    <w:rsid w:val="009A28C4"/>
    <w:rsid w:val="009E26F7"/>
    <w:rsid w:val="009F5B99"/>
    <w:rsid w:val="00A40AAF"/>
    <w:rsid w:val="00A45F39"/>
    <w:rsid w:val="00A616CC"/>
    <w:rsid w:val="00A87F3C"/>
    <w:rsid w:val="00AA199B"/>
    <w:rsid w:val="00B06DA9"/>
    <w:rsid w:val="00B60BFB"/>
    <w:rsid w:val="00B6556B"/>
    <w:rsid w:val="00C605B9"/>
    <w:rsid w:val="00C90F8F"/>
    <w:rsid w:val="00CB161C"/>
    <w:rsid w:val="00CC7B6C"/>
    <w:rsid w:val="00CD08F7"/>
    <w:rsid w:val="00CD15DF"/>
    <w:rsid w:val="00DB4920"/>
    <w:rsid w:val="00DD532E"/>
    <w:rsid w:val="00DE293B"/>
    <w:rsid w:val="00E144A2"/>
    <w:rsid w:val="00E36DC9"/>
    <w:rsid w:val="00E46143"/>
    <w:rsid w:val="00E65D47"/>
    <w:rsid w:val="00E74E8E"/>
    <w:rsid w:val="00F25C13"/>
    <w:rsid w:val="00F6599F"/>
    <w:rsid w:val="00F87D30"/>
    <w:rsid w:val="00FA1D80"/>
    <w:rsid w:val="00FB312A"/>
    <w:rsid w:val="00FC3623"/>
    <w:rsid w:val="00FF233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1D7679A"/>
  <w15:chartTrackingRefBased/>
  <w15:docId w15:val="{5E23E59B-F93D-784A-8967-CAAB77A6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5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BF3"/>
    <w:pPr>
      <w:ind w:leftChars="400" w:left="840"/>
    </w:pPr>
  </w:style>
  <w:style w:type="paragraph" w:styleId="a4">
    <w:name w:val="Revision"/>
    <w:hidden/>
    <w:uiPriority w:val="99"/>
    <w:semiHidden/>
    <w:rsid w:val="008842C9"/>
  </w:style>
  <w:style w:type="character" w:styleId="a5">
    <w:name w:val="annotation reference"/>
    <w:basedOn w:val="a0"/>
    <w:uiPriority w:val="99"/>
    <w:semiHidden/>
    <w:unhideWhenUsed/>
    <w:rsid w:val="00DB4920"/>
    <w:rPr>
      <w:sz w:val="16"/>
      <w:szCs w:val="16"/>
    </w:rPr>
  </w:style>
  <w:style w:type="paragraph" w:styleId="a6">
    <w:name w:val="annotation text"/>
    <w:basedOn w:val="a"/>
    <w:link w:val="a7"/>
    <w:uiPriority w:val="99"/>
    <w:unhideWhenUsed/>
    <w:rsid w:val="00DB4920"/>
    <w:rPr>
      <w:sz w:val="20"/>
      <w:szCs w:val="20"/>
    </w:rPr>
  </w:style>
  <w:style w:type="character" w:customStyle="1" w:styleId="a7">
    <w:name w:val="コメント文字列 (文字)"/>
    <w:basedOn w:val="a0"/>
    <w:link w:val="a6"/>
    <w:uiPriority w:val="99"/>
    <w:rsid w:val="00DB4920"/>
    <w:rPr>
      <w:sz w:val="20"/>
      <w:szCs w:val="20"/>
    </w:rPr>
  </w:style>
  <w:style w:type="paragraph" w:styleId="a8">
    <w:name w:val="annotation subject"/>
    <w:basedOn w:val="a6"/>
    <w:next w:val="a6"/>
    <w:link w:val="a9"/>
    <w:uiPriority w:val="99"/>
    <w:semiHidden/>
    <w:unhideWhenUsed/>
    <w:rsid w:val="00DB4920"/>
    <w:rPr>
      <w:b/>
      <w:bCs/>
    </w:rPr>
  </w:style>
  <w:style w:type="character" w:customStyle="1" w:styleId="a9">
    <w:name w:val="コメント内容 (文字)"/>
    <w:basedOn w:val="a7"/>
    <w:link w:val="a8"/>
    <w:uiPriority w:val="99"/>
    <w:semiHidden/>
    <w:rsid w:val="00DB4920"/>
    <w:rPr>
      <w:b/>
      <w:bCs/>
      <w:sz w:val="20"/>
      <w:szCs w:val="20"/>
    </w:rPr>
  </w:style>
  <w:style w:type="paragraph" w:styleId="aa">
    <w:name w:val="header"/>
    <w:basedOn w:val="a"/>
    <w:link w:val="ab"/>
    <w:uiPriority w:val="99"/>
    <w:unhideWhenUsed/>
    <w:rsid w:val="00A45F39"/>
    <w:pPr>
      <w:tabs>
        <w:tab w:val="center" w:pos="4252"/>
        <w:tab w:val="right" w:pos="8504"/>
      </w:tabs>
      <w:snapToGrid w:val="0"/>
    </w:pPr>
  </w:style>
  <w:style w:type="character" w:customStyle="1" w:styleId="ab">
    <w:name w:val="ヘッダー (文字)"/>
    <w:basedOn w:val="a0"/>
    <w:link w:val="aa"/>
    <w:uiPriority w:val="99"/>
    <w:rsid w:val="00A45F39"/>
  </w:style>
  <w:style w:type="paragraph" w:styleId="ac">
    <w:name w:val="footer"/>
    <w:basedOn w:val="a"/>
    <w:link w:val="ad"/>
    <w:uiPriority w:val="99"/>
    <w:unhideWhenUsed/>
    <w:rsid w:val="00A45F39"/>
    <w:pPr>
      <w:tabs>
        <w:tab w:val="center" w:pos="4252"/>
        <w:tab w:val="right" w:pos="8504"/>
      </w:tabs>
      <w:snapToGrid w:val="0"/>
    </w:pPr>
  </w:style>
  <w:style w:type="character" w:customStyle="1" w:styleId="ad">
    <w:name w:val="フッター (文字)"/>
    <w:basedOn w:val="a0"/>
    <w:link w:val="ac"/>
    <w:uiPriority w:val="99"/>
    <w:rsid w:val="00A45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652</Words>
  <Characters>3721</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keisuke Natsume</dc:creator>
  <cp:lastModifiedBy>恵介 夏目</cp:lastModifiedBy>
  <cp:revision>6</cp:revision>
  <cp:lastPrinted>2024-06-09T01:34:00Z</cp:lastPrinted>
  <dcterms:created xsi:type="dcterms:W3CDTF">2024-06-09T01:27:00Z</dcterms:created>
  <dcterms:modified xsi:type="dcterms:W3CDTF">2024-07-15T01:39:00Z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5e01842fe4a9292dd0dd56605b41c9a712f2f60499d967bf37c3ea57a2d6e217</vt:lpwstr>
  </property>
</Properties>
</file>