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BAD0" w14:textId="67E0FC17" w:rsidR="00936FFA" w:rsidRPr="00F92832" w:rsidRDefault="00B51046">
      <w:pPr>
        <w:rPr>
          <w:rFonts w:ascii="Arial" w:hAnsi="Arial" w:cs="Arial"/>
          <w:sz w:val="20"/>
          <w:szCs w:val="20"/>
        </w:rPr>
      </w:pPr>
      <w:r w:rsidRPr="00F92832">
        <w:rPr>
          <w:rFonts w:ascii="Arial" w:hAnsi="Arial" w:cs="Arial"/>
          <w:sz w:val="20"/>
          <w:szCs w:val="20"/>
        </w:rPr>
        <w:t>Table 2: Tinnitus</w:t>
      </w:r>
      <w:r w:rsidR="009F2C82">
        <w:rPr>
          <w:rFonts w:ascii="Arial" w:hAnsi="Arial" w:cs="Arial"/>
          <w:sz w:val="20"/>
          <w:szCs w:val="20"/>
        </w:rPr>
        <w:t xml:space="preserve"> and hearing</w:t>
      </w:r>
      <w:r w:rsidRPr="00F92832">
        <w:rPr>
          <w:rFonts w:ascii="Arial" w:hAnsi="Arial" w:cs="Arial"/>
          <w:sz w:val="20"/>
          <w:szCs w:val="20"/>
        </w:rPr>
        <w:t xml:space="preserve"> outcome</w:t>
      </w:r>
      <w:r w:rsidR="00E77BB3" w:rsidRPr="00F92832">
        <w:rPr>
          <w:rFonts w:ascii="Arial" w:hAnsi="Arial" w:cs="Arial"/>
          <w:sz w:val="20"/>
          <w:szCs w:val="20"/>
        </w:rPr>
        <w:t>s</w:t>
      </w:r>
      <w:r w:rsidR="0069543B" w:rsidRPr="00F92832">
        <w:rPr>
          <w:rFonts w:ascii="Arial" w:hAnsi="Arial" w:cs="Arial"/>
          <w:sz w:val="20"/>
          <w:szCs w:val="20"/>
        </w:rPr>
        <w:t xml:space="preserve"> in the included studies</w:t>
      </w:r>
    </w:p>
    <w:tbl>
      <w:tblPr>
        <w:tblStyle w:val="TableGrid"/>
        <w:tblW w:w="5000" w:type="pct"/>
        <w:tblLayout w:type="fixed"/>
        <w:tblLook w:val="04A0" w:firstRow="1" w:lastRow="0" w:firstColumn="1" w:lastColumn="0" w:noHBand="0" w:noVBand="1"/>
      </w:tblPr>
      <w:tblGrid>
        <w:gridCol w:w="1211"/>
        <w:gridCol w:w="1573"/>
        <w:gridCol w:w="3027"/>
        <w:gridCol w:w="2488"/>
        <w:gridCol w:w="2469"/>
        <w:gridCol w:w="3180"/>
      </w:tblGrid>
      <w:tr w:rsidR="00001317" w:rsidRPr="00F92832" w14:paraId="546DC8E0" w14:textId="77777777" w:rsidTr="005E213F">
        <w:trPr>
          <w:trHeight w:val="300"/>
        </w:trPr>
        <w:tc>
          <w:tcPr>
            <w:tcW w:w="434" w:type="pct"/>
            <w:noWrap/>
            <w:hideMark/>
          </w:tcPr>
          <w:p w14:paraId="79A8E8D9" w14:textId="542F12B0"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Author</w:t>
            </w:r>
          </w:p>
        </w:tc>
        <w:tc>
          <w:tcPr>
            <w:tcW w:w="564" w:type="pct"/>
          </w:tcPr>
          <w:p w14:paraId="78AC913E" w14:textId="4AA23C8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assessment</w:t>
            </w:r>
          </w:p>
        </w:tc>
        <w:tc>
          <w:tcPr>
            <w:tcW w:w="1085" w:type="pct"/>
            <w:noWrap/>
          </w:tcPr>
          <w:p w14:paraId="0A4D65D9" w14:textId="03304EE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outcomes</w:t>
            </w:r>
          </w:p>
        </w:tc>
        <w:tc>
          <w:tcPr>
            <w:tcW w:w="892" w:type="pct"/>
            <w:noWrap/>
          </w:tcPr>
          <w:p w14:paraId="5648F838" w14:textId="6219B738"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Comparison</w:t>
            </w:r>
          </w:p>
        </w:tc>
        <w:tc>
          <w:tcPr>
            <w:tcW w:w="885" w:type="pct"/>
          </w:tcPr>
          <w:p w14:paraId="028467F3" w14:textId="5234C1C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Hearing outcomes</w:t>
            </w:r>
          </w:p>
        </w:tc>
        <w:tc>
          <w:tcPr>
            <w:tcW w:w="1140" w:type="pct"/>
            <w:noWrap/>
          </w:tcPr>
          <w:p w14:paraId="486753A3" w14:textId="596B4008"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Comments</w:t>
            </w:r>
          </w:p>
        </w:tc>
      </w:tr>
      <w:tr w:rsidR="00001317" w:rsidRPr="00F92832" w14:paraId="4DCFDBF8" w14:textId="77777777" w:rsidTr="005E213F">
        <w:trPr>
          <w:trHeight w:val="300"/>
        </w:trPr>
        <w:tc>
          <w:tcPr>
            <w:tcW w:w="434" w:type="pct"/>
            <w:noWrap/>
            <w:hideMark/>
          </w:tcPr>
          <w:p w14:paraId="12C01ADC" w14:textId="46B1DB67" w:rsidR="00001317" w:rsidRPr="00F92832" w:rsidRDefault="00001317" w:rsidP="00001317">
            <w:pPr>
              <w:rPr>
                <w:rFonts w:ascii="Arial" w:eastAsia="Times New Roman" w:hAnsi="Arial" w:cs="Arial"/>
                <w:color w:val="000000"/>
                <w:kern w:val="0"/>
                <w:sz w:val="20"/>
                <w:szCs w:val="20"/>
                <w:lang w:eastAsia="en-AU"/>
                <w14:ligatures w14:val="none"/>
              </w:rPr>
            </w:pPr>
            <w:proofErr w:type="spellStart"/>
            <w:r w:rsidRPr="00F92832">
              <w:rPr>
                <w:rFonts w:ascii="Arial" w:eastAsia="Times New Roman" w:hAnsi="Arial" w:cs="Arial"/>
                <w:color w:val="000000"/>
                <w:kern w:val="0"/>
                <w:sz w:val="20"/>
                <w:szCs w:val="20"/>
                <w:lang w:eastAsia="en-AU"/>
                <w14:ligatures w14:val="none"/>
              </w:rPr>
              <w:t>Karpinos</w:t>
            </w:r>
            <w:proofErr w:type="spellEnd"/>
            <w:r w:rsidRPr="00F92832">
              <w:rPr>
                <w:rFonts w:ascii="Arial" w:eastAsia="Times New Roman" w:hAnsi="Arial" w:cs="Arial"/>
                <w:color w:val="000000"/>
                <w:kern w:val="0"/>
                <w:sz w:val="20"/>
                <w:szCs w:val="20"/>
                <w:lang w:eastAsia="en-AU"/>
                <w14:ligatures w14:val="none"/>
              </w:rPr>
              <w:t xml:space="preserve"> et al., 2002</w:t>
            </w:r>
            <w:r w:rsidR="0050559C" w:rsidRPr="0050559C">
              <w:rPr>
                <w:rFonts w:ascii="Arial" w:eastAsia="Times New Roman" w:hAnsi="Arial" w:cs="Arial"/>
                <w:color w:val="000000"/>
                <w:kern w:val="0"/>
                <w:sz w:val="20"/>
                <w:szCs w:val="20"/>
                <w:vertAlign w:val="superscript"/>
                <w:lang w:eastAsia="en-AU"/>
                <w14:ligatures w14:val="none"/>
              </w:rPr>
              <w:t>26</w:t>
            </w:r>
          </w:p>
        </w:tc>
        <w:tc>
          <w:tcPr>
            <w:tcW w:w="564" w:type="pct"/>
          </w:tcPr>
          <w:p w14:paraId="13CBCEB9" w14:textId="16EAD439"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Ordinal scale (No change, better, worse)</w:t>
            </w:r>
          </w:p>
        </w:tc>
        <w:tc>
          <w:tcPr>
            <w:tcW w:w="1085" w:type="pct"/>
            <w:noWrap/>
          </w:tcPr>
          <w:p w14:paraId="60382977" w14:textId="4AC5370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94% of patients had no change post-treatment.</w:t>
            </w:r>
          </w:p>
          <w:p w14:paraId="35EA6EE8" w14:textId="7873080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26.5% worsened, 10.2% improved, and 63.3% had no change.</w:t>
            </w:r>
          </w:p>
        </w:tc>
        <w:tc>
          <w:tcPr>
            <w:tcW w:w="892" w:type="pct"/>
            <w:noWrap/>
          </w:tcPr>
          <w:p w14:paraId="2C92C042" w14:textId="755BAC6D" w:rsidR="00001317" w:rsidRPr="00F92832" w:rsidRDefault="00001317" w:rsidP="00001317">
            <w:pPr>
              <w:pStyle w:val="Normal0"/>
              <w:rPr>
                <w:sz w:val="20"/>
                <w:szCs w:val="20"/>
              </w:rPr>
            </w:pPr>
            <w:r w:rsidRPr="00F92832">
              <w:rPr>
                <w:rFonts w:eastAsia="Times New Roman"/>
                <w:color w:val="000000"/>
                <w:sz w:val="20"/>
                <w:szCs w:val="20"/>
                <w:lang w:eastAsia="en-AU"/>
                <w14:ligatures w14:val="none"/>
              </w:rPr>
              <w:t>Significantly more patients experienced worsening of tinnitus in the RS group</w:t>
            </w:r>
            <w:r w:rsidRPr="00F92832">
              <w:rPr>
                <w:sz w:val="20"/>
                <w:szCs w:val="20"/>
              </w:rPr>
              <w:t xml:space="preserve"> </w:t>
            </w:r>
            <w:r w:rsidRPr="00F92832">
              <w:rPr>
                <w:rFonts w:eastAsia="Times New Roman"/>
                <w:color w:val="000000"/>
                <w:sz w:val="20"/>
                <w:szCs w:val="20"/>
                <w:lang w:eastAsia="en-AU"/>
                <w14:ligatures w14:val="none"/>
              </w:rPr>
              <w:t>(26.5% vs. 0%, p = 0.04).</w:t>
            </w:r>
          </w:p>
          <w:p w14:paraId="14E6762D" w14:textId="77777777" w:rsidR="00001317" w:rsidRPr="00F92832" w:rsidRDefault="00001317" w:rsidP="00001317">
            <w:pPr>
              <w:pStyle w:val="Normal0"/>
              <w:rPr>
                <w:sz w:val="20"/>
                <w:szCs w:val="20"/>
              </w:rPr>
            </w:pPr>
          </w:p>
          <w:p w14:paraId="7DAD886E" w14:textId="685059C9"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w:t>
            </w:r>
          </w:p>
        </w:tc>
        <w:tc>
          <w:tcPr>
            <w:tcW w:w="885" w:type="pct"/>
          </w:tcPr>
          <w:p w14:paraId="57B6F827" w14:textId="41CA2DC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Serviceable hearing</w:t>
            </w:r>
            <w:r w:rsidR="008920B1">
              <w:rPr>
                <w:rFonts w:ascii="Arial" w:hAnsi="Arial" w:cs="Arial"/>
                <w:sz w:val="20"/>
                <w:szCs w:val="20"/>
              </w:rPr>
              <w:t xml:space="preserve"> preservation</w:t>
            </w:r>
            <w:r w:rsidRPr="00F92832">
              <w:rPr>
                <w:rFonts w:ascii="Arial" w:hAnsi="Arial" w:cs="Arial"/>
                <w:sz w:val="20"/>
                <w:szCs w:val="20"/>
              </w:rPr>
              <w:t xml:space="preserve">: 40% (MS) vs 44% (RS).  </w:t>
            </w:r>
          </w:p>
        </w:tc>
        <w:tc>
          <w:tcPr>
            <w:tcW w:w="1140" w:type="pct"/>
            <w:noWrap/>
          </w:tcPr>
          <w:p w14:paraId="5204CB5F" w14:textId="2C947E1D"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patients in the MS group (44.8 yrs) was significantly less than the RS group (61.6 yrs). The tumour size was significantly smaller in the RS group.</w:t>
            </w:r>
          </w:p>
          <w:p w14:paraId="0557CF1D" w14:textId="4F5771CC" w:rsidR="00001317" w:rsidRPr="00F92832" w:rsidRDefault="00001317" w:rsidP="00001317">
            <w:pPr>
              <w:rPr>
                <w:rFonts w:ascii="Arial" w:eastAsia="Times New Roman" w:hAnsi="Arial" w:cs="Arial"/>
                <w:color w:val="000000"/>
                <w:kern w:val="0"/>
                <w:sz w:val="20"/>
                <w:szCs w:val="20"/>
                <w:lang w:eastAsia="en-AU"/>
                <w14:ligatures w14:val="none"/>
              </w:rPr>
            </w:pPr>
          </w:p>
        </w:tc>
      </w:tr>
      <w:tr w:rsidR="00001317" w:rsidRPr="00F92832" w14:paraId="7214780A" w14:textId="77777777" w:rsidTr="005E213F">
        <w:trPr>
          <w:trHeight w:val="300"/>
        </w:trPr>
        <w:tc>
          <w:tcPr>
            <w:tcW w:w="434" w:type="pct"/>
            <w:noWrap/>
            <w:hideMark/>
          </w:tcPr>
          <w:p w14:paraId="3A36A6DE" w14:textId="34F1413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Regis et al., 2002</w:t>
            </w:r>
            <w:r w:rsidR="0050559C">
              <w:rPr>
                <w:rFonts w:ascii="Arial" w:eastAsia="Times New Roman" w:hAnsi="Arial" w:cs="Arial"/>
                <w:color w:val="000000"/>
                <w:kern w:val="0"/>
                <w:sz w:val="20"/>
                <w:szCs w:val="20"/>
                <w:vertAlign w:val="superscript"/>
                <w:lang w:eastAsia="en-AU"/>
                <w14:ligatures w14:val="none"/>
              </w:rPr>
              <w:t>32</w:t>
            </w:r>
          </w:p>
        </w:tc>
        <w:tc>
          <w:tcPr>
            <w:tcW w:w="564" w:type="pct"/>
          </w:tcPr>
          <w:p w14:paraId="2B807630" w14:textId="34E360F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Binary</w:t>
            </w:r>
          </w:p>
        </w:tc>
        <w:tc>
          <w:tcPr>
            <w:tcW w:w="1085" w:type="pct"/>
            <w:noWrap/>
          </w:tcPr>
          <w:p w14:paraId="3915DCBE" w14:textId="10B3D02B"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New-onset tinnitus was seen in 50% of RS patients and 40% of MS patients post-treatment. 84% of RS and 67% of MS patients with tinnitus pretreatment had tinnitus post-treatment.</w:t>
            </w:r>
          </w:p>
        </w:tc>
        <w:tc>
          <w:tcPr>
            <w:tcW w:w="892" w:type="pct"/>
            <w:noWrap/>
          </w:tcPr>
          <w:p w14:paraId="16C224A4" w14:textId="5EEC40F5"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Reduction of tinnitus: 16% vs 33% for RS and MS, respectively – not statistically significant.</w:t>
            </w:r>
          </w:p>
        </w:tc>
        <w:tc>
          <w:tcPr>
            <w:tcW w:w="885" w:type="pct"/>
          </w:tcPr>
          <w:p w14:paraId="321BAAE0" w14:textId="42534ADE"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Functional hearing preservation</w:t>
            </w:r>
            <w:r w:rsidR="00CF6F60">
              <w:rPr>
                <w:rFonts w:ascii="Arial" w:hAnsi="Arial" w:cs="Arial"/>
                <w:sz w:val="20"/>
                <w:szCs w:val="20"/>
              </w:rPr>
              <w:t xml:space="preserve"> (GR 1 or 2)</w:t>
            </w:r>
            <w:r w:rsidRPr="00F92832">
              <w:rPr>
                <w:rFonts w:ascii="Arial" w:hAnsi="Arial" w:cs="Arial"/>
                <w:sz w:val="20"/>
                <w:szCs w:val="20"/>
              </w:rPr>
              <w:t>:  5% (</w:t>
            </w:r>
            <w:r w:rsidR="003912AD" w:rsidRPr="00F92832">
              <w:rPr>
                <w:rFonts w:ascii="Arial" w:hAnsi="Arial" w:cs="Arial"/>
                <w:sz w:val="20"/>
                <w:szCs w:val="20"/>
              </w:rPr>
              <w:t>MS) vs</w:t>
            </w:r>
            <w:r w:rsidRPr="00F92832">
              <w:rPr>
                <w:rFonts w:ascii="Arial" w:hAnsi="Arial" w:cs="Arial"/>
                <w:sz w:val="20"/>
                <w:szCs w:val="20"/>
              </w:rPr>
              <w:t xml:space="preserve"> 40% (RS). </w:t>
            </w:r>
          </w:p>
        </w:tc>
        <w:tc>
          <w:tcPr>
            <w:tcW w:w="1140" w:type="pct"/>
            <w:noWrap/>
          </w:tcPr>
          <w:p w14:paraId="610821A4" w14:textId="215AC3F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The mean age of patients in the MS group (52 years) was less than the RS group (61 years). MS group had more patients with stage III tumours (55% vs 34%) and tinnitus. </w:t>
            </w:r>
          </w:p>
          <w:p w14:paraId="31046339" w14:textId="35A93DAD" w:rsidR="00001317" w:rsidRPr="00F92832" w:rsidRDefault="00001317" w:rsidP="00001317">
            <w:pPr>
              <w:rPr>
                <w:rFonts w:ascii="Arial" w:eastAsia="Times New Roman" w:hAnsi="Arial" w:cs="Arial"/>
                <w:color w:val="000000"/>
                <w:kern w:val="0"/>
                <w:sz w:val="20"/>
                <w:szCs w:val="20"/>
                <w:lang w:eastAsia="en-AU"/>
                <w14:ligatures w14:val="none"/>
              </w:rPr>
            </w:pPr>
          </w:p>
        </w:tc>
      </w:tr>
      <w:tr w:rsidR="00001317" w:rsidRPr="00F92832" w14:paraId="7922DF42" w14:textId="77777777" w:rsidTr="005E213F">
        <w:trPr>
          <w:trHeight w:val="300"/>
        </w:trPr>
        <w:tc>
          <w:tcPr>
            <w:tcW w:w="434" w:type="pct"/>
            <w:noWrap/>
            <w:hideMark/>
          </w:tcPr>
          <w:p w14:paraId="164E1A16" w14:textId="396C732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Pollock et al., 2006</w:t>
            </w:r>
            <w:r w:rsidR="0050559C">
              <w:rPr>
                <w:rFonts w:ascii="Arial" w:eastAsia="Times New Roman" w:hAnsi="Arial" w:cs="Arial"/>
                <w:color w:val="000000"/>
                <w:kern w:val="0"/>
                <w:sz w:val="20"/>
                <w:szCs w:val="20"/>
                <w:vertAlign w:val="superscript"/>
                <w:lang w:eastAsia="en-AU"/>
                <w14:ligatures w14:val="none"/>
              </w:rPr>
              <w:t>31</w:t>
            </w:r>
          </w:p>
        </w:tc>
        <w:tc>
          <w:tcPr>
            <w:tcW w:w="564" w:type="pct"/>
          </w:tcPr>
          <w:p w14:paraId="74553674" w14:textId="5593690B"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Survey</w:t>
            </w:r>
          </w:p>
        </w:tc>
        <w:tc>
          <w:tcPr>
            <w:tcW w:w="1085" w:type="pct"/>
            <w:noWrap/>
          </w:tcPr>
          <w:p w14:paraId="395B05F7" w14:textId="5B999E1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baseline score: 11.6 (MS) vs 9 (RS)</w:t>
            </w:r>
          </w:p>
          <w:p w14:paraId="63AB8A7C" w14:textId="7D26814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scores at last follow-up: 11.6 (MS) vs 10 (RS)</w:t>
            </w:r>
          </w:p>
        </w:tc>
        <w:tc>
          <w:tcPr>
            <w:tcW w:w="892" w:type="pct"/>
            <w:noWrap/>
          </w:tcPr>
          <w:p w14:paraId="46ECB2C1" w14:textId="163AEA4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There was no significant difference between mean scores at the last follow-up (p=0.29).</w:t>
            </w:r>
          </w:p>
        </w:tc>
        <w:tc>
          <w:tcPr>
            <w:tcW w:w="885" w:type="pct"/>
          </w:tcPr>
          <w:p w14:paraId="77455D36" w14:textId="60109634" w:rsidR="00001317" w:rsidRPr="00F92832" w:rsidRDefault="001C0C2B" w:rsidP="00001317">
            <w:pPr>
              <w:rPr>
                <w:rFonts w:ascii="Arial" w:eastAsia="Times New Roman" w:hAnsi="Arial" w:cs="Arial"/>
                <w:color w:val="000000"/>
                <w:kern w:val="0"/>
                <w:sz w:val="20"/>
                <w:szCs w:val="20"/>
                <w:lang w:eastAsia="en-AU"/>
                <w14:ligatures w14:val="none"/>
              </w:rPr>
            </w:pPr>
            <w:r w:rsidRPr="001C0C2B">
              <w:rPr>
                <w:rFonts w:ascii="Arial" w:hAnsi="Arial" w:cs="Arial"/>
                <w:sz w:val="20"/>
                <w:szCs w:val="20"/>
              </w:rPr>
              <w:t>AAO-HNS</w:t>
            </w:r>
            <w:r>
              <w:rPr>
                <w:rFonts w:ascii="Arial" w:hAnsi="Arial" w:cs="Arial"/>
                <w:sz w:val="20"/>
                <w:szCs w:val="20"/>
              </w:rPr>
              <w:t xml:space="preserve"> </w:t>
            </w:r>
            <w:r w:rsidR="00001317" w:rsidRPr="00F92832">
              <w:rPr>
                <w:rFonts w:ascii="Arial" w:hAnsi="Arial" w:cs="Arial"/>
                <w:sz w:val="20"/>
                <w:szCs w:val="20"/>
              </w:rPr>
              <w:t xml:space="preserve">Class A or B:  5% (MS) </w:t>
            </w:r>
            <w:r w:rsidR="003912AD" w:rsidRPr="00F92832">
              <w:rPr>
                <w:rFonts w:ascii="Arial" w:hAnsi="Arial" w:cs="Arial"/>
                <w:sz w:val="20"/>
                <w:szCs w:val="20"/>
              </w:rPr>
              <w:t>vs 63</w:t>
            </w:r>
            <w:r w:rsidR="00001317" w:rsidRPr="00F92832">
              <w:rPr>
                <w:rFonts w:ascii="Arial" w:hAnsi="Arial" w:cs="Arial"/>
                <w:sz w:val="20"/>
                <w:szCs w:val="20"/>
              </w:rPr>
              <w:t xml:space="preserve"> </w:t>
            </w:r>
            <w:r w:rsidR="003912AD" w:rsidRPr="00F92832">
              <w:rPr>
                <w:rFonts w:ascii="Arial" w:hAnsi="Arial" w:cs="Arial"/>
                <w:sz w:val="20"/>
                <w:szCs w:val="20"/>
              </w:rPr>
              <w:t>%</w:t>
            </w:r>
            <w:r w:rsidR="00F92832" w:rsidRPr="00F92832">
              <w:rPr>
                <w:rFonts w:ascii="Arial" w:hAnsi="Arial" w:cs="Arial"/>
                <w:sz w:val="20"/>
                <w:szCs w:val="20"/>
              </w:rPr>
              <w:t xml:space="preserve"> </w:t>
            </w:r>
            <w:r w:rsidR="00001317" w:rsidRPr="00F92832">
              <w:rPr>
                <w:rFonts w:ascii="Arial" w:hAnsi="Arial" w:cs="Arial"/>
                <w:sz w:val="20"/>
                <w:szCs w:val="20"/>
              </w:rPr>
              <w:t>(RS).</w:t>
            </w:r>
          </w:p>
        </w:tc>
        <w:tc>
          <w:tcPr>
            <w:tcW w:w="1140" w:type="pct"/>
            <w:noWrap/>
          </w:tcPr>
          <w:p w14:paraId="5609AC60" w14:textId="6A77214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patients in the MS group (48.2 yrs) was significantly lower than in the RS group (53.9 yrs).</w:t>
            </w:r>
          </w:p>
          <w:p w14:paraId="01926BAF" w14:textId="00B03E09" w:rsidR="00001317" w:rsidRPr="00F92832" w:rsidRDefault="00001317" w:rsidP="00001317">
            <w:pPr>
              <w:rPr>
                <w:rFonts w:ascii="Arial" w:eastAsia="Times New Roman" w:hAnsi="Arial" w:cs="Arial"/>
                <w:color w:val="000000"/>
                <w:kern w:val="0"/>
                <w:sz w:val="20"/>
                <w:szCs w:val="20"/>
                <w:lang w:eastAsia="en-AU"/>
                <w14:ligatures w14:val="none"/>
              </w:rPr>
            </w:pPr>
          </w:p>
        </w:tc>
      </w:tr>
      <w:tr w:rsidR="00001317" w:rsidRPr="00F92832" w14:paraId="141514A6" w14:textId="77777777" w:rsidTr="005E213F">
        <w:trPr>
          <w:trHeight w:val="300"/>
        </w:trPr>
        <w:tc>
          <w:tcPr>
            <w:tcW w:w="434" w:type="pct"/>
            <w:noWrap/>
            <w:hideMark/>
          </w:tcPr>
          <w:p w14:paraId="49DBDF16" w14:textId="50861596"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Coelho et al., 2008</w:t>
            </w:r>
            <w:r w:rsidR="0050559C">
              <w:rPr>
                <w:rFonts w:ascii="Arial" w:eastAsia="Times New Roman" w:hAnsi="Arial" w:cs="Arial"/>
                <w:color w:val="000000"/>
                <w:kern w:val="0"/>
                <w:sz w:val="20"/>
                <w:szCs w:val="20"/>
                <w:vertAlign w:val="superscript"/>
                <w:lang w:eastAsia="en-AU"/>
                <w14:ligatures w14:val="none"/>
              </w:rPr>
              <w:t>25</w:t>
            </w:r>
          </w:p>
        </w:tc>
        <w:tc>
          <w:tcPr>
            <w:tcW w:w="564" w:type="pct"/>
          </w:tcPr>
          <w:p w14:paraId="7F80D837" w14:textId="4CEB9468"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Binary (present/absent) and ordinal scale</w:t>
            </w:r>
          </w:p>
        </w:tc>
        <w:tc>
          <w:tcPr>
            <w:tcW w:w="1085" w:type="pct"/>
            <w:noWrap/>
          </w:tcPr>
          <w:p w14:paraId="08CA39AC" w14:textId="2CCBF1C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2 of 12 and 5 of 9 patients in the RS and MS group had pretreatment tinnitus.</w:t>
            </w:r>
          </w:p>
        </w:tc>
        <w:tc>
          <w:tcPr>
            <w:tcW w:w="892" w:type="pct"/>
            <w:noWrap/>
          </w:tcPr>
          <w:p w14:paraId="210B8A44" w14:textId="6AA59F1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MS: 1 new-onset, 1 improved, 2 worsened, 2 patients had changes in tinnitus post-surgery. </w:t>
            </w:r>
          </w:p>
          <w:p w14:paraId="50962FA1" w14:textId="292C3C2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9 of 10 patients without pretreatment tinnitus had no change.</w:t>
            </w:r>
          </w:p>
          <w:p w14:paraId="5113437D" w14:textId="705572C7" w:rsidR="00001317" w:rsidRPr="00F92832" w:rsidRDefault="00001317" w:rsidP="00001317">
            <w:pPr>
              <w:rPr>
                <w:rFonts w:ascii="Arial" w:eastAsia="Times New Roman" w:hAnsi="Arial" w:cs="Arial"/>
                <w:color w:val="000000"/>
                <w:kern w:val="0"/>
                <w:sz w:val="20"/>
                <w:szCs w:val="20"/>
                <w:lang w:eastAsia="en-AU"/>
                <w14:ligatures w14:val="none"/>
              </w:rPr>
            </w:pPr>
          </w:p>
        </w:tc>
        <w:tc>
          <w:tcPr>
            <w:tcW w:w="885" w:type="pct"/>
          </w:tcPr>
          <w:p w14:paraId="51C34595" w14:textId="0A32B80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Included only patients with NSHL</w:t>
            </w:r>
            <w:r w:rsidR="00A84DFE">
              <w:rPr>
                <w:rFonts w:ascii="Arial" w:hAnsi="Arial" w:cs="Arial"/>
                <w:sz w:val="20"/>
                <w:szCs w:val="20"/>
              </w:rPr>
              <w:t>.</w:t>
            </w:r>
          </w:p>
        </w:tc>
        <w:tc>
          <w:tcPr>
            <w:tcW w:w="1140" w:type="pct"/>
            <w:noWrap/>
          </w:tcPr>
          <w:p w14:paraId="6B11019A" w14:textId="3B15E37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the patients in the MS group (52.8 yrs) was less than the RS group (71.25 yrs).</w:t>
            </w:r>
          </w:p>
        </w:tc>
      </w:tr>
      <w:tr w:rsidR="00001317" w:rsidRPr="00F92832" w14:paraId="64477426" w14:textId="77777777" w:rsidTr="005E213F">
        <w:trPr>
          <w:trHeight w:val="300"/>
        </w:trPr>
        <w:tc>
          <w:tcPr>
            <w:tcW w:w="434" w:type="pct"/>
            <w:noWrap/>
            <w:hideMark/>
          </w:tcPr>
          <w:p w14:paraId="07C5ED37" w14:textId="5CE3ADA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Myrseth et al., 2009</w:t>
            </w:r>
            <w:r w:rsidR="0050559C">
              <w:rPr>
                <w:rFonts w:ascii="Arial" w:eastAsia="Times New Roman" w:hAnsi="Arial" w:cs="Arial"/>
                <w:color w:val="000000"/>
                <w:kern w:val="0"/>
                <w:sz w:val="20"/>
                <w:szCs w:val="20"/>
                <w:vertAlign w:val="superscript"/>
                <w:lang w:eastAsia="en-AU"/>
                <w14:ligatures w14:val="none"/>
              </w:rPr>
              <w:t>27</w:t>
            </w:r>
          </w:p>
        </w:tc>
        <w:tc>
          <w:tcPr>
            <w:tcW w:w="564" w:type="pct"/>
          </w:tcPr>
          <w:p w14:paraId="7BD4E3ED" w14:textId="68227DA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Binary and VAS</w:t>
            </w:r>
          </w:p>
        </w:tc>
        <w:tc>
          <w:tcPr>
            <w:tcW w:w="1085" w:type="pct"/>
            <w:noWrap/>
          </w:tcPr>
          <w:p w14:paraId="78A4F0AF" w14:textId="698ED4A0"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change in VAS</w:t>
            </w:r>
            <w:r w:rsidR="00F92832">
              <w:rPr>
                <w:rFonts w:ascii="Arial" w:eastAsia="Times New Roman" w:hAnsi="Arial" w:cs="Arial"/>
                <w:color w:val="000000"/>
                <w:kern w:val="0"/>
                <w:sz w:val="20"/>
                <w:szCs w:val="20"/>
                <w:lang w:eastAsia="en-AU"/>
                <w14:ligatures w14:val="none"/>
              </w:rPr>
              <w:t>:</w:t>
            </w:r>
          </w:p>
          <w:p w14:paraId="341C4231" w14:textId="5EA1649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- 6.9</w:t>
            </w:r>
          </w:p>
          <w:p w14:paraId="52D5C733"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- 5.9</w:t>
            </w:r>
          </w:p>
          <w:p w14:paraId="5358B304" w14:textId="78C8B27E"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Patients with tinnitus </w:t>
            </w:r>
            <w:r w:rsidR="00AD3E3B" w:rsidRPr="00F92832">
              <w:rPr>
                <w:rFonts w:ascii="Arial" w:eastAsia="Times New Roman" w:hAnsi="Arial" w:cs="Arial"/>
                <w:color w:val="000000"/>
                <w:kern w:val="0"/>
                <w:sz w:val="20"/>
                <w:szCs w:val="20"/>
                <w:lang w:eastAsia="en-AU"/>
                <w14:ligatures w14:val="none"/>
              </w:rPr>
              <w:t>pre-</w:t>
            </w:r>
            <w:r w:rsidRPr="00F92832">
              <w:rPr>
                <w:rFonts w:ascii="Arial" w:eastAsia="Times New Roman" w:hAnsi="Arial" w:cs="Arial"/>
                <w:color w:val="000000"/>
                <w:kern w:val="0"/>
                <w:sz w:val="20"/>
                <w:szCs w:val="20"/>
                <w:lang w:eastAsia="en-AU"/>
                <w14:ligatures w14:val="none"/>
              </w:rPr>
              <w:t xml:space="preserve"> and post-treatment</w:t>
            </w:r>
            <w:r w:rsidR="00F92832">
              <w:rPr>
                <w:rFonts w:ascii="Arial" w:eastAsia="Times New Roman" w:hAnsi="Arial" w:cs="Arial"/>
                <w:color w:val="000000"/>
                <w:kern w:val="0"/>
                <w:sz w:val="20"/>
                <w:szCs w:val="20"/>
                <w:lang w:eastAsia="en-AU"/>
                <w14:ligatures w14:val="none"/>
              </w:rPr>
              <w:t>:</w:t>
            </w:r>
          </w:p>
          <w:p w14:paraId="0D5CDB62" w14:textId="6D60B5E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85.7 and 66.7%</w:t>
            </w:r>
          </w:p>
          <w:p w14:paraId="07C2110A"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81.7 and 83.1%</w:t>
            </w:r>
          </w:p>
          <w:p w14:paraId="195BEDA3" w14:textId="283A6722" w:rsidR="00001317" w:rsidRPr="00F92832" w:rsidRDefault="00001317" w:rsidP="00001317">
            <w:pPr>
              <w:rPr>
                <w:rFonts w:ascii="Arial" w:eastAsia="Times New Roman" w:hAnsi="Arial" w:cs="Arial"/>
                <w:color w:val="000000"/>
                <w:kern w:val="0"/>
                <w:sz w:val="20"/>
                <w:szCs w:val="20"/>
                <w:lang w:eastAsia="en-AU"/>
                <w14:ligatures w14:val="none"/>
              </w:rPr>
            </w:pPr>
          </w:p>
        </w:tc>
        <w:tc>
          <w:tcPr>
            <w:tcW w:w="892" w:type="pct"/>
            <w:noWrap/>
          </w:tcPr>
          <w:p w14:paraId="69760016"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No significant difference in change in VAS between groups at 2 years.</w:t>
            </w:r>
          </w:p>
          <w:p w14:paraId="76B84C7F" w14:textId="6115FC65" w:rsidR="00001317" w:rsidRPr="00F92832" w:rsidRDefault="00001317" w:rsidP="00001317">
            <w:pPr>
              <w:rPr>
                <w:rFonts w:ascii="Arial" w:eastAsia="Times New Roman" w:hAnsi="Arial" w:cs="Arial"/>
                <w:color w:val="000000"/>
                <w:kern w:val="0"/>
                <w:sz w:val="20"/>
                <w:szCs w:val="20"/>
                <w:lang w:eastAsia="en-AU"/>
                <w14:ligatures w14:val="none"/>
              </w:rPr>
            </w:pPr>
          </w:p>
        </w:tc>
        <w:tc>
          <w:tcPr>
            <w:tcW w:w="885" w:type="pct"/>
          </w:tcPr>
          <w:p w14:paraId="0A507A95" w14:textId="537C4D5A" w:rsidR="00001317" w:rsidRPr="00F92832" w:rsidRDefault="003D2C14" w:rsidP="00001317">
            <w:pPr>
              <w:rPr>
                <w:rFonts w:ascii="Arial" w:eastAsia="Times New Roman" w:hAnsi="Arial" w:cs="Arial"/>
                <w:color w:val="000000"/>
                <w:kern w:val="0"/>
                <w:sz w:val="20"/>
                <w:szCs w:val="20"/>
                <w:lang w:eastAsia="en-AU"/>
                <w14:ligatures w14:val="none"/>
              </w:rPr>
            </w:pPr>
            <w:r>
              <w:rPr>
                <w:rFonts w:ascii="Arial" w:hAnsi="Arial" w:cs="Arial"/>
                <w:sz w:val="20"/>
                <w:szCs w:val="20"/>
              </w:rPr>
              <w:t>S</w:t>
            </w:r>
            <w:r w:rsidR="00BB632B">
              <w:rPr>
                <w:rFonts w:ascii="Arial" w:hAnsi="Arial" w:cs="Arial"/>
                <w:sz w:val="20"/>
                <w:szCs w:val="20"/>
              </w:rPr>
              <w:t xml:space="preserve">erviceable </w:t>
            </w:r>
            <w:r w:rsidR="003912AD" w:rsidRPr="00F92832">
              <w:rPr>
                <w:rFonts w:ascii="Arial" w:hAnsi="Arial" w:cs="Arial"/>
                <w:sz w:val="20"/>
                <w:szCs w:val="20"/>
              </w:rPr>
              <w:t>hearing</w:t>
            </w:r>
            <w:r>
              <w:rPr>
                <w:rFonts w:ascii="Arial" w:hAnsi="Arial" w:cs="Arial"/>
                <w:sz w:val="20"/>
                <w:szCs w:val="20"/>
              </w:rPr>
              <w:t xml:space="preserve"> preservation</w:t>
            </w:r>
            <w:r w:rsidR="003912AD" w:rsidRPr="00F92832">
              <w:rPr>
                <w:rFonts w:ascii="Arial" w:hAnsi="Arial" w:cs="Arial"/>
                <w:sz w:val="20"/>
                <w:szCs w:val="20"/>
              </w:rPr>
              <w:t xml:space="preserve">:  0% in (MS) vs </w:t>
            </w:r>
            <w:r>
              <w:rPr>
                <w:rFonts w:ascii="Arial" w:hAnsi="Arial" w:cs="Arial"/>
                <w:sz w:val="20"/>
                <w:szCs w:val="20"/>
              </w:rPr>
              <w:t>68</w:t>
            </w:r>
            <w:r w:rsidR="00001317" w:rsidRPr="00F92832">
              <w:rPr>
                <w:rFonts w:ascii="Arial" w:hAnsi="Arial" w:cs="Arial"/>
                <w:sz w:val="20"/>
                <w:szCs w:val="20"/>
              </w:rPr>
              <w:t xml:space="preserve">% </w:t>
            </w:r>
            <w:r w:rsidR="003912AD" w:rsidRPr="00F92832">
              <w:rPr>
                <w:rFonts w:ascii="Arial" w:hAnsi="Arial" w:cs="Arial"/>
                <w:sz w:val="20"/>
                <w:szCs w:val="20"/>
              </w:rPr>
              <w:t>(</w:t>
            </w:r>
            <w:r w:rsidR="00001317" w:rsidRPr="00F92832">
              <w:rPr>
                <w:rFonts w:ascii="Arial" w:hAnsi="Arial" w:cs="Arial"/>
                <w:sz w:val="20"/>
                <w:szCs w:val="20"/>
              </w:rPr>
              <w:t>RS</w:t>
            </w:r>
            <w:r w:rsidR="003912AD" w:rsidRPr="00F92832">
              <w:rPr>
                <w:rFonts w:ascii="Arial" w:hAnsi="Arial" w:cs="Arial"/>
                <w:sz w:val="20"/>
                <w:szCs w:val="20"/>
              </w:rPr>
              <w:t>).</w:t>
            </w:r>
            <w:r w:rsidR="00001317" w:rsidRPr="00F92832">
              <w:rPr>
                <w:rFonts w:ascii="Arial" w:hAnsi="Arial" w:cs="Arial"/>
                <w:sz w:val="20"/>
                <w:szCs w:val="20"/>
              </w:rPr>
              <w:t xml:space="preserve">  </w:t>
            </w:r>
          </w:p>
        </w:tc>
        <w:tc>
          <w:tcPr>
            <w:tcW w:w="1140" w:type="pct"/>
            <w:noWrap/>
          </w:tcPr>
          <w:p w14:paraId="175B8C84" w14:textId="4B5155A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VAS was lower in the MS group than in the RS group at baseline and 1 year (p=0.03).</w:t>
            </w:r>
          </w:p>
        </w:tc>
      </w:tr>
      <w:tr w:rsidR="00001317" w:rsidRPr="00F92832" w14:paraId="4A9E53B2" w14:textId="77777777" w:rsidTr="005E213F">
        <w:trPr>
          <w:trHeight w:val="300"/>
        </w:trPr>
        <w:tc>
          <w:tcPr>
            <w:tcW w:w="434" w:type="pct"/>
            <w:noWrap/>
          </w:tcPr>
          <w:p w14:paraId="43465737" w14:textId="301CFC36"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lastRenderedPageBreak/>
              <w:t>Park et al., 2011</w:t>
            </w:r>
            <w:r w:rsidRPr="00F92832">
              <w:rPr>
                <w:rFonts w:ascii="Arial" w:eastAsia="Times New Roman" w:hAnsi="Arial" w:cs="Arial"/>
                <w:color w:val="000000"/>
                <w:kern w:val="0"/>
                <w:sz w:val="20"/>
                <w:szCs w:val="20"/>
                <w:vertAlign w:val="superscript"/>
                <w:lang w:eastAsia="en-AU"/>
                <w14:ligatures w14:val="none"/>
              </w:rPr>
              <w:t>2</w:t>
            </w:r>
            <w:r w:rsidR="0050559C">
              <w:rPr>
                <w:rFonts w:ascii="Arial" w:eastAsia="Times New Roman" w:hAnsi="Arial" w:cs="Arial"/>
                <w:color w:val="000000"/>
                <w:kern w:val="0"/>
                <w:sz w:val="20"/>
                <w:szCs w:val="20"/>
                <w:vertAlign w:val="superscript"/>
                <w:lang w:eastAsia="en-AU"/>
                <w14:ligatures w14:val="none"/>
              </w:rPr>
              <w:t>9</w:t>
            </w:r>
          </w:p>
        </w:tc>
        <w:tc>
          <w:tcPr>
            <w:tcW w:w="564" w:type="pct"/>
          </w:tcPr>
          <w:p w14:paraId="3D3F04C2" w14:textId="0C9E58DF"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VAS</w:t>
            </w:r>
          </w:p>
        </w:tc>
        <w:tc>
          <w:tcPr>
            <w:tcW w:w="1085" w:type="pct"/>
            <w:noWrap/>
          </w:tcPr>
          <w:p w14:paraId="5DE0184A" w14:textId="2B4AA45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scores pre- and post-treatment</w:t>
            </w:r>
            <w:r w:rsidR="00F92832">
              <w:rPr>
                <w:rFonts w:ascii="Arial" w:eastAsia="Times New Roman" w:hAnsi="Arial" w:cs="Arial"/>
                <w:color w:val="000000"/>
                <w:kern w:val="0"/>
                <w:sz w:val="20"/>
                <w:szCs w:val="20"/>
                <w:lang w:eastAsia="en-AU"/>
                <w14:ligatures w14:val="none"/>
              </w:rPr>
              <w:t>:</w:t>
            </w:r>
          </w:p>
          <w:p w14:paraId="33E72FF6" w14:textId="6C8DAD22"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4.9 and 3.1</w:t>
            </w:r>
          </w:p>
          <w:p w14:paraId="35A650E2" w14:textId="11983365"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5.3 and 3.5</w:t>
            </w:r>
          </w:p>
        </w:tc>
        <w:tc>
          <w:tcPr>
            <w:tcW w:w="892" w:type="pct"/>
            <w:noWrap/>
          </w:tcPr>
          <w:p w14:paraId="64F37DB3" w14:textId="0F0CAAF2"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Decrease in tinnitus scores: 37% (MS) vs 34%(RS)</w:t>
            </w:r>
          </w:p>
          <w:p w14:paraId="4879AFBD" w14:textId="5481C66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No patient had an increase in score.</w:t>
            </w:r>
          </w:p>
        </w:tc>
        <w:tc>
          <w:tcPr>
            <w:tcW w:w="885" w:type="pct"/>
          </w:tcPr>
          <w:p w14:paraId="35B023E2" w14:textId="7FBEF242" w:rsidR="00001317" w:rsidRPr="00F92832" w:rsidRDefault="00D52568"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Serviceable hearing: 7% (MS) vs</w:t>
            </w:r>
            <w:r w:rsidR="00001317" w:rsidRPr="00F92832">
              <w:rPr>
                <w:rFonts w:ascii="Arial" w:hAnsi="Arial" w:cs="Arial"/>
                <w:sz w:val="20"/>
                <w:szCs w:val="20"/>
              </w:rPr>
              <w:t xml:space="preserve"> </w:t>
            </w:r>
            <w:r w:rsidRPr="00F92832">
              <w:rPr>
                <w:rFonts w:ascii="Arial" w:hAnsi="Arial" w:cs="Arial"/>
                <w:sz w:val="20"/>
                <w:szCs w:val="20"/>
              </w:rPr>
              <w:t>45% (</w:t>
            </w:r>
            <w:r w:rsidR="00001317" w:rsidRPr="00F92832">
              <w:rPr>
                <w:rFonts w:ascii="Arial" w:hAnsi="Arial" w:cs="Arial"/>
                <w:sz w:val="20"/>
                <w:szCs w:val="20"/>
              </w:rPr>
              <w:t>RS</w:t>
            </w:r>
            <w:r w:rsidRPr="00F92832">
              <w:rPr>
                <w:rFonts w:ascii="Arial" w:hAnsi="Arial" w:cs="Arial"/>
                <w:sz w:val="20"/>
                <w:szCs w:val="20"/>
              </w:rPr>
              <w:t>).</w:t>
            </w:r>
            <w:r w:rsidR="00001317" w:rsidRPr="00F92832">
              <w:rPr>
                <w:rFonts w:ascii="Arial" w:hAnsi="Arial" w:cs="Arial"/>
                <w:sz w:val="20"/>
                <w:szCs w:val="20"/>
              </w:rPr>
              <w:t xml:space="preserve"> </w:t>
            </w:r>
          </w:p>
        </w:tc>
        <w:tc>
          <w:tcPr>
            <w:tcW w:w="1140" w:type="pct"/>
            <w:noWrap/>
          </w:tcPr>
          <w:p w14:paraId="18A0B95F" w14:textId="4C7B6A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patients in the MS group (49.9 yrs) was lower than the RS group (59.7 yrs). The mean tumour size was lower in the RS group (19.3 mm) than in the MS group (35.6 mm).</w:t>
            </w:r>
          </w:p>
          <w:p w14:paraId="7F57C3FE" w14:textId="1062CA6E" w:rsidR="00001317" w:rsidRPr="00F92832" w:rsidRDefault="00001317" w:rsidP="00001317">
            <w:pPr>
              <w:rPr>
                <w:rFonts w:ascii="Arial" w:eastAsia="Times New Roman" w:hAnsi="Arial" w:cs="Arial"/>
                <w:color w:val="000000"/>
                <w:kern w:val="0"/>
                <w:sz w:val="20"/>
                <w:szCs w:val="20"/>
                <w:lang w:eastAsia="en-AU"/>
                <w14:ligatures w14:val="none"/>
              </w:rPr>
            </w:pPr>
          </w:p>
        </w:tc>
      </w:tr>
      <w:tr w:rsidR="00001317" w:rsidRPr="00F92832" w14:paraId="3D2237FD" w14:textId="77777777" w:rsidTr="005E213F">
        <w:trPr>
          <w:trHeight w:val="1243"/>
        </w:trPr>
        <w:tc>
          <w:tcPr>
            <w:tcW w:w="434" w:type="pct"/>
            <w:noWrap/>
            <w:hideMark/>
          </w:tcPr>
          <w:p w14:paraId="243FC05B" w14:textId="3A0F3410"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Park et al., 2014</w:t>
            </w:r>
            <w:r w:rsidRPr="00F92832">
              <w:rPr>
                <w:rFonts w:ascii="Arial" w:eastAsia="Times New Roman" w:hAnsi="Arial" w:cs="Arial"/>
                <w:color w:val="000000"/>
                <w:kern w:val="0"/>
                <w:sz w:val="20"/>
                <w:szCs w:val="20"/>
                <w:vertAlign w:val="superscript"/>
                <w:lang w:eastAsia="en-AU"/>
                <w14:ligatures w14:val="none"/>
              </w:rPr>
              <w:t>3</w:t>
            </w:r>
            <w:r w:rsidR="0050559C">
              <w:rPr>
                <w:rFonts w:ascii="Arial" w:eastAsia="Times New Roman" w:hAnsi="Arial" w:cs="Arial"/>
                <w:color w:val="000000"/>
                <w:kern w:val="0"/>
                <w:sz w:val="20"/>
                <w:szCs w:val="20"/>
                <w:vertAlign w:val="superscript"/>
                <w:lang w:eastAsia="en-AU"/>
                <w14:ligatures w14:val="none"/>
              </w:rPr>
              <w:t>0</w:t>
            </w:r>
          </w:p>
        </w:tc>
        <w:tc>
          <w:tcPr>
            <w:tcW w:w="564" w:type="pct"/>
          </w:tcPr>
          <w:p w14:paraId="6FD74445" w14:textId="2B160F1B"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THI and VAS (ordinal)</w:t>
            </w:r>
          </w:p>
        </w:tc>
        <w:tc>
          <w:tcPr>
            <w:tcW w:w="1085" w:type="pct"/>
            <w:noWrap/>
          </w:tcPr>
          <w:p w14:paraId="18B91C84"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change in THI scores:</w:t>
            </w:r>
          </w:p>
          <w:p w14:paraId="7A0130CE" w14:textId="7869653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51.25 to 31.7 (p=0.006)</w:t>
            </w:r>
          </w:p>
          <w:p w14:paraId="2865FC57" w14:textId="2CEAE77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15.29 to 41.2 (p&lt;0.05)</w:t>
            </w:r>
          </w:p>
        </w:tc>
        <w:tc>
          <w:tcPr>
            <w:tcW w:w="892" w:type="pct"/>
            <w:noWrap/>
          </w:tcPr>
          <w:p w14:paraId="6B8E6B79" w14:textId="6D2AC1F2" w:rsidR="00001317" w:rsidRPr="00F92832" w:rsidRDefault="00001317" w:rsidP="00001317">
            <w:pPr>
              <w:rPr>
                <w:rFonts w:ascii="Arial" w:eastAsia="Times New Roman" w:hAnsi="Arial" w:cs="Arial"/>
                <w:kern w:val="0"/>
                <w:sz w:val="20"/>
                <w:szCs w:val="20"/>
                <w:lang w:eastAsia="en-AU"/>
                <w14:ligatures w14:val="none"/>
              </w:rPr>
            </w:pPr>
            <w:r w:rsidRPr="00F92832">
              <w:rPr>
                <w:rFonts w:ascii="Arial" w:eastAsia="Times New Roman" w:hAnsi="Arial" w:cs="Arial"/>
                <w:kern w:val="0"/>
                <w:sz w:val="20"/>
                <w:szCs w:val="20"/>
                <w:lang w:eastAsia="en-AU"/>
                <w14:ligatures w14:val="none"/>
              </w:rPr>
              <w:t>Tinnitus scores (THI and VAS) in the MS group significantly decreased, and scores in the RS group significantly increased.</w:t>
            </w:r>
          </w:p>
        </w:tc>
        <w:tc>
          <w:tcPr>
            <w:tcW w:w="885" w:type="pct"/>
          </w:tcPr>
          <w:p w14:paraId="376A9140" w14:textId="7C488DCF" w:rsidR="00001317" w:rsidRPr="00F92832" w:rsidRDefault="00001317" w:rsidP="00001317">
            <w:pPr>
              <w:rPr>
                <w:rFonts w:ascii="Arial" w:eastAsia="Times New Roman" w:hAnsi="Arial" w:cs="Arial"/>
                <w:kern w:val="0"/>
                <w:sz w:val="20"/>
                <w:szCs w:val="20"/>
                <w:lang w:eastAsia="en-AU"/>
                <w14:ligatures w14:val="none"/>
              </w:rPr>
            </w:pPr>
            <w:r w:rsidRPr="00F92832">
              <w:rPr>
                <w:rFonts w:ascii="Arial" w:hAnsi="Arial" w:cs="Arial"/>
                <w:sz w:val="20"/>
                <w:szCs w:val="20"/>
              </w:rPr>
              <w:t>NA</w:t>
            </w:r>
          </w:p>
        </w:tc>
        <w:tc>
          <w:tcPr>
            <w:tcW w:w="1140" w:type="pct"/>
            <w:noWrap/>
          </w:tcPr>
          <w:p w14:paraId="0E8325EE" w14:textId="415D67F9" w:rsidR="00001317" w:rsidRPr="00F92832" w:rsidRDefault="00001317" w:rsidP="00001317">
            <w:pPr>
              <w:rPr>
                <w:rFonts w:ascii="Arial" w:eastAsia="Times New Roman" w:hAnsi="Arial" w:cs="Arial"/>
                <w:kern w:val="0"/>
                <w:sz w:val="20"/>
                <w:szCs w:val="20"/>
                <w:lang w:eastAsia="en-AU"/>
                <w14:ligatures w14:val="none"/>
              </w:rPr>
            </w:pPr>
            <w:r w:rsidRPr="00F92832">
              <w:rPr>
                <w:rFonts w:ascii="Arial" w:eastAsia="Times New Roman" w:hAnsi="Arial" w:cs="Arial"/>
                <w:kern w:val="0"/>
                <w:sz w:val="20"/>
                <w:szCs w:val="20"/>
                <w:lang w:eastAsia="en-AU"/>
                <w14:ligatures w14:val="none"/>
              </w:rPr>
              <w:t>Definition of significant change: at least 20% change in THI and 10 scores in VAS.</w:t>
            </w:r>
          </w:p>
          <w:p w14:paraId="7AE25C91" w14:textId="77777777" w:rsidR="00001317" w:rsidRPr="00F92832" w:rsidRDefault="00001317" w:rsidP="00001317">
            <w:pPr>
              <w:rPr>
                <w:rFonts w:ascii="Arial" w:eastAsia="Times New Roman" w:hAnsi="Arial" w:cs="Arial"/>
                <w:kern w:val="0"/>
                <w:sz w:val="20"/>
                <w:szCs w:val="20"/>
                <w:lang w:eastAsia="en-AU"/>
                <w14:ligatures w14:val="none"/>
              </w:rPr>
            </w:pPr>
            <w:r w:rsidRPr="00F92832">
              <w:rPr>
                <w:rFonts w:ascii="Arial" w:eastAsia="Times New Roman" w:hAnsi="Arial" w:cs="Arial"/>
                <w:kern w:val="0"/>
                <w:sz w:val="20"/>
                <w:szCs w:val="20"/>
                <w:lang w:eastAsia="en-AU"/>
                <w14:ligatures w14:val="none"/>
              </w:rPr>
              <w:t>Vestibulocochlear nerve cut during MS.</w:t>
            </w:r>
          </w:p>
          <w:p w14:paraId="51BDE0F0" w14:textId="6D77DFC2" w:rsidR="00001317" w:rsidRPr="00F92832" w:rsidRDefault="00001317" w:rsidP="00001317">
            <w:pPr>
              <w:rPr>
                <w:rFonts w:ascii="Arial" w:eastAsia="Times New Roman" w:hAnsi="Arial" w:cs="Arial"/>
                <w:kern w:val="0"/>
                <w:sz w:val="20"/>
                <w:szCs w:val="20"/>
                <w:lang w:eastAsia="en-AU"/>
                <w14:ligatures w14:val="none"/>
              </w:rPr>
            </w:pPr>
          </w:p>
        </w:tc>
      </w:tr>
      <w:tr w:rsidR="00001317" w:rsidRPr="00F92832" w14:paraId="5696A751" w14:textId="77777777" w:rsidTr="005E213F">
        <w:trPr>
          <w:trHeight w:val="300"/>
        </w:trPr>
        <w:tc>
          <w:tcPr>
            <w:tcW w:w="434" w:type="pct"/>
            <w:noWrap/>
            <w:hideMark/>
          </w:tcPr>
          <w:p w14:paraId="64CAC710" w14:textId="67AB310A" w:rsidR="00001317" w:rsidRPr="00F92832" w:rsidRDefault="00001317" w:rsidP="00001317">
            <w:pPr>
              <w:rPr>
                <w:rFonts w:ascii="Arial" w:eastAsia="Times New Roman" w:hAnsi="Arial" w:cs="Arial"/>
                <w:color w:val="000000"/>
                <w:kern w:val="0"/>
                <w:sz w:val="20"/>
                <w:szCs w:val="20"/>
                <w:lang w:eastAsia="en-AU"/>
                <w14:ligatures w14:val="none"/>
              </w:rPr>
            </w:pPr>
            <w:proofErr w:type="spellStart"/>
            <w:r w:rsidRPr="00F92832">
              <w:rPr>
                <w:rFonts w:ascii="Arial" w:eastAsia="Times New Roman" w:hAnsi="Arial" w:cs="Arial"/>
                <w:color w:val="000000"/>
                <w:kern w:val="0"/>
                <w:sz w:val="20"/>
                <w:szCs w:val="20"/>
                <w:lang w:eastAsia="en-AU"/>
                <w14:ligatures w14:val="none"/>
              </w:rPr>
              <w:t>Deberge</w:t>
            </w:r>
            <w:proofErr w:type="spellEnd"/>
            <w:r w:rsidRPr="00F92832">
              <w:rPr>
                <w:rFonts w:ascii="Arial" w:eastAsia="Times New Roman" w:hAnsi="Arial" w:cs="Arial"/>
                <w:color w:val="000000"/>
                <w:kern w:val="0"/>
                <w:sz w:val="20"/>
                <w:szCs w:val="20"/>
                <w:lang w:eastAsia="en-AU"/>
                <w14:ligatures w14:val="none"/>
              </w:rPr>
              <w:t xml:space="preserve"> et al., 2018</w:t>
            </w:r>
            <w:r w:rsidRPr="00F92832">
              <w:rPr>
                <w:rFonts w:ascii="Arial" w:eastAsia="Times New Roman" w:hAnsi="Arial" w:cs="Arial"/>
                <w:color w:val="000000"/>
                <w:kern w:val="0"/>
                <w:sz w:val="20"/>
                <w:szCs w:val="20"/>
                <w:vertAlign w:val="superscript"/>
                <w:lang w:eastAsia="en-AU"/>
                <w14:ligatures w14:val="none"/>
              </w:rPr>
              <w:t>8</w:t>
            </w:r>
          </w:p>
        </w:tc>
        <w:tc>
          <w:tcPr>
            <w:tcW w:w="564" w:type="pct"/>
          </w:tcPr>
          <w:p w14:paraId="5FE86817" w14:textId="4D3CC8E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THI and binary </w:t>
            </w:r>
          </w:p>
        </w:tc>
        <w:tc>
          <w:tcPr>
            <w:tcW w:w="1085" w:type="pct"/>
            <w:noWrap/>
          </w:tcPr>
          <w:p w14:paraId="63E39B3F" w14:textId="091E19F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Patients with tinnitus pretreatment and post-treatment: </w:t>
            </w:r>
          </w:p>
          <w:p w14:paraId="6A99DB6D" w14:textId="2525C66B"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39.5% and 60.5%</w:t>
            </w:r>
          </w:p>
          <w:p w14:paraId="610A5C15" w14:textId="381852C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39.1% and 47.8%</w:t>
            </w:r>
          </w:p>
          <w:p w14:paraId="56CE7B41" w14:textId="77777777" w:rsidR="00001317" w:rsidRPr="00F92832" w:rsidRDefault="00001317" w:rsidP="00001317">
            <w:pPr>
              <w:rPr>
                <w:rFonts w:ascii="Arial" w:eastAsia="Times New Roman" w:hAnsi="Arial" w:cs="Arial"/>
                <w:color w:val="000000"/>
                <w:kern w:val="0"/>
                <w:sz w:val="20"/>
                <w:szCs w:val="20"/>
                <w:lang w:eastAsia="en-AU"/>
                <w14:ligatures w14:val="none"/>
              </w:rPr>
            </w:pPr>
          </w:p>
          <w:p w14:paraId="013B6CC6" w14:textId="64C7AD35"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THI scores post-treatment</w:t>
            </w:r>
            <w:r w:rsidR="00F92832">
              <w:rPr>
                <w:rFonts w:ascii="Arial" w:eastAsia="Times New Roman" w:hAnsi="Arial" w:cs="Arial"/>
                <w:color w:val="000000"/>
                <w:kern w:val="0"/>
                <w:sz w:val="20"/>
                <w:szCs w:val="20"/>
                <w:lang w:eastAsia="en-AU"/>
                <w14:ligatures w14:val="none"/>
              </w:rPr>
              <w:t>:</w:t>
            </w:r>
          </w:p>
          <w:p w14:paraId="391AFA4C" w14:textId="0E568EBA"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MS: 21.30 </w:t>
            </w:r>
          </w:p>
          <w:p w14:paraId="4A6A99F1" w14:textId="0A6FEEE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15.83</w:t>
            </w:r>
          </w:p>
          <w:p w14:paraId="099FFB7E" w14:textId="7E17A420" w:rsidR="00001317" w:rsidRPr="00F92832" w:rsidRDefault="00001317" w:rsidP="00001317">
            <w:pPr>
              <w:rPr>
                <w:rFonts w:ascii="Arial" w:eastAsia="Times New Roman" w:hAnsi="Arial" w:cs="Arial"/>
                <w:color w:val="000000"/>
                <w:kern w:val="0"/>
                <w:sz w:val="20"/>
                <w:szCs w:val="20"/>
                <w:lang w:eastAsia="en-AU"/>
                <w14:ligatures w14:val="none"/>
              </w:rPr>
            </w:pPr>
          </w:p>
        </w:tc>
        <w:tc>
          <w:tcPr>
            <w:tcW w:w="892" w:type="pct"/>
            <w:noWrap/>
          </w:tcPr>
          <w:p w14:paraId="597FBBDB" w14:textId="698CF250"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There was no significant difference in THI scores between groups.</w:t>
            </w:r>
          </w:p>
        </w:tc>
        <w:tc>
          <w:tcPr>
            <w:tcW w:w="885" w:type="pct"/>
          </w:tcPr>
          <w:p w14:paraId="25968B74" w14:textId="11A6BDA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G</w:t>
            </w:r>
            <w:r w:rsidR="00B378AB">
              <w:rPr>
                <w:rFonts w:ascii="Arial" w:hAnsi="Arial" w:cs="Arial"/>
                <w:sz w:val="20"/>
                <w:szCs w:val="20"/>
              </w:rPr>
              <w:t>R</w:t>
            </w:r>
            <w:r w:rsidRPr="00F92832">
              <w:rPr>
                <w:rFonts w:ascii="Arial" w:hAnsi="Arial" w:cs="Arial"/>
                <w:sz w:val="20"/>
                <w:szCs w:val="20"/>
              </w:rPr>
              <w:t xml:space="preserve"> I/II</w:t>
            </w:r>
            <w:r w:rsidR="00406B62">
              <w:rPr>
                <w:rFonts w:ascii="Arial" w:hAnsi="Arial" w:cs="Arial"/>
                <w:sz w:val="20"/>
                <w:szCs w:val="20"/>
              </w:rPr>
              <w:t xml:space="preserve">: </w:t>
            </w:r>
            <w:r w:rsidR="00ED2501" w:rsidRPr="00F92832">
              <w:rPr>
                <w:rFonts w:ascii="Arial" w:hAnsi="Arial" w:cs="Arial"/>
                <w:sz w:val="20"/>
                <w:szCs w:val="20"/>
              </w:rPr>
              <w:t xml:space="preserve">9.3% (MS) </w:t>
            </w:r>
            <w:r w:rsidR="00F92832" w:rsidRPr="00F92832">
              <w:rPr>
                <w:rFonts w:ascii="Arial" w:hAnsi="Arial" w:cs="Arial"/>
                <w:sz w:val="20"/>
                <w:szCs w:val="20"/>
              </w:rPr>
              <w:t>vs 23.9</w:t>
            </w:r>
            <w:r w:rsidRPr="00F92832">
              <w:rPr>
                <w:rFonts w:ascii="Arial" w:hAnsi="Arial" w:cs="Arial"/>
                <w:sz w:val="20"/>
                <w:szCs w:val="20"/>
              </w:rPr>
              <w:t xml:space="preserve"> </w:t>
            </w:r>
            <w:r w:rsidR="00ED2501" w:rsidRPr="00F92832">
              <w:rPr>
                <w:rFonts w:ascii="Arial" w:hAnsi="Arial" w:cs="Arial"/>
                <w:sz w:val="20"/>
                <w:szCs w:val="20"/>
              </w:rPr>
              <w:t>% (RS).</w:t>
            </w:r>
            <w:r w:rsidRPr="00F92832">
              <w:rPr>
                <w:rFonts w:ascii="Arial" w:hAnsi="Arial" w:cs="Arial"/>
                <w:sz w:val="20"/>
                <w:szCs w:val="20"/>
              </w:rPr>
              <w:t xml:space="preserve"> </w:t>
            </w:r>
          </w:p>
        </w:tc>
        <w:tc>
          <w:tcPr>
            <w:tcW w:w="1140" w:type="pct"/>
            <w:noWrap/>
          </w:tcPr>
          <w:p w14:paraId="218EF599" w14:textId="0E531D45"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The mean age of patients in the MS group (51.4 yrs) was lower than the RS group (62 yrs). </w:t>
            </w:r>
          </w:p>
          <w:p w14:paraId="724D70DD"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No pretreatment THI scores were available. </w:t>
            </w:r>
          </w:p>
          <w:p w14:paraId="1456AB69" w14:textId="0470B146"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7 patients were treated with CK.</w:t>
            </w:r>
          </w:p>
        </w:tc>
      </w:tr>
      <w:tr w:rsidR="00001317" w:rsidRPr="00F92832" w14:paraId="754086CD" w14:textId="77777777" w:rsidTr="005E213F">
        <w:trPr>
          <w:trHeight w:val="300"/>
        </w:trPr>
        <w:tc>
          <w:tcPr>
            <w:tcW w:w="434" w:type="pct"/>
            <w:noWrap/>
          </w:tcPr>
          <w:p w14:paraId="346B67B6" w14:textId="4C07AA3D"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Nuno et al., 2019</w:t>
            </w:r>
            <w:r w:rsidRPr="00F92832">
              <w:rPr>
                <w:rFonts w:ascii="Arial" w:eastAsia="Times New Roman" w:hAnsi="Arial" w:cs="Arial"/>
                <w:color w:val="000000"/>
                <w:kern w:val="0"/>
                <w:sz w:val="20"/>
                <w:szCs w:val="20"/>
                <w:vertAlign w:val="superscript"/>
                <w:lang w:eastAsia="en-AU"/>
                <w14:ligatures w14:val="none"/>
              </w:rPr>
              <w:t>2</w:t>
            </w:r>
            <w:r w:rsidR="0050559C">
              <w:rPr>
                <w:rFonts w:ascii="Arial" w:eastAsia="Times New Roman" w:hAnsi="Arial" w:cs="Arial"/>
                <w:color w:val="000000"/>
                <w:kern w:val="0"/>
                <w:sz w:val="20"/>
                <w:szCs w:val="20"/>
                <w:vertAlign w:val="superscript"/>
                <w:lang w:eastAsia="en-AU"/>
                <w14:ligatures w14:val="none"/>
              </w:rPr>
              <w:t>8</w:t>
            </w:r>
          </w:p>
        </w:tc>
        <w:tc>
          <w:tcPr>
            <w:tcW w:w="564" w:type="pct"/>
          </w:tcPr>
          <w:p w14:paraId="5AA05518" w14:textId="3729408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Binary and ordinal scale</w:t>
            </w:r>
          </w:p>
          <w:p w14:paraId="357C3BB1" w14:textId="7CB3F933" w:rsidR="00001317" w:rsidRPr="00F92832" w:rsidRDefault="00001317" w:rsidP="00001317">
            <w:pPr>
              <w:rPr>
                <w:rFonts w:ascii="Arial" w:eastAsia="Times New Roman" w:hAnsi="Arial" w:cs="Arial"/>
                <w:color w:val="000000"/>
                <w:kern w:val="0"/>
                <w:sz w:val="20"/>
                <w:szCs w:val="20"/>
                <w:lang w:eastAsia="en-AU"/>
                <w14:ligatures w14:val="none"/>
              </w:rPr>
            </w:pPr>
          </w:p>
        </w:tc>
        <w:tc>
          <w:tcPr>
            <w:tcW w:w="1085" w:type="pct"/>
            <w:noWrap/>
          </w:tcPr>
          <w:p w14:paraId="4F6323A1" w14:textId="5B4CC5BC"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Patients with tinnitus pre- and post-treatment</w:t>
            </w:r>
            <w:r w:rsidR="00F92832">
              <w:rPr>
                <w:rFonts w:ascii="Arial" w:eastAsia="Times New Roman" w:hAnsi="Arial" w:cs="Arial"/>
                <w:color w:val="000000"/>
                <w:kern w:val="0"/>
                <w:sz w:val="20"/>
                <w:szCs w:val="20"/>
                <w:lang w:eastAsia="en-AU"/>
                <w14:ligatures w14:val="none"/>
              </w:rPr>
              <w:t>:</w:t>
            </w:r>
          </w:p>
          <w:p w14:paraId="0410F899" w14:textId="3D47EB16"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26.9% and 4.6%</w:t>
            </w:r>
          </w:p>
          <w:p w14:paraId="7A0AC3AC" w14:textId="3353D810"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21.5% and 3.8%</w:t>
            </w:r>
          </w:p>
        </w:tc>
        <w:tc>
          <w:tcPr>
            <w:tcW w:w="892" w:type="pct"/>
            <w:noWrap/>
          </w:tcPr>
          <w:p w14:paraId="0A019D8A" w14:textId="0A838DF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improved in both groups. A greater improvement in the MS group: 23.9% vs 19.2%. Tinnitus morbidity at 6 months: OR 1.06 (0.71-1.52).</w:t>
            </w:r>
          </w:p>
        </w:tc>
        <w:tc>
          <w:tcPr>
            <w:tcW w:w="885" w:type="pct"/>
          </w:tcPr>
          <w:p w14:paraId="49FC57D2" w14:textId="77519E1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 xml:space="preserve">MS </w:t>
            </w:r>
            <w:r w:rsidR="00F92832" w:rsidRPr="00F92832">
              <w:rPr>
                <w:rFonts w:ascii="Arial" w:hAnsi="Arial" w:cs="Arial"/>
                <w:sz w:val="20"/>
                <w:szCs w:val="20"/>
              </w:rPr>
              <w:t xml:space="preserve">group had a </w:t>
            </w:r>
            <w:r w:rsidRPr="00F92832">
              <w:rPr>
                <w:rFonts w:ascii="Arial" w:hAnsi="Arial" w:cs="Arial"/>
                <w:sz w:val="20"/>
                <w:szCs w:val="20"/>
              </w:rPr>
              <w:t xml:space="preserve">higher </w:t>
            </w:r>
            <w:r w:rsidR="00B378AB">
              <w:rPr>
                <w:rFonts w:ascii="Arial" w:hAnsi="Arial" w:cs="Arial"/>
                <w:sz w:val="20"/>
                <w:szCs w:val="20"/>
              </w:rPr>
              <w:t>rate</w:t>
            </w:r>
            <w:r w:rsidRPr="00F92832">
              <w:rPr>
                <w:rFonts w:ascii="Arial" w:hAnsi="Arial" w:cs="Arial"/>
                <w:sz w:val="20"/>
                <w:szCs w:val="20"/>
              </w:rPr>
              <w:t xml:space="preserve"> </w:t>
            </w:r>
            <w:r w:rsidR="00B378AB">
              <w:rPr>
                <w:rFonts w:ascii="Arial" w:hAnsi="Arial" w:cs="Arial"/>
                <w:sz w:val="20"/>
                <w:szCs w:val="20"/>
              </w:rPr>
              <w:t>of</w:t>
            </w:r>
            <w:r w:rsidRPr="00F92832">
              <w:rPr>
                <w:rFonts w:ascii="Arial" w:hAnsi="Arial" w:cs="Arial"/>
                <w:sz w:val="20"/>
                <w:szCs w:val="20"/>
              </w:rPr>
              <w:t xml:space="preserve"> hearing loss</w:t>
            </w:r>
            <w:r w:rsidR="00F92832" w:rsidRPr="00F92832">
              <w:rPr>
                <w:rFonts w:ascii="Arial" w:hAnsi="Arial" w:cs="Arial"/>
                <w:sz w:val="20"/>
                <w:szCs w:val="20"/>
              </w:rPr>
              <w:t>:</w:t>
            </w:r>
            <w:r w:rsidRPr="00F92832">
              <w:rPr>
                <w:rFonts w:ascii="Arial" w:hAnsi="Arial" w:cs="Arial"/>
                <w:sz w:val="20"/>
                <w:szCs w:val="20"/>
              </w:rPr>
              <w:t xml:space="preserve"> </w:t>
            </w:r>
            <w:r w:rsidR="00F92832" w:rsidRPr="00F92832">
              <w:rPr>
                <w:rFonts w:ascii="Arial" w:hAnsi="Arial" w:cs="Arial"/>
                <w:sz w:val="20"/>
                <w:szCs w:val="20"/>
              </w:rPr>
              <w:t>Odds ratio =</w:t>
            </w:r>
            <w:r w:rsidRPr="00F92832">
              <w:rPr>
                <w:rFonts w:ascii="Arial" w:hAnsi="Arial" w:cs="Arial"/>
                <w:sz w:val="20"/>
                <w:szCs w:val="20"/>
              </w:rPr>
              <w:t xml:space="preserve"> 2.15 </w:t>
            </w:r>
            <w:r w:rsidR="00F92832" w:rsidRPr="00F92832">
              <w:rPr>
                <w:rFonts w:ascii="Arial" w:hAnsi="Arial" w:cs="Arial"/>
                <w:sz w:val="20"/>
                <w:szCs w:val="20"/>
              </w:rPr>
              <w:t>(</w:t>
            </w:r>
            <w:r w:rsidR="00B378AB">
              <w:rPr>
                <w:rFonts w:ascii="Arial" w:hAnsi="Arial" w:cs="Arial"/>
                <w:sz w:val="20"/>
                <w:szCs w:val="20"/>
              </w:rPr>
              <w:t>95% CI:</w:t>
            </w:r>
            <w:r w:rsidRPr="00F92832">
              <w:rPr>
                <w:rFonts w:ascii="Arial" w:hAnsi="Arial" w:cs="Arial"/>
                <w:sz w:val="20"/>
                <w:szCs w:val="20"/>
              </w:rPr>
              <w:t>1.82-2.52</w:t>
            </w:r>
            <w:r w:rsidR="00F92832" w:rsidRPr="00F92832">
              <w:rPr>
                <w:rFonts w:ascii="Arial" w:hAnsi="Arial" w:cs="Arial"/>
                <w:sz w:val="20"/>
                <w:szCs w:val="20"/>
              </w:rPr>
              <w:t>)</w:t>
            </w:r>
          </w:p>
        </w:tc>
        <w:tc>
          <w:tcPr>
            <w:tcW w:w="1140" w:type="pct"/>
            <w:noWrap/>
          </w:tcPr>
          <w:p w14:paraId="6DF34A67" w14:textId="1B709B2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Provider reported tinnitus assessment.</w:t>
            </w:r>
          </w:p>
          <w:p w14:paraId="38381B75"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was assessed at 6 months post-treatment.</w:t>
            </w:r>
          </w:p>
          <w:p w14:paraId="24200640" w14:textId="7B9C7952"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The mean age of patients in the MS group (50.1 yrs) was lower than the RS group (56.3 yrs). </w:t>
            </w:r>
          </w:p>
          <w:p w14:paraId="655C6AF7" w14:textId="77777777" w:rsidR="00001317" w:rsidRPr="00F92832" w:rsidRDefault="00001317" w:rsidP="00001317">
            <w:pPr>
              <w:rPr>
                <w:rFonts w:ascii="Arial" w:eastAsia="Times New Roman" w:hAnsi="Arial" w:cs="Arial"/>
                <w:color w:val="000000"/>
                <w:kern w:val="0"/>
                <w:sz w:val="20"/>
                <w:szCs w:val="20"/>
                <w:lang w:eastAsia="en-AU"/>
                <w14:ligatures w14:val="none"/>
              </w:rPr>
            </w:pPr>
          </w:p>
          <w:p w14:paraId="7B057AF1" w14:textId="5277A331" w:rsidR="00001317" w:rsidRPr="00F92832" w:rsidRDefault="00001317" w:rsidP="00001317">
            <w:pPr>
              <w:rPr>
                <w:rFonts w:ascii="Arial" w:eastAsia="Times New Roman" w:hAnsi="Arial" w:cs="Arial"/>
                <w:color w:val="000000"/>
                <w:kern w:val="0"/>
                <w:sz w:val="20"/>
                <w:szCs w:val="20"/>
                <w:lang w:eastAsia="en-AU"/>
                <w14:ligatures w14:val="none"/>
              </w:rPr>
            </w:pPr>
          </w:p>
        </w:tc>
      </w:tr>
      <w:tr w:rsidR="00001317" w:rsidRPr="00F92832" w14:paraId="4D365198" w14:textId="77777777" w:rsidTr="005E213F">
        <w:trPr>
          <w:trHeight w:val="300"/>
        </w:trPr>
        <w:tc>
          <w:tcPr>
            <w:tcW w:w="434" w:type="pct"/>
            <w:noWrap/>
            <w:hideMark/>
          </w:tcPr>
          <w:p w14:paraId="6C9DB2AD" w14:textId="04F8DE7B"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Rizk et al., 2019</w:t>
            </w:r>
            <w:r w:rsidR="0050559C" w:rsidRPr="0050559C">
              <w:rPr>
                <w:rFonts w:ascii="Arial" w:eastAsia="Times New Roman" w:hAnsi="Arial" w:cs="Arial"/>
                <w:color w:val="000000"/>
                <w:kern w:val="0"/>
                <w:sz w:val="20"/>
                <w:szCs w:val="20"/>
                <w:vertAlign w:val="superscript"/>
                <w:lang w:eastAsia="en-AU"/>
                <w14:ligatures w14:val="none"/>
              </w:rPr>
              <w:t>33</w:t>
            </w:r>
          </w:p>
        </w:tc>
        <w:tc>
          <w:tcPr>
            <w:tcW w:w="564" w:type="pct"/>
          </w:tcPr>
          <w:p w14:paraId="561C2D3D" w14:textId="1F6C0DD2"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Binary</w:t>
            </w:r>
          </w:p>
        </w:tc>
        <w:tc>
          <w:tcPr>
            <w:tcW w:w="1085" w:type="pct"/>
            <w:noWrap/>
          </w:tcPr>
          <w:p w14:paraId="37576892" w14:textId="642EB3C3"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Patients with tinnitus pre- and post-treatment</w:t>
            </w:r>
          </w:p>
          <w:p w14:paraId="3B6B9851" w14:textId="727F7830"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77.9% and 14.1%</w:t>
            </w:r>
          </w:p>
          <w:p w14:paraId="41CF5D24" w14:textId="46084C34"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71.9% and 69.1%</w:t>
            </w:r>
          </w:p>
        </w:tc>
        <w:tc>
          <w:tcPr>
            <w:tcW w:w="892" w:type="pct"/>
            <w:noWrap/>
          </w:tcPr>
          <w:p w14:paraId="4B35110F" w14:textId="2CA048D8"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MS group had fewer patients with tinnitus post-treatment than the RS group (p=&lt;0.001).</w:t>
            </w:r>
          </w:p>
        </w:tc>
        <w:tc>
          <w:tcPr>
            <w:tcW w:w="885" w:type="pct"/>
          </w:tcPr>
          <w:p w14:paraId="58A4D453" w14:textId="7CC6BC8D"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 xml:space="preserve">GR </w:t>
            </w:r>
            <w:r w:rsidR="00F92832" w:rsidRPr="00F92832">
              <w:rPr>
                <w:rFonts w:ascii="Arial" w:hAnsi="Arial" w:cs="Arial"/>
                <w:sz w:val="20"/>
                <w:szCs w:val="20"/>
              </w:rPr>
              <w:t>I or II:</w:t>
            </w:r>
            <w:r w:rsidRPr="00F92832">
              <w:rPr>
                <w:rFonts w:ascii="Arial" w:hAnsi="Arial" w:cs="Arial"/>
                <w:sz w:val="20"/>
                <w:szCs w:val="20"/>
              </w:rPr>
              <w:t xml:space="preserve"> 25% </w:t>
            </w:r>
            <w:r w:rsidR="00F92832" w:rsidRPr="00F92832">
              <w:rPr>
                <w:rFonts w:ascii="Arial" w:hAnsi="Arial" w:cs="Arial"/>
                <w:sz w:val="20"/>
                <w:szCs w:val="20"/>
              </w:rPr>
              <w:t xml:space="preserve">(MS) </w:t>
            </w:r>
            <w:r w:rsidR="005E213F" w:rsidRPr="00F92832">
              <w:rPr>
                <w:rFonts w:ascii="Arial" w:hAnsi="Arial" w:cs="Arial"/>
                <w:sz w:val="20"/>
                <w:szCs w:val="20"/>
              </w:rPr>
              <w:t>vs 33.8</w:t>
            </w:r>
            <w:r w:rsidR="00F92832" w:rsidRPr="00F92832">
              <w:rPr>
                <w:rFonts w:ascii="Arial" w:hAnsi="Arial" w:cs="Arial"/>
                <w:sz w:val="20"/>
                <w:szCs w:val="20"/>
              </w:rPr>
              <w:t>% (RS).</w:t>
            </w:r>
          </w:p>
        </w:tc>
        <w:tc>
          <w:tcPr>
            <w:tcW w:w="1140" w:type="pct"/>
            <w:noWrap/>
          </w:tcPr>
          <w:p w14:paraId="1F6F6C19" w14:textId="70C1DF6A"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Longer follow-up in the RS group (45.6 months) vs the MS group (15.3 months). </w:t>
            </w:r>
          </w:p>
          <w:p w14:paraId="5D30AA59"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Tumour size was significantly larger in the MS group.</w:t>
            </w:r>
          </w:p>
          <w:p w14:paraId="4DDC4444" w14:textId="5EF270DA" w:rsidR="00001317" w:rsidRPr="00F92832" w:rsidRDefault="00001317" w:rsidP="00001317">
            <w:pPr>
              <w:rPr>
                <w:rFonts w:ascii="Arial" w:eastAsia="Times New Roman" w:hAnsi="Arial" w:cs="Arial"/>
                <w:color w:val="000000"/>
                <w:kern w:val="0"/>
                <w:sz w:val="20"/>
                <w:szCs w:val="20"/>
                <w:lang w:eastAsia="en-AU"/>
                <w14:ligatures w14:val="none"/>
              </w:rPr>
            </w:pPr>
          </w:p>
        </w:tc>
      </w:tr>
      <w:tr w:rsidR="00001317" w:rsidRPr="00F92832" w14:paraId="532048BD" w14:textId="77777777" w:rsidTr="005E213F">
        <w:trPr>
          <w:trHeight w:val="300"/>
        </w:trPr>
        <w:tc>
          <w:tcPr>
            <w:tcW w:w="434" w:type="pct"/>
            <w:noWrap/>
            <w:hideMark/>
          </w:tcPr>
          <w:p w14:paraId="37E50152" w14:textId="2CEA1C2E"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lastRenderedPageBreak/>
              <w:t>Barnes et al., 2021</w:t>
            </w:r>
            <w:r w:rsidR="0050559C" w:rsidRPr="0050559C">
              <w:rPr>
                <w:rFonts w:ascii="Arial" w:eastAsia="Times New Roman" w:hAnsi="Arial" w:cs="Arial"/>
                <w:color w:val="000000"/>
                <w:kern w:val="0"/>
                <w:sz w:val="20"/>
                <w:szCs w:val="20"/>
                <w:vertAlign w:val="superscript"/>
                <w:lang w:eastAsia="en-AU"/>
                <w14:ligatures w14:val="none"/>
              </w:rPr>
              <w:t>23</w:t>
            </w:r>
          </w:p>
        </w:tc>
        <w:tc>
          <w:tcPr>
            <w:tcW w:w="564" w:type="pct"/>
          </w:tcPr>
          <w:p w14:paraId="35078ACA" w14:textId="09CE5B59"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Likert scale (1-10), continuous and ordinal scale</w:t>
            </w:r>
          </w:p>
        </w:tc>
        <w:tc>
          <w:tcPr>
            <w:tcW w:w="1085" w:type="pct"/>
            <w:noWrap/>
          </w:tcPr>
          <w:p w14:paraId="3C478188" w14:textId="7D8F6241"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change in tinnitus scores</w:t>
            </w:r>
          </w:p>
          <w:p w14:paraId="1E410AD6"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MS: </w:t>
            </w:r>
            <w:r w:rsidRPr="00F92832">
              <w:rPr>
                <w:rFonts w:ascii="Arial" w:hAnsi="Arial" w:cs="Arial"/>
                <w:color w:val="000000"/>
                <w:sz w:val="20"/>
                <w:szCs w:val="20"/>
              </w:rPr>
              <w:t>-0.1(CI -0.7 - 0.4)</w:t>
            </w:r>
          </w:p>
          <w:p w14:paraId="404971B5" w14:textId="74FC0230" w:rsidR="00001317" w:rsidRPr="00F92832" w:rsidRDefault="00001317" w:rsidP="00001317">
            <w:pPr>
              <w:rPr>
                <w:rFonts w:ascii="Arial" w:hAnsi="Arial" w:cs="Arial"/>
                <w:color w:val="000000"/>
                <w:sz w:val="20"/>
                <w:szCs w:val="20"/>
              </w:rPr>
            </w:pPr>
            <w:r w:rsidRPr="00F92832">
              <w:rPr>
                <w:rFonts w:ascii="Arial" w:hAnsi="Arial" w:cs="Arial"/>
                <w:color w:val="000000"/>
                <w:sz w:val="20"/>
                <w:szCs w:val="20"/>
              </w:rPr>
              <w:t>RS:  0.6 (CI -0.2 - 1.5)</w:t>
            </w:r>
          </w:p>
          <w:p w14:paraId="74EB372D" w14:textId="7517061A"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worsening: 20% (MS) vs 17%(RS)</w:t>
            </w:r>
          </w:p>
          <w:p w14:paraId="617C583D" w14:textId="78B80865"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Tinnitus improved: 28%(MS) vs 21% (RS)</w:t>
            </w:r>
          </w:p>
        </w:tc>
        <w:tc>
          <w:tcPr>
            <w:tcW w:w="892" w:type="pct"/>
            <w:noWrap/>
          </w:tcPr>
          <w:p w14:paraId="7A51F76B" w14:textId="6383B22B"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Within-group mean change was not significant. </w:t>
            </w:r>
          </w:p>
        </w:tc>
        <w:tc>
          <w:tcPr>
            <w:tcW w:w="885" w:type="pct"/>
          </w:tcPr>
          <w:p w14:paraId="2DE13003" w14:textId="63271847" w:rsidR="00001317" w:rsidRPr="00F92832" w:rsidRDefault="00474C10" w:rsidP="00001317">
            <w:pPr>
              <w:rPr>
                <w:rFonts w:ascii="Arial" w:eastAsia="Times New Roman" w:hAnsi="Arial" w:cs="Arial"/>
                <w:color w:val="000000"/>
                <w:kern w:val="0"/>
                <w:sz w:val="20"/>
                <w:szCs w:val="20"/>
                <w:lang w:eastAsia="en-AU"/>
                <w14:ligatures w14:val="none"/>
              </w:rPr>
            </w:pPr>
            <w:r w:rsidRPr="001C0C2B">
              <w:rPr>
                <w:rFonts w:ascii="Arial" w:hAnsi="Arial" w:cs="Arial"/>
                <w:sz w:val="20"/>
                <w:szCs w:val="20"/>
              </w:rPr>
              <w:t>AAO-HNS</w:t>
            </w:r>
            <w:r>
              <w:rPr>
                <w:rFonts w:ascii="Arial" w:hAnsi="Arial" w:cs="Arial"/>
                <w:sz w:val="20"/>
                <w:szCs w:val="20"/>
              </w:rPr>
              <w:t xml:space="preserve"> </w:t>
            </w:r>
            <w:r w:rsidRPr="00F92832">
              <w:rPr>
                <w:rFonts w:ascii="Arial" w:hAnsi="Arial" w:cs="Arial"/>
                <w:sz w:val="20"/>
                <w:szCs w:val="20"/>
              </w:rPr>
              <w:t>Class A or B</w:t>
            </w:r>
            <w:r>
              <w:rPr>
                <w:rFonts w:ascii="Arial" w:hAnsi="Arial" w:cs="Arial"/>
                <w:sz w:val="20"/>
                <w:szCs w:val="20"/>
              </w:rPr>
              <w:t>: 19</w:t>
            </w:r>
            <w:r w:rsidRPr="00F92832">
              <w:rPr>
                <w:rFonts w:ascii="Arial" w:hAnsi="Arial" w:cs="Arial"/>
                <w:sz w:val="20"/>
                <w:szCs w:val="20"/>
              </w:rPr>
              <w:t xml:space="preserve">% (MS) vs </w:t>
            </w:r>
            <w:r>
              <w:rPr>
                <w:rFonts w:ascii="Arial" w:hAnsi="Arial" w:cs="Arial"/>
                <w:sz w:val="20"/>
                <w:szCs w:val="20"/>
              </w:rPr>
              <w:t>27</w:t>
            </w:r>
            <w:r w:rsidRPr="00F92832">
              <w:rPr>
                <w:rFonts w:ascii="Arial" w:hAnsi="Arial" w:cs="Arial"/>
                <w:sz w:val="20"/>
                <w:szCs w:val="20"/>
              </w:rPr>
              <w:t>% (RS).</w:t>
            </w:r>
          </w:p>
        </w:tc>
        <w:tc>
          <w:tcPr>
            <w:tcW w:w="1140" w:type="pct"/>
            <w:noWrap/>
          </w:tcPr>
          <w:p w14:paraId="7175A53B" w14:textId="467266DE"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patients in the MS group (52 yrs) was lower than the RS group (61 yrs). Tumour size was significantly larger in the MS group.</w:t>
            </w:r>
          </w:p>
          <w:p w14:paraId="463A6A79" w14:textId="77777777" w:rsidR="00001317" w:rsidRPr="00F92832" w:rsidRDefault="00001317" w:rsidP="00001317">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Definition of clinically important change: worsening or improvement of the score by &gt;/=2. </w:t>
            </w:r>
          </w:p>
          <w:p w14:paraId="358DCD37" w14:textId="7A865081" w:rsidR="00001317" w:rsidRPr="00F92832" w:rsidRDefault="00001317" w:rsidP="00001317">
            <w:pPr>
              <w:rPr>
                <w:rFonts w:ascii="Arial" w:eastAsia="Times New Roman" w:hAnsi="Arial" w:cs="Arial"/>
                <w:color w:val="000000"/>
                <w:kern w:val="0"/>
                <w:sz w:val="20"/>
                <w:szCs w:val="20"/>
                <w:lang w:eastAsia="en-AU"/>
                <w14:ligatures w14:val="none"/>
              </w:rPr>
            </w:pPr>
          </w:p>
        </w:tc>
      </w:tr>
      <w:tr w:rsidR="00F92832" w:rsidRPr="00F92832" w14:paraId="289046D1" w14:textId="77777777" w:rsidTr="005E213F">
        <w:trPr>
          <w:trHeight w:val="300"/>
        </w:trPr>
        <w:tc>
          <w:tcPr>
            <w:tcW w:w="434" w:type="pct"/>
            <w:noWrap/>
            <w:hideMark/>
          </w:tcPr>
          <w:p w14:paraId="4D0C4B9C" w14:textId="475BD7E5" w:rsidR="00F92832" w:rsidRPr="00F92832" w:rsidRDefault="00F92832" w:rsidP="00F92832">
            <w:pPr>
              <w:rPr>
                <w:rFonts w:ascii="Arial" w:eastAsia="Times New Roman" w:hAnsi="Arial" w:cs="Arial"/>
                <w:color w:val="000000"/>
                <w:kern w:val="0"/>
                <w:sz w:val="20"/>
                <w:szCs w:val="20"/>
                <w:lang w:eastAsia="en-AU"/>
                <w14:ligatures w14:val="none"/>
              </w:rPr>
            </w:pPr>
            <w:proofErr w:type="spellStart"/>
            <w:r w:rsidRPr="00F92832">
              <w:rPr>
                <w:rFonts w:ascii="Arial" w:eastAsia="Times New Roman" w:hAnsi="Arial" w:cs="Arial"/>
                <w:color w:val="000000"/>
                <w:kern w:val="0"/>
                <w:sz w:val="20"/>
                <w:szCs w:val="20"/>
                <w:lang w:eastAsia="en-AU"/>
                <w14:ligatures w14:val="none"/>
              </w:rPr>
              <w:t>Tatagiba</w:t>
            </w:r>
            <w:proofErr w:type="spellEnd"/>
            <w:r w:rsidRPr="00F92832">
              <w:rPr>
                <w:rFonts w:ascii="Arial" w:eastAsia="Times New Roman" w:hAnsi="Arial" w:cs="Arial"/>
                <w:color w:val="000000"/>
                <w:kern w:val="0"/>
                <w:sz w:val="20"/>
                <w:szCs w:val="20"/>
                <w:lang w:eastAsia="en-AU"/>
                <w14:ligatures w14:val="none"/>
              </w:rPr>
              <w:t xml:space="preserve"> et al., 2023</w:t>
            </w:r>
            <w:r w:rsidR="0050559C">
              <w:rPr>
                <w:rFonts w:ascii="Arial" w:eastAsia="Times New Roman" w:hAnsi="Arial" w:cs="Arial"/>
                <w:color w:val="000000"/>
                <w:kern w:val="0"/>
                <w:sz w:val="20"/>
                <w:szCs w:val="20"/>
                <w:vertAlign w:val="superscript"/>
                <w:lang w:eastAsia="en-AU"/>
                <w14:ligatures w14:val="none"/>
              </w:rPr>
              <w:t>34</w:t>
            </w:r>
          </w:p>
        </w:tc>
        <w:tc>
          <w:tcPr>
            <w:tcW w:w="564" w:type="pct"/>
          </w:tcPr>
          <w:p w14:paraId="023EB93D" w14:textId="27567088"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Ordinal (Grade 1-3)</w:t>
            </w:r>
          </w:p>
        </w:tc>
        <w:tc>
          <w:tcPr>
            <w:tcW w:w="1085" w:type="pct"/>
            <w:noWrap/>
          </w:tcPr>
          <w:p w14:paraId="2F889A27" w14:textId="52C464AF"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Improvement in tinnitus post-treatment:</w:t>
            </w:r>
          </w:p>
          <w:p w14:paraId="3882345C" w14:textId="3E29271D"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56% (MS) vs 14% (RS)</w:t>
            </w:r>
          </w:p>
          <w:p w14:paraId="06FBB813"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Worsening of tinnitus post-treatment:</w:t>
            </w:r>
          </w:p>
          <w:p w14:paraId="621BC388" w14:textId="5EFD8020"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4% (MS) vs 12% (RS)</w:t>
            </w:r>
          </w:p>
        </w:tc>
        <w:tc>
          <w:tcPr>
            <w:tcW w:w="892" w:type="pct"/>
            <w:noWrap/>
          </w:tcPr>
          <w:p w14:paraId="5E2924D3" w14:textId="5E677760"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More patients with worse tinnitus post-treatment in the RS group than in the MS group; more patients had improvement in the MS group (p= &lt;0.001).</w:t>
            </w:r>
          </w:p>
        </w:tc>
        <w:tc>
          <w:tcPr>
            <w:tcW w:w="885" w:type="pct"/>
          </w:tcPr>
          <w:p w14:paraId="7AA934E0" w14:textId="49D975BF"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hAnsi="Arial" w:cs="Arial"/>
                <w:sz w:val="20"/>
                <w:szCs w:val="20"/>
              </w:rPr>
              <w:t xml:space="preserve">Hearing loss </w:t>
            </w:r>
            <w:r w:rsidR="005E213F" w:rsidRPr="00F92832">
              <w:rPr>
                <w:rFonts w:ascii="Arial" w:hAnsi="Arial" w:cs="Arial"/>
                <w:sz w:val="20"/>
                <w:szCs w:val="20"/>
              </w:rPr>
              <w:t xml:space="preserve">for </w:t>
            </w:r>
            <w:r w:rsidR="005E213F">
              <w:rPr>
                <w:rFonts w:ascii="Arial" w:hAnsi="Arial" w:cs="Arial"/>
                <w:sz w:val="20"/>
                <w:szCs w:val="20"/>
              </w:rPr>
              <w:t>patients</w:t>
            </w:r>
            <w:r w:rsidR="005E213F" w:rsidRPr="00F92832">
              <w:rPr>
                <w:rFonts w:ascii="Arial" w:hAnsi="Arial" w:cs="Arial"/>
                <w:sz w:val="20"/>
                <w:szCs w:val="20"/>
              </w:rPr>
              <w:t xml:space="preserve"> with baseline GR I and II</w:t>
            </w:r>
            <w:r w:rsidR="005E213F">
              <w:rPr>
                <w:rFonts w:ascii="Arial" w:hAnsi="Arial" w:cs="Arial"/>
                <w:sz w:val="20"/>
                <w:szCs w:val="20"/>
              </w:rPr>
              <w:t xml:space="preserve">: </w:t>
            </w:r>
            <w:r w:rsidR="00996522">
              <w:rPr>
                <w:rFonts w:ascii="Arial" w:hAnsi="Arial" w:cs="Arial"/>
                <w:sz w:val="20"/>
                <w:szCs w:val="20"/>
              </w:rPr>
              <w:t>37</w:t>
            </w:r>
            <w:r w:rsidRPr="00F92832">
              <w:rPr>
                <w:rFonts w:ascii="Arial" w:hAnsi="Arial" w:cs="Arial"/>
                <w:sz w:val="20"/>
                <w:szCs w:val="20"/>
              </w:rPr>
              <w:t>%</w:t>
            </w:r>
            <w:r w:rsidR="00A84DFE">
              <w:rPr>
                <w:rFonts w:ascii="Arial" w:hAnsi="Arial" w:cs="Arial"/>
                <w:sz w:val="20"/>
                <w:szCs w:val="20"/>
              </w:rPr>
              <w:t xml:space="preserve"> </w:t>
            </w:r>
            <w:r w:rsidR="005E213F" w:rsidRPr="005E213F">
              <w:rPr>
                <w:rFonts w:ascii="Arial" w:hAnsi="Arial" w:cs="Arial"/>
                <w:sz w:val="20"/>
                <w:szCs w:val="20"/>
              </w:rPr>
              <w:t>(MS)</w:t>
            </w:r>
            <w:r w:rsidRPr="00F92832">
              <w:rPr>
                <w:rFonts w:ascii="Arial" w:hAnsi="Arial" w:cs="Arial"/>
                <w:sz w:val="20"/>
                <w:szCs w:val="20"/>
              </w:rPr>
              <w:t xml:space="preserve"> </w:t>
            </w:r>
            <w:r w:rsidR="005E213F">
              <w:rPr>
                <w:rFonts w:ascii="Arial" w:hAnsi="Arial" w:cs="Arial"/>
                <w:sz w:val="20"/>
                <w:szCs w:val="20"/>
              </w:rPr>
              <w:t>vs</w:t>
            </w:r>
            <w:r w:rsidRPr="00F92832">
              <w:rPr>
                <w:rFonts w:ascii="Arial" w:hAnsi="Arial" w:cs="Arial"/>
                <w:sz w:val="20"/>
                <w:szCs w:val="20"/>
              </w:rPr>
              <w:t xml:space="preserve"> </w:t>
            </w:r>
            <w:r w:rsidR="00996522">
              <w:rPr>
                <w:rFonts w:ascii="Arial" w:hAnsi="Arial" w:cs="Arial"/>
                <w:sz w:val="20"/>
                <w:szCs w:val="20"/>
              </w:rPr>
              <w:t>54</w:t>
            </w:r>
            <w:r w:rsidRPr="00F92832">
              <w:rPr>
                <w:rFonts w:ascii="Arial" w:hAnsi="Arial" w:cs="Arial"/>
                <w:sz w:val="20"/>
                <w:szCs w:val="20"/>
              </w:rPr>
              <w:t>%</w:t>
            </w:r>
            <w:r w:rsidR="00A84DFE">
              <w:rPr>
                <w:rFonts w:ascii="Arial" w:hAnsi="Arial" w:cs="Arial"/>
                <w:sz w:val="20"/>
                <w:szCs w:val="20"/>
              </w:rPr>
              <w:t xml:space="preserve"> </w:t>
            </w:r>
            <w:r w:rsidR="005E213F" w:rsidRPr="005E213F">
              <w:rPr>
                <w:rFonts w:ascii="Arial" w:hAnsi="Arial" w:cs="Arial"/>
                <w:sz w:val="20"/>
                <w:szCs w:val="20"/>
              </w:rPr>
              <w:t>(RS)</w:t>
            </w:r>
            <w:r w:rsidR="005E213F">
              <w:rPr>
                <w:rFonts w:ascii="Arial" w:hAnsi="Arial" w:cs="Arial"/>
                <w:sz w:val="20"/>
                <w:szCs w:val="20"/>
              </w:rPr>
              <w:t>.</w:t>
            </w:r>
          </w:p>
        </w:tc>
        <w:tc>
          <w:tcPr>
            <w:tcW w:w="1140" w:type="pct"/>
            <w:noWrap/>
          </w:tcPr>
          <w:p w14:paraId="6AE194DB" w14:textId="32FBA301"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the patients in the MS group (47.5 yrs) was lower than that of the RS group (59 yrs). MS group had significantly more Koos IV and functional hearing. Definition of significant change: a change of 1 point in grade.</w:t>
            </w:r>
          </w:p>
          <w:p w14:paraId="6B76AC7C" w14:textId="51FF3F5E" w:rsidR="00F92832" w:rsidRPr="00F92832" w:rsidRDefault="00F92832" w:rsidP="00F92832">
            <w:pPr>
              <w:rPr>
                <w:rFonts w:ascii="Arial" w:eastAsia="Times New Roman" w:hAnsi="Arial" w:cs="Arial"/>
                <w:color w:val="000000"/>
                <w:kern w:val="0"/>
                <w:sz w:val="20"/>
                <w:szCs w:val="20"/>
                <w:lang w:eastAsia="en-AU"/>
                <w14:ligatures w14:val="none"/>
              </w:rPr>
            </w:pPr>
          </w:p>
        </w:tc>
      </w:tr>
      <w:tr w:rsidR="00F92832" w:rsidRPr="00F92832" w14:paraId="7C62C2C0" w14:textId="77777777" w:rsidTr="005E213F">
        <w:trPr>
          <w:trHeight w:val="300"/>
        </w:trPr>
        <w:tc>
          <w:tcPr>
            <w:tcW w:w="434" w:type="pct"/>
            <w:noWrap/>
            <w:hideMark/>
          </w:tcPr>
          <w:p w14:paraId="76F81EDD" w14:textId="003A82AB"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Campbell et al., 2024</w:t>
            </w:r>
            <w:r w:rsidR="0050559C">
              <w:rPr>
                <w:rFonts w:ascii="Arial" w:eastAsia="Times New Roman" w:hAnsi="Arial" w:cs="Arial"/>
                <w:color w:val="000000"/>
                <w:kern w:val="0"/>
                <w:sz w:val="20"/>
                <w:szCs w:val="20"/>
                <w:vertAlign w:val="superscript"/>
                <w:lang w:eastAsia="en-AU"/>
                <w14:ligatures w14:val="none"/>
              </w:rPr>
              <w:t>24</w:t>
            </w:r>
          </w:p>
        </w:tc>
        <w:tc>
          <w:tcPr>
            <w:tcW w:w="564" w:type="pct"/>
          </w:tcPr>
          <w:p w14:paraId="496FE201"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THI</w:t>
            </w:r>
          </w:p>
        </w:tc>
        <w:tc>
          <w:tcPr>
            <w:tcW w:w="1085" w:type="pct"/>
            <w:noWrap/>
          </w:tcPr>
          <w:p w14:paraId="643E2BA9"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Mean change in tinnitus score</w:t>
            </w:r>
          </w:p>
          <w:p w14:paraId="401DD06E"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MS: 2.5 (</w:t>
            </w:r>
            <w:r w:rsidRPr="00F92832">
              <w:rPr>
                <w:rFonts w:ascii="Arial" w:hAnsi="Arial" w:cs="Arial"/>
                <w:color w:val="000000"/>
                <w:sz w:val="20"/>
                <w:szCs w:val="20"/>
              </w:rPr>
              <w:t>22.9 to 25.4)</w:t>
            </w:r>
          </w:p>
          <w:p w14:paraId="52D1E43A"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RS: 2.5 (</w:t>
            </w:r>
            <w:r w:rsidRPr="00F92832">
              <w:rPr>
                <w:rFonts w:ascii="Arial" w:hAnsi="Arial" w:cs="Arial"/>
                <w:color w:val="000000"/>
                <w:sz w:val="20"/>
                <w:szCs w:val="20"/>
              </w:rPr>
              <w:t>10 to 12.5)</w:t>
            </w:r>
          </w:p>
          <w:p w14:paraId="592D5DDC" w14:textId="77777777" w:rsidR="00F92832" w:rsidRPr="00F92832" w:rsidRDefault="00F92832" w:rsidP="00F92832">
            <w:pPr>
              <w:rPr>
                <w:rFonts w:ascii="Arial" w:eastAsia="Times New Roman" w:hAnsi="Arial" w:cs="Arial"/>
                <w:color w:val="000000"/>
                <w:kern w:val="0"/>
                <w:sz w:val="20"/>
                <w:szCs w:val="20"/>
                <w:lang w:eastAsia="en-AU"/>
                <w14:ligatures w14:val="none"/>
              </w:rPr>
            </w:pPr>
          </w:p>
        </w:tc>
        <w:tc>
          <w:tcPr>
            <w:tcW w:w="892" w:type="pct"/>
            <w:noWrap/>
          </w:tcPr>
          <w:p w14:paraId="3C76A421"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Changes in scores were not statistically significant.</w:t>
            </w:r>
          </w:p>
        </w:tc>
        <w:tc>
          <w:tcPr>
            <w:tcW w:w="885" w:type="pct"/>
          </w:tcPr>
          <w:p w14:paraId="6BB7762A" w14:textId="002C9D3D"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 xml:space="preserve">There was no correlation between </w:t>
            </w:r>
            <w:r w:rsidR="005E213F">
              <w:rPr>
                <w:rFonts w:ascii="Arial" w:eastAsia="Times New Roman" w:hAnsi="Arial" w:cs="Arial"/>
                <w:color w:val="000000"/>
                <w:kern w:val="0"/>
                <w:sz w:val="20"/>
                <w:szCs w:val="20"/>
                <w:lang w:eastAsia="en-AU"/>
                <w14:ligatures w14:val="none"/>
              </w:rPr>
              <w:t xml:space="preserve">the </w:t>
            </w:r>
            <w:r w:rsidRPr="00F92832">
              <w:rPr>
                <w:rFonts w:ascii="Arial" w:eastAsia="Times New Roman" w:hAnsi="Arial" w:cs="Arial"/>
                <w:color w:val="000000"/>
                <w:kern w:val="0"/>
                <w:sz w:val="20"/>
                <w:szCs w:val="20"/>
                <w:lang w:eastAsia="en-AU"/>
                <w14:ligatures w14:val="none"/>
              </w:rPr>
              <w:t xml:space="preserve">presence of hearing loss and tinnitus handicap inventory. Did not report other </w:t>
            </w:r>
            <w:r w:rsidR="005E213F" w:rsidRPr="00F92832">
              <w:rPr>
                <w:rFonts w:ascii="Arial" w:eastAsia="Times New Roman" w:hAnsi="Arial" w:cs="Arial"/>
                <w:color w:val="000000"/>
                <w:kern w:val="0"/>
                <w:sz w:val="20"/>
                <w:szCs w:val="20"/>
                <w:lang w:eastAsia="en-AU"/>
                <w14:ligatures w14:val="none"/>
              </w:rPr>
              <w:t>hearing outcomes</w:t>
            </w:r>
          </w:p>
        </w:tc>
        <w:tc>
          <w:tcPr>
            <w:tcW w:w="1140" w:type="pct"/>
            <w:noWrap/>
          </w:tcPr>
          <w:p w14:paraId="2E834C59" w14:textId="485E7B92"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Age was a significant predictor for THI scores.</w:t>
            </w:r>
          </w:p>
          <w:p w14:paraId="0FC9F831" w14:textId="77777777" w:rsidR="00F92832" w:rsidRPr="00F92832" w:rsidRDefault="00F92832" w:rsidP="00F92832">
            <w:pPr>
              <w:rPr>
                <w:rFonts w:ascii="Arial" w:eastAsia="Times New Roman" w:hAnsi="Arial" w:cs="Arial"/>
                <w:color w:val="000000"/>
                <w:kern w:val="0"/>
                <w:sz w:val="20"/>
                <w:szCs w:val="20"/>
                <w:lang w:eastAsia="en-AU"/>
                <w14:ligatures w14:val="none"/>
              </w:rPr>
            </w:pPr>
            <w:r w:rsidRPr="00F92832">
              <w:rPr>
                <w:rFonts w:ascii="Arial" w:eastAsia="Times New Roman" w:hAnsi="Arial" w:cs="Arial"/>
                <w:color w:val="000000"/>
                <w:kern w:val="0"/>
                <w:sz w:val="20"/>
                <w:szCs w:val="20"/>
                <w:lang w:eastAsia="en-AU"/>
                <w14:ligatures w14:val="none"/>
              </w:rPr>
              <w:t>The mean age of the patients in the MS group was lower (56.6) than in the RS group (64.1), and the tumour size in the MS group was significantly larger.</w:t>
            </w:r>
          </w:p>
          <w:p w14:paraId="7E14BB4F" w14:textId="77777777" w:rsidR="00F92832" w:rsidRPr="00F92832" w:rsidRDefault="00F92832" w:rsidP="00F92832">
            <w:pPr>
              <w:rPr>
                <w:rFonts w:ascii="Arial" w:eastAsia="Times New Roman" w:hAnsi="Arial" w:cs="Arial"/>
                <w:color w:val="000000"/>
                <w:kern w:val="0"/>
                <w:sz w:val="20"/>
                <w:szCs w:val="20"/>
                <w:lang w:eastAsia="en-AU"/>
                <w14:ligatures w14:val="none"/>
              </w:rPr>
            </w:pPr>
          </w:p>
        </w:tc>
      </w:tr>
    </w:tbl>
    <w:p w14:paraId="113B5964" w14:textId="77777777" w:rsidR="00B51046" w:rsidRPr="00F92832" w:rsidRDefault="00B51046" w:rsidP="00B51046">
      <w:pPr>
        <w:rPr>
          <w:rFonts w:ascii="Arial" w:hAnsi="Arial" w:cs="Arial"/>
          <w:sz w:val="20"/>
          <w:szCs w:val="20"/>
        </w:rPr>
      </w:pPr>
    </w:p>
    <w:p w14:paraId="28B878AB" w14:textId="694F56ED" w:rsidR="008A0566" w:rsidRPr="00F92832" w:rsidRDefault="008A0566" w:rsidP="008A0566">
      <w:pPr>
        <w:rPr>
          <w:rFonts w:ascii="Arial" w:hAnsi="Arial" w:cs="Arial"/>
          <w:sz w:val="20"/>
          <w:szCs w:val="20"/>
        </w:rPr>
      </w:pPr>
      <w:r w:rsidRPr="00F92832">
        <w:rPr>
          <w:rFonts w:ascii="Arial" w:hAnsi="Arial" w:cs="Arial"/>
          <w:sz w:val="20"/>
          <w:szCs w:val="20"/>
        </w:rPr>
        <w:t xml:space="preserve">Abbreviations: MS </w:t>
      </w:r>
      <w:r w:rsidR="00EB05F2" w:rsidRPr="00F92832">
        <w:rPr>
          <w:rFonts w:ascii="Arial" w:hAnsi="Arial" w:cs="Arial"/>
          <w:sz w:val="20"/>
          <w:szCs w:val="20"/>
        </w:rPr>
        <w:t>=</w:t>
      </w:r>
      <w:r w:rsidRPr="00F92832">
        <w:rPr>
          <w:rFonts w:ascii="Arial" w:hAnsi="Arial" w:cs="Arial"/>
          <w:sz w:val="20"/>
          <w:szCs w:val="20"/>
        </w:rPr>
        <w:t>microsurgery</w:t>
      </w:r>
      <w:r w:rsidR="00EB05F2" w:rsidRPr="00F92832">
        <w:rPr>
          <w:rFonts w:ascii="Arial" w:hAnsi="Arial" w:cs="Arial"/>
          <w:sz w:val="20"/>
          <w:szCs w:val="20"/>
        </w:rPr>
        <w:t>;</w:t>
      </w:r>
      <w:r w:rsidRPr="00F92832">
        <w:rPr>
          <w:rFonts w:ascii="Arial" w:hAnsi="Arial" w:cs="Arial"/>
          <w:sz w:val="20"/>
          <w:szCs w:val="20"/>
        </w:rPr>
        <w:t xml:space="preserve"> RS </w:t>
      </w:r>
      <w:r w:rsidR="00EB05F2" w:rsidRPr="00F92832">
        <w:rPr>
          <w:rFonts w:ascii="Arial" w:hAnsi="Arial" w:cs="Arial"/>
          <w:sz w:val="20"/>
          <w:szCs w:val="20"/>
        </w:rPr>
        <w:t>=</w:t>
      </w:r>
      <w:r w:rsidRPr="00F92832">
        <w:rPr>
          <w:rFonts w:ascii="Arial" w:hAnsi="Arial" w:cs="Arial"/>
          <w:sz w:val="20"/>
          <w:szCs w:val="20"/>
        </w:rPr>
        <w:t xml:space="preserve"> radiosurgery</w:t>
      </w:r>
      <w:r w:rsidR="00EB05F2" w:rsidRPr="00F92832">
        <w:rPr>
          <w:rFonts w:ascii="Arial" w:hAnsi="Arial" w:cs="Arial"/>
          <w:sz w:val="20"/>
          <w:szCs w:val="20"/>
        </w:rPr>
        <w:t>;</w:t>
      </w:r>
      <w:r w:rsidRPr="00F92832">
        <w:rPr>
          <w:rFonts w:ascii="Arial" w:hAnsi="Arial" w:cs="Arial"/>
          <w:sz w:val="20"/>
          <w:szCs w:val="20"/>
        </w:rPr>
        <w:t xml:space="preserve"> </w:t>
      </w:r>
      <w:r w:rsidR="001066A4" w:rsidRPr="00F92832">
        <w:rPr>
          <w:rFonts w:ascii="Arial" w:hAnsi="Arial" w:cs="Arial"/>
          <w:sz w:val="20"/>
          <w:szCs w:val="20"/>
        </w:rPr>
        <w:t xml:space="preserve">CK </w:t>
      </w:r>
      <w:r w:rsidR="00EB05F2" w:rsidRPr="00F92832">
        <w:rPr>
          <w:rFonts w:ascii="Arial" w:hAnsi="Arial" w:cs="Arial"/>
          <w:sz w:val="20"/>
          <w:szCs w:val="20"/>
        </w:rPr>
        <w:t>=</w:t>
      </w:r>
      <w:r w:rsidR="001066A4" w:rsidRPr="00F92832">
        <w:rPr>
          <w:rFonts w:ascii="Arial" w:hAnsi="Arial" w:cs="Arial"/>
          <w:sz w:val="20"/>
          <w:szCs w:val="20"/>
        </w:rPr>
        <w:t xml:space="preserve"> </w:t>
      </w:r>
      <w:proofErr w:type="spellStart"/>
      <w:r w:rsidR="001066A4" w:rsidRPr="00F92832">
        <w:rPr>
          <w:rFonts w:ascii="Arial" w:hAnsi="Arial" w:cs="Arial"/>
          <w:sz w:val="20"/>
          <w:szCs w:val="20"/>
        </w:rPr>
        <w:t>CyberKnife</w:t>
      </w:r>
      <w:proofErr w:type="spellEnd"/>
      <w:r w:rsidR="00EB05F2" w:rsidRPr="00F92832">
        <w:rPr>
          <w:rFonts w:ascii="Arial" w:hAnsi="Arial" w:cs="Arial"/>
          <w:sz w:val="20"/>
          <w:szCs w:val="20"/>
        </w:rPr>
        <w:t>;</w:t>
      </w:r>
      <w:r w:rsidR="001066A4" w:rsidRPr="00F92832">
        <w:rPr>
          <w:rFonts w:ascii="Arial" w:hAnsi="Arial" w:cs="Arial"/>
          <w:sz w:val="20"/>
          <w:szCs w:val="20"/>
        </w:rPr>
        <w:t xml:space="preserve"> </w:t>
      </w:r>
      <w:r w:rsidRPr="00F92832">
        <w:rPr>
          <w:rFonts w:ascii="Arial" w:hAnsi="Arial" w:cs="Arial"/>
          <w:sz w:val="20"/>
          <w:szCs w:val="20"/>
        </w:rPr>
        <w:t xml:space="preserve">THI </w:t>
      </w:r>
      <w:r w:rsidR="00EB05F2" w:rsidRPr="00F92832">
        <w:rPr>
          <w:rFonts w:ascii="Arial" w:hAnsi="Arial" w:cs="Arial"/>
          <w:sz w:val="20"/>
          <w:szCs w:val="20"/>
        </w:rPr>
        <w:t>=</w:t>
      </w:r>
      <w:r w:rsidRPr="00F92832">
        <w:rPr>
          <w:rFonts w:ascii="Arial" w:hAnsi="Arial" w:cs="Arial"/>
          <w:sz w:val="20"/>
          <w:szCs w:val="20"/>
        </w:rPr>
        <w:t xml:space="preserve"> Tinnitus Handicap Inventory</w:t>
      </w:r>
      <w:r w:rsidR="00EB05F2" w:rsidRPr="00F92832">
        <w:rPr>
          <w:rFonts w:ascii="Arial" w:hAnsi="Arial" w:cs="Arial"/>
          <w:sz w:val="20"/>
          <w:szCs w:val="20"/>
        </w:rPr>
        <w:t>;</w:t>
      </w:r>
      <w:r w:rsidRPr="00F92832">
        <w:rPr>
          <w:rFonts w:ascii="Arial" w:hAnsi="Arial" w:cs="Arial"/>
          <w:sz w:val="20"/>
          <w:szCs w:val="20"/>
        </w:rPr>
        <w:t xml:space="preserve"> VAS </w:t>
      </w:r>
      <w:r w:rsidR="00EB05F2" w:rsidRPr="00F92832">
        <w:rPr>
          <w:rFonts w:ascii="Arial" w:hAnsi="Arial" w:cs="Arial"/>
          <w:sz w:val="20"/>
          <w:szCs w:val="20"/>
        </w:rPr>
        <w:t>=</w:t>
      </w:r>
      <w:r w:rsidRPr="00F92832">
        <w:rPr>
          <w:rFonts w:ascii="Arial" w:hAnsi="Arial" w:cs="Arial"/>
          <w:sz w:val="20"/>
          <w:szCs w:val="20"/>
        </w:rPr>
        <w:t xml:space="preserve"> visual analogue scale</w:t>
      </w:r>
      <w:r w:rsidR="00EB05F2" w:rsidRPr="00F92832">
        <w:rPr>
          <w:rFonts w:ascii="Arial" w:hAnsi="Arial" w:cs="Arial"/>
          <w:sz w:val="20"/>
          <w:szCs w:val="20"/>
        </w:rPr>
        <w:t>;</w:t>
      </w:r>
      <w:r w:rsidRPr="00F92832">
        <w:rPr>
          <w:rFonts w:ascii="Arial" w:hAnsi="Arial" w:cs="Arial"/>
          <w:sz w:val="20"/>
          <w:szCs w:val="20"/>
        </w:rPr>
        <w:t xml:space="preserve"> OR </w:t>
      </w:r>
      <w:r w:rsidR="00EB05F2" w:rsidRPr="00F92832">
        <w:rPr>
          <w:rFonts w:ascii="Arial" w:hAnsi="Arial" w:cs="Arial"/>
          <w:sz w:val="20"/>
          <w:szCs w:val="20"/>
        </w:rPr>
        <w:t>=</w:t>
      </w:r>
      <w:r w:rsidRPr="00F92832">
        <w:rPr>
          <w:rFonts w:ascii="Arial" w:hAnsi="Arial" w:cs="Arial"/>
          <w:sz w:val="20"/>
          <w:szCs w:val="20"/>
        </w:rPr>
        <w:t xml:space="preserve"> odds ratio</w:t>
      </w:r>
      <w:r w:rsidR="003912AD" w:rsidRPr="00F92832">
        <w:rPr>
          <w:rFonts w:ascii="Arial" w:hAnsi="Arial" w:cs="Arial"/>
          <w:sz w:val="20"/>
          <w:szCs w:val="20"/>
        </w:rPr>
        <w:t>;</w:t>
      </w:r>
      <w:r w:rsidR="006221ED">
        <w:rPr>
          <w:rFonts w:ascii="Arial" w:hAnsi="Arial" w:cs="Arial"/>
          <w:sz w:val="20"/>
          <w:szCs w:val="20"/>
        </w:rPr>
        <w:t xml:space="preserve"> CI = confidence interval;</w:t>
      </w:r>
      <w:r w:rsidR="003912AD" w:rsidRPr="00F92832">
        <w:rPr>
          <w:rFonts w:ascii="Arial" w:hAnsi="Arial" w:cs="Arial"/>
          <w:sz w:val="20"/>
          <w:szCs w:val="20"/>
        </w:rPr>
        <w:t xml:space="preserve"> NSHL = </w:t>
      </w:r>
      <w:r w:rsidR="00827AF4">
        <w:rPr>
          <w:rFonts w:ascii="Arial" w:hAnsi="Arial" w:cs="Arial"/>
          <w:sz w:val="20"/>
          <w:szCs w:val="20"/>
        </w:rPr>
        <w:t>non-serviceable</w:t>
      </w:r>
      <w:r w:rsidR="003912AD" w:rsidRPr="00F92832">
        <w:rPr>
          <w:rFonts w:ascii="Arial" w:hAnsi="Arial" w:cs="Arial"/>
          <w:sz w:val="20"/>
          <w:szCs w:val="20"/>
        </w:rPr>
        <w:t xml:space="preserve"> hearing loss</w:t>
      </w:r>
      <w:r w:rsidR="001C0C2B">
        <w:rPr>
          <w:rFonts w:ascii="Arial" w:hAnsi="Arial" w:cs="Arial"/>
          <w:sz w:val="20"/>
          <w:szCs w:val="20"/>
        </w:rPr>
        <w:t xml:space="preserve">; </w:t>
      </w:r>
      <w:r w:rsidR="001C0C2B" w:rsidRPr="001C0C2B">
        <w:rPr>
          <w:rFonts w:ascii="Arial" w:hAnsi="Arial" w:cs="Arial"/>
          <w:sz w:val="20"/>
          <w:szCs w:val="20"/>
        </w:rPr>
        <w:t>AAO-HNS</w:t>
      </w:r>
      <w:r w:rsidR="001C0C2B">
        <w:rPr>
          <w:rFonts w:ascii="Arial" w:hAnsi="Arial" w:cs="Arial"/>
          <w:sz w:val="20"/>
          <w:szCs w:val="20"/>
        </w:rPr>
        <w:t xml:space="preserve"> = </w:t>
      </w:r>
      <w:r w:rsidR="001C0C2B" w:rsidRPr="001C0C2B">
        <w:rPr>
          <w:rFonts w:ascii="Arial" w:hAnsi="Arial" w:cs="Arial"/>
          <w:sz w:val="20"/>
          <w:szCs w:val="20"/>
        </w:rPr>
        <w:t>American Academy of Otolaryngology-Head and Neck Surgery</w:t>
      </w:r>
      <w:r w:rsidR="001C0C2B">
        <w:rPr>
          <w:rFonts w:ascii="Arial" w:hAnsi="Arial" w:cs="Arial"/>
          <w:sz w:val="20"/>
          <w:szCs w:val="20"/>
        </w:rPr>
        <w:t>;</w:t>
      </w:r>
      <w:r w:rsidR="003B5858">
        <w:rPr>
          <w:rFonts w:ascii="Arial" w:hAnsi="Arial" w:cs="Arial"/>
          <w:sz w:val="20"/>
          <w:szCs w:val="20"/>
        </w:rPr>
        <w:t xml:space="preserve"> GR = </w:t>
      </w:r>
      <w:r w:rsidR="003B5858" w:rsidRPr="003B5858">
        <w:rPr>
          <w:rFonts w:ascii="Arial" w:hAnsi="Arial" w:cs="Arial"/>
          <w:sz w:val="20"/>
          <w:szCs w:val="20"/>
        </w:rPr>
        <w:t>Gardner-Robertson</w:t>
      </w:r>
      <w:r w:rsidR="003B5858">
        <w:rPr>
          <w:rFonts w:ascii="Arial" w:hAnsi="Arial" w:cs="Arial"/>
          <w:sz w:val="20"/>
          <w:szCs w:val="20"/>
        </w:rPr>
        <w:t xml:space="preserve"> grading scale.</w:t>
      </w:r>
    </w:p>
    <w:p w14:paraId="0E0BE6FB" w14:textId="47F9F410" w:rsidR="00B51046" w:rsidRPr="00F92832" w:rsidRDefault="00B51046">
      <w:pPr>
        <w:rPr>
          <w:rFonts w:ascii="Arial" w:hAnsi="Arial" w:cs="Arial"/>
          <w:sz w:val="20"/>
          <w:szCs w:val="20"/>
        </w:rPr>
      </w:pPr>
    </w:p>
    <w:sectPr w:rsidR="00B51046" w:rsidRPr="00F92832" w:rsidSect="00B5104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46"/>
    <w:rsid w:val="00001317"/>
    <w:rsid w:val="00005980"/>
    <w:rsid w:val="00006E51"/>
    <w:rsid w:val="00011DD6"/>
    <w:rsid w:val="000474B5"/>
    <w:rsid w:val="000670CC"/>
    <w:rsid w:val="000876D6"/>
    <w:rsid w:val="00094060"/>
    <w:rsid w:val="000A3F27"/>
    <w:rsid w:val="000B5919"/>
    <w:rsid w:val="000C16AE"/>
    <w:rsid w:val="000C7E19"/>
    <w:rsid w:val="000D526C"/>
    <w:rsid w:val="000F190D"/>
    <w:rsid w:val="001066A4"/>
    <w:rsid w:val="0011393B"/>
    <w:rsid w:val="0012575B"/>
    <w:rsid w:val="00135E2F"/>
    <w:rsid w:val="00152CEF"/>
    <w:rsid w:val="0017521A"/>
    <w:rsid w:val="00183B75"/>
    <w:rsid w:val="001A3AF2"/>
    <w:rsid w:val="001B05C2"/>
    <w:rsid w:val="001C0C2B"/>
    <w:rsid w:val="001C2D8A"/>
    <w:rsid w:val="001D0207"/>
    <w:rsid w:val="001D7BD1"/>
    <w:rsid w:val="001F6F0C"/>
    <w:rsid w:val="00205081"/>
    <w:rsid w:val="00205D85"/>
    <w:rsid w:val="002247E4"/>
    <w:rsid w:val="002258AB"/>
    <w:rsid w:val="00232594"/>
    <w:rsid w:val="0026769D"/>
    <w:rsid w:val="00273E14"/>
    <w:rsid w:val="00282079"/>
    <w:rsid w:val="002833B6"/>
    <w:rsid w:val="00290D2F"/>
    <w:rsid w:val="002A4B71"/>
    <w:rsid w:val="002B1B28"/>
    <w:rsid w:val="002D18A0"/>
    <w:rsid w:val="002F7F32"/>
    <w:rsid w:val="00300697"/>
    <w:rsid w:val="00300CD5"/>
    <w:rsid w:val="00311118"/>
    <w:rsid w:val="00326C84"/>
    <w:rsid w:val="00327DCF"/>
    <w:rsid w:val="00345081"/>
    <w:rsid w:val="00353C9F"/>
    <w:rsid w:val="003549E6"/>
    <w:rsid w:val="003644A9"/>
    <w:rsid w:val="00386733"/>
    <w:rsid w:val="003912AD"/>
    <w:rsid w:val="003B2C16"/>
    <w:rsid w:val="003B5858"/>
    <w:rsid w:val="003C73CE"/>
    <w:rsid w:val="003D2C14"/>
    <w:rsid w:val="003D3563"/>
    <w:rsid w:val="003F239B"/>
    <w:rsid w:val="00406B62"/>
    <w:rsid w:val="004201A5"/>
    <w:rsid w:val="00420743"/>
    <w:rsid w:val="004243D7"/>
    <w:rsid w:val="004319A5"/>
    <w:rsid w:val="004659F7"/>
    <w:rsid w:val="00474C10"/>
    <w:rsid w:val="0048029C"/>
    <w:rsid w:val="00484681"/>
    <w:rsid w:val="0050559C"/>
    <w:rsid w:val="00506446"/>
    <w:rsid w:val="005255E1"/>
    <w:rsid w:val="00576F24"/>
    <w:rsid w:val="00577D2E"/>
    <w:rsid w:val="00580092"/>
    <w:rsid w:val="00580F4D"/>
    <w:rsid w:val="005A7B75"/>
    <w:rsid w:val="005C15FC"/>
    <w:rsid w:val="005C254E"/>
    <w:rsid w:val="005D62B3"/>
    <w:rsid w:val="005E213F"/>
    <w:rsid w:val="005E35CB"/>
    <w:rsid w:val="006029FC"/>
    <w:rsid w:val="00602CD4"/>
    <w:rsid w:val="00611153"/>
    <w:rsid w:val="00621BF1"/>
    <w:rsid w:val="006221ED"/>
    <w:rsid w:val="0063666A"/>
    <w:rsid w:val="0068568B"/>
    <w:rsid w:val="0069543B"/>
    <w:rsid w:val="006A1835"/>
    <w:rsid w:val="006B0AFF"/>
    <w:rsid w:val="006E1607"/>
    <w:rsid w:val="006E6F8F"/>
    <w:rsid w:val="0073684C"/>
    <w:rsid w:val="00744F49"/>
    <w:rsid w:val="007520E6"/>
    <w:rsid w:val="007546B9"/>
    <w:rsid w:val="0075619D"/>
    <w:rsid w:val="0076435D"/>
    <w:rsid w:val="007718F1"/>
    <w:rsid w:val="007763C9"/>
    <w:rsid w:val="00790442"/>
    <w:rsid w:val="00795948"/>
    <w:rsid w:val="007A366D"/>
    <w:rsid w:val="007A7857"/>
    <w:rsid w:val="007A7E4D"/>
    <w:rsid w:val="007D0FE1"/>
    <w:rsid w:val="007D3148"/>
    <w:rsid w:val="007E37AE"/>
    <w:rsid w:val="007F63EF"/>
    <w:rsid w:val="00805208"/>
    <w:rsid w:val="008119E5"/>
    <w:rsid w:val="008239E9"/>
    <w:rsid w:val="00827AF4"/>
    <w:rsid w:val="0083769A"/>
    <w:rsid w:val="00876ACA"/>
    <w:rsid w:val="0088382B"/>
    <w:rsid w:val="00886630"/>
    <w:rsid w:val="008920B1"/>
    <w:rsid w:val="008A0566"/>
    <w:rsid w:val="008C43EC"/>
    <w:rsid w:val="008D74ED"/>
    <w:rsid w:val="008E4074"/>
    <w:rsid w:val="008E488F"/>
    <w:rsid w:val="008F726E"/>
    <w:rsid w:val="00925A13"/>
    <w:rsid w:val="0093128C"/>
    <w:rsid w:val="00936FFA"/>
    <w:rsid w:val="00946710"/>
    <w:rsid w:val="009631E1"/>
    <w:rsid w:val="009662F4"/>
    <w:rsid w:val="00972775"/>
    <w:rsid w:val="00986779"/>
    <w:rsid w:val="00987012"/>
    <w:rsid w:val="00996522"/>
    <w:rsid w:val="009C5ABF"/>
    <w:rsid w:val="009D164C"/>
    <w:rsid w:val="009D36B1"/>
    <w:rsid w:val="009F2C82"/>
    <w:rsid w:val="009F3AD4"/>
    <w:rsid w:val="00A075A7"/>
    <w:rsid w:val="00A07AE3"/>
    <w:rsid w:val="00A14903"/>
    <w:rsid w:val="00A20AE6"/>
    <w:rsid w:val="00A220A1"/>
    <w:rsid w:val="00A315DF"/>
    <w:rsid w:val="00A35E2E"/>
    <w:rsid w:val="00A4535B"/>
    <w:rsid w:val="00A679D4"/>
    <w:rsid w:val="00A84DFE"/>
    <w:rsid w:val="00A868AF"/>
    <w:rsid w:val="00A948F5"/>
    <w:rsid w:val="00AC243D"/>
    <w:rsid w:val="00AD3E3B"/>
    <w:rsid w:val="00AD77AD"/>
    <w:rsid w:val="00AE0259"/>
    <w:rsid w:val="00AE294A"/>
    <w:rsid w:val="00AF07DE"/>
    <w:rsid w:val="00B10B4B"/>
    <w:rsid w:val="00B333DD"/>
    <w:rsid w:val="00B378AB"/>
    <w:rsid w:val="00B44ABD"/>
    <w:rsid w:val="00B51046"/>
    <w:rsid w:val="00B5265C"/>
    <w:rsid w:val="00B572A1"/>
    <w:rsid w:val="00B574D6"/>
    <w:rsid w:val="00B939B4"/>
    <w:rsid w:val="00B93DBA"/>
    <w:rsid w:val="00BB4F7F"/>
    <w:rsid w:val="00BB632B"/>
    <w:rsid w:val="00BB681A"/>
    <w:rsid w:val="00BD3D84"/>
    <w:rsid w:val="00C2796D"/>
    <w:rsid w:val="00C47AD4"/>
    <w:rsid w:val="00C57DA2"/>
    <w:rsid w:val="00C60ABF"/>
    <w:rsid w:val="00C92B83"/>
    <w:rsid w:val="00CC3B26"/>
    <w:rsid w:val="00CE5FF7"/>
    <w:rsid w:val="00CF6F60"/>
    <w:rsid w:val="00D1211E"/>
    <w:rsid w:val="00D16B96"/>
    <w:rsid w:val="00D32CF3"/>
    <w:rsid w:val="00D52568"/>
    <w:rsid w:val="00D916FF"/>
    <w:rsid w:val="00DB1662"/>
    <w:rsid w:val="00DB371A"/>
    <w:rsid w:val="00DB5799"/>
    <w:rsid w:val="00DF3D83"/>
    <w:rsid w:val="00E068A2"/>
    <w:rsid w:val="00E36621"/>
    <w:rsid w:val="00E50BE1"/>
    <w:rsid w:val="00E516B9"/>
    <w:rsid w:val="00E77BB3"/>
    <w:rsid w:val="00E83ADA"/>
    <w:rsid w:val="00E957EA"/>
    <w:rsid w:val="00E97726"/>
    <w:rsid w:val="00EB05F2"/>
    <w:rsid w:val="00EC59E1"/>
    <w:rsid w:val="00ED2501"/>
    <w:rsid w:val="00EF3BC1"/>
    <w:rsid w:val="00F04659"/>
    <w:rsid w:val="00F539D0"/>
    <w:rsid w:val="00F611E4"/>
    <w:rsid w:val="00F74BBD"/>
    <w:rsid w:val="00F92832"/>
    <w:rsid w:val="00FA04E6"/>
    <w:rsid w:val="00FC2CE0"/>
    <w:rsid w:val="00FC498B"/>
    <w:rsid w:val="00FD17B1"/>
    <w:rsid w:val="00FE4A3F"/>
    <w:rsid w:val="00FF70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3C8F0"/>
  <w15:chartTrackingRefBased/>
  <w15:docId w15:val="{2128DC31-36CD-4FB9-8FD7-24F2A7CC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6B9"/>
  </w:style>
  <w:style w:type="paragraph" w:styleId="Heading1">
    <w:name w:val="heading 1"/>
    <w:basedOn w:val="Normal"/>
    <w:next w:val="Normal"/>
    <w:link w:val="Heading1Char"/>
    <w:uiPriority w:val="9"/>
    <w:qFormat/>
    <w:rsid w:val="00B51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0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0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0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0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046"/>
    <w:rPr>
      <w:rFonts w:eastAsiaTheme="majorEastAsia" w:cstheme="majorBidi"/>
      <w:color w:val="272727" w:themeColor="text1" w:themeTint="D8"/>
    </w:rPr>
  </w:style>
  <w:style w:type="paragraph" w:styleId="Title">
    <w:name w:val="Title"/>
    <w:basedOn w:val="Normal"/>
    <w:next w:val="Normal"/>
    <w:link w:val="TitleChar"/>
    <w:uiPriority w:val="10"/>
    <w:qFormat/>
    <w:rsid w:val="00B51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0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046"/>
    <w:pPr>
      <w:spacing w:before="160"/>
      <w:jc w:val="center"/>
    </w:pPr>
    <w:rPr>
      <w:i/>
      <w:iCs/>
      <w:color w:val="404040" w:themeColor="text1" w:themeTint="BF"/>
    </w:rPr>
  </w:style>
  <w:style w:type="character" w:customStyle="1" w:styleId="QuoteChar">
    <w:name w:val="Quote Char"/>
    <w:basedOn w:val="DefaultParagraphFont"/>
    <w:link w:val="Quote"/>
    <w:uiPriority w:val="29"/>
    <w:rsid w:val="00B51046"/>
    <w:rPr>
      <w:i/>
      <w:iCs/>
      <w:color w:val="404040" w:themeColor="text1" w:themeTint="BF"/>
    </w:rPr>
  </w:style>
  <w:style w:type="paragraph" w:styleId="ListParagraph">
    <w:name w:val="List Paragraph"/>
    <w:basedOn w:val="Normal"/>
    <w:uiPriority w:val="34"/>
    <w:qFormat/>
    <w:rsid w:val="00B51046"/>
    <w:pPr>
      <w:ind w:left="720"/>
      <w:contextualSpacing/>
    </w:pPr>
  </w:style>
  <w:style w:type="character" w:styleId="IntenseEmphasis">
    <w:name w:val="Intense Emphasis"/>
    <w:basedOn w:val="DefaultParagraphFont"/>
    <w:uiPriority w:val="21"/>
    <w:qFormat/>
    <w:rsid w:val="00B51046"/>
    <w:rPr>
      <w:i/>
      <w:iCs/>
      <w:color w:val="0F4761" w:themeColor="accent1" w:themeShade="BF"/>
    </w:rPr>
  </w:style>
  <w:style w:type="paragraph" w:styleId="IntenseQuote">
    <w:name w:val="Intense Quote"/>
    <w:basedOn w:val="Normal"/>
    <w:next w:val="Normal"/>
    <w:link w:val="IntenseQuoteChar"/>
    <w:uiPriority w:val="30"/>
    <w:qFormat/>
    <w:rsid w:val="00B51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046"/>
    <w:rPr>
      <w:i/>
      <w:iCs/>
      <w:color w:val="0F4761" w:themeColor="accent1" w:themeShade="BF"/>
    </w:rPr>
  </w:style>
  <w:style w:type="character" w:styleId="IntenseReference">
    <w:name w:val="Intense Reference"/>
    <w:basedOn w:val="DefaultParagraphFont"/>
    <w:uiPriority w:val="32"/>
    <w:qFormat/>
    <w:rsid w:val="00B51046"/>
    <w:rPr>
      <w:b/>
      <w:bCs/>
      <w:smallCaps/>
      <w:color w:val="0F4761" w:themeColor="accent1" w:themeShade="BF"/>
      <w:spacing w:val="5"/>
    </w:rPr>
  </w:style>
  <w:style w:type="table" w:styleId="TableGrid">
    <w:name w:val="Table Grid"/>
    <w:basedOn w:val="TableNormal"/>
    <w:uiPriority w:val="39"/>
    <w:rsid w:val="00B51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B574D6"/>
    <w:pPr>
      <w:widowControl w:val="0"/>
      <w:autoSpaceDE w:val="0"/>
      <w:autoSpaceDN w:val="0"/>
      <w:adjustRightInd w:val="0"/>
      <w:spacing w:after="0" w:line="240" w:lineRule="auto"/>
    </w:pPr>
    <w:rPr>
      <w:rFonts w:ascii="Arial" w:hAnsi="Arial"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73381">
      <w:bodyDiv w:val="1"/>
      <w:marLeft w:val="0"/>
      <w:marRight w:val="0"/>
      <w:marTop w:val="0"/>
      <w:marBottom w:val="0"/>
      <w:divBdr>
        <w:top w:val="none" w:sz="0" w:space="0" w:color="auto"/>
        <w:left w:val="none" w:sz="0" w:space="0" w:color="auto"/>
        <w:bottom w:val="none" w:sz="0" w:space="0" w:color="auto"/>
        <w:right w:val="none" w:sz="0" w:space="0" w:color="auto"/>
      </w:divBdr>
    </w:div>
    <w:div w:id="635185594">
      <w:bodyDiv w:val="1"/>
      <w:marLeft w:val="0"/>
      <w:marRight w:val="0"/>
      <w:marTop w:val="0"/>
      <w:marBottom w:val="0"/>
      <w:divBdr>
        <w:top w:val="none" w:sz="0" w:space="0" w:color="auto"/>
        <w:left w:val="none" w:sz="0" w:space="0" w:color="auto"/>
        <w:bottom w:val="none" w:sz="0" w:space="0" w:color="auto"/>
        <w:right w:val="none" w:sz="0" w:space="0" w:color="auto"/>
      </w:divBdr>
    </w:div>
    <w:div w:id="973028412">
      <w:bodyDiv w:val="1"/>
      <w:marLeft w:val="0"/>
      <w:marRight w:val="0"/>
      <w:marTop w:val="0"/>
      <w:marBottom w:val="0"/>
      <w:divBdr>
        <w:top w:val="none" w:sz="0" w:space="0" w:color="auto"/>
        <w:left w:val="none" w:sz="0" w:space="0" w:color="auto"/>
        <w:bottom w:val="none" w:sz="0" w:space="0" w:color="auto"/>
        <w:right w:val="none" w:sz="0" w:space="0" w:color="auto"/>
      </w:divBdr>
    </w:div>
    <w:div w:id="1129275084">
      <w:bodyDiv w:val="1"/>
      <w:marLeft w:val="0"/>
      <w:marRight w:val="0"/>
      <w:marTop w:val="0"/>
      <w:marBottom w:val="0"/>
      <w:divBdr>
        <w:top w:val="none" w:sz="0" w:space="0" w:color="auto"/>
        <w:left w:val="none" w:sz="0" w:space="0" w:color="auto"/>
        <w:bottom w:val="none" w:sz="0" w:space="0" w:color="auto"/>
        <w:right w:val="none" w:sz="0" w:space="0" w:color="auto"/>
      </w:divBdr>
    </w:div>
    <w:div w:id="1145201437">
      <w:bodyDiv w:val="1"/>
      <w:marLeft w:val="0"/>
      <w:marRight w:val="0"/>
      <w:marTop w:val="0"/>
      <w:marBottom w:val="0"/>
      <w:divBdr>
        <w:top w:val="none" w:sz="0" w:space="0" w:color="auto"/>
        <w:left w:val="none" w:sz="0" w:space="0" w:color="auto"/>
        <w:bottom w:val="none" w:sz="0" w:space="0" w:color="auto"/>
        <w:right w:val="none" w:sz="0" w:space="0" w:color="auto"/>
      </w:divBdr>
    </w:div>
    <w:div w:id="1265335955">
      <w:bodyDiv w:val="1"/>
      <w:marLeft w:val="0"/>
      <w:marRight w:val="0"/>
      <w:marTop w:val="0"/>
      <w:marBottom w:val="0"/>
      <w:divBdr>
        <w:top w:val="none" w:sz="0" w:space="0" w:color="auto"/>
        <w:left w:val="none" w:sz="0" w:space="0" w:color="auto"/>
        <w:bottom w:val="none" w:sz="0" w:space="0" w:color="auto"/>
        <w:right w:val="none" w:sz="0" w:space="0" w:color="auto"/>
      </w:divBdr>
    </w:div>
    <w:div w:id="1729764159">
      <w:bodyDiv w:val="1"/>
      <w:marLeft w:val="0"/>
      <w:marRight w:val="0"/>
      <w:marTop w:val="0"/>
      <w:marBottom w:val="0"/>
      <w:divBdr>
        <w:top w:val="none" w:sz="0" w:space="0" w:color="auto"/>
        <w:left w:val="none" w:sz="0" w:space="0" w:color="auto"/>
        <w:bottom w:val="none" w:sz="0" w:space="0" w:color="auto"/>
        <w:right w:val="none" w:sz="0" w:space="0" w:color="auto"/>
      </w:divBdr>
    </w:div>
    <w:div w:id="184374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FA671-1E0F-4512-9B10-C6524260D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Ramkumar Govindaraj</dc:creator>
  <cp:keywords/>
  <dc:description/>
  <cp:lastModifiedBy>Ramkumar Govindaraj</cp:lastModifiedBy>
  <cp:revision>2</cp:revision>
  <dcterms:created xsi:type="dcterms:W3CDTF">2024-12-28T21:38:00Z</dcterms:created>
  <dcterms:modified xsi:type="dcterms:W3CDTF">2024-12-28T21:38:00Z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5f15ca24-6909-418b-aa7a-6b610c088d25</vt:lpwstr>
  </property>
</Properties>
</file>