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Supplementary material 1.</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480" w:lineRule="auto"/>
        <w:rPr>
          <w:rFonts w:ascii="Times New Roman" w:cs="Times New Roman" w:eastAsia="Times New Roman" w:hAnsi="Times New Roman"/>
          <w:color w:val="1b1b1b"/>
          <w:sz w:val="24"/>
          <w:szCs w:val="24"/>
          <w:highlight w:val="white"/>
          <w:u w:val="single"/>
        </w:rPr>
      </w:pPr>
      <w:r w:rsidDel="00000000" w:rsidR="00000000" w:rsidRPr="00000000">
        <w:rPr>
          <w:rFonts w:ascii="Times New Roman" w:cs="Times New Roman" w:eastAsia="Times New Roman" w:hAnsi="Times New Roman"/>
          <w:color w:val="1b1b1b"/>
          <w:sz w:val="24"/>
          <w:szCs w:val="24"/>
          <w:highlight w:val="white"/>
          <w:u w:val="single"/>
          <w:rtl w:val="0"/>
        </w:rPr>
        <w:t xml:space="preserve">Tumor burden evolution in 10 patients with PsP</w:t>
      </w:r>
    </w:p>
    <w:p w:rsidR="00000000" w:rsidDel="00000000" w:rsidP="00000000" w:rsidRDefault="00000000" w:rsidRPr="00000000" w14:paraId="00000004">
      <w:pPr>
        <w:spacing w:line="48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Eight of 10 patients experienced an increase in tumor burden in the first MRI performed after ICI initiation. Among these eight patients, tumor burden subsequently decreased in five cases (Patients 1, 2, 3, 5, and 8), while it remained stable in the other three (Patients 4, 7, and 9). In Patient 4, tumor burden decreased despite PsP, likely due to a favorable response of the primary lesion, along with the appearance of new distant non-measurable lesions. In Patient 10, no measurable lesions were present.</w:t>
      </w:r>
    </w:p>
    <w:p w:rsidR="00000000" w:rsidDel="00000000" w:rsidP="00000000" w:rsidRDefault="00000000" w:rsidRPr="00000000" w14:paraId="00000005">
      <w:pPr>
        <w:spacing w:line="480" w:lineRule="auto"/>
        <w:rPr>
          <w:rFonts w:ascii="Times New Roman" w:cs="Times New Roman" w:eastAsia="Times New Roman" w:hAnsi="Times New Roman"/>
          <w:color w:val="1b1b1b"/>
          <w:sz w:val="24"/>
          <w:szCs w:val="24"/>
          <w:highlight w:val="white"/>
        </w:rPr>
      </w:pPr>
      <w:r w:rsidDel="00000000" w:rsidR="00000000" w:rsidRPr="00000000">
        <w:rPr>
          <w:rtl w:val="0"/>
        </w:rPr>
      </w:r>
    </w:p>
    <w:p w:rsidR="00000000" w:rsidDel="00000000" w:rsidP="00000000" w:rsidRDefault="00000000" w:rsidRPr="00000000" w14:paraId="00000006">
      <w:pPr>
        <w:spacing w:lin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Pr>
        <w:drawing>
          <wp:inline distB="114300" distT="114300" distL="114300" distR="114300">
            <wp:extent cx="4584205" cy="222702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584205" cy="2227027"/>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color w:val="1b1b1b"/>
          <w:sz w:val="24"/>
          <w:szCs w:val="24"/>
          <w:highlight w:val="white"/>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Supplementary Fig. 3 Tumor burden evolution in the 10 patients with PsP</w:t>
      </w:r>
    </w:p>
    <w:p w:rsidR="00000000" w:rsidDel="00000000" w:rsidP="00000000" w:rsidRDefault="00000000" w:rsidRPr="00000000" w14:paraId="0000000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16">
      <w:pPr>
        <w:spacing w:line="240" w:lineRule="auto"/>
        <w:rPr/>
      </w:pPr>
      <w:r w:rsidDel="00000000" w:rsidR="00000000" w:rsidRPr="00000000">
        <w:rPr>
          <w:rtl w:val="0"/>
        </w:rPr>
      </w:r>
    </w:p>
    <w:p w:rsidR="00000000" w:rsidDel="00000000" w:rsidP="00000000" w:rsidRDefault="00000000" w:rsidRPr="00000000" w14:paraId="00000017">
      <w:pPr>
        <w:spacing w:line="24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